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ISO XXX - DocLang: Universal Document Markup Format (Revised)</w:t>
      </w:r>
    </w:p>
    <w:p>
      <w:pPr>
        <w:pStyle w:val="Heading2"/>
      </w:pPr>
      <w:r>
        <w:t>Foreword</w:t>
      </w:r>
    </w:p>
    <w:p>
      <w:r>
        <w:t>This document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International Standard specifies the DocLang format, a universal markup language for representing structured document content with semantic, geometric, and formatting information.</w:t>
      </w:r>
    </w:p>
    <w:p>
      <w:pPr>
        <w:pStyle w:val="Heading2"/>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2"/>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2"/>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2"/>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2"/>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2"/>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2"/>
      </w:pPr>
      <w:r>
        <w:t>DocLang Structure</w:t>
      </w:r>
    </w:p>
    <w:p>
      <w:r>
        <w:t>DocLang is a constrained subset of XML with the following characteristics:</w:t>
      </w:r>
    </w:p>
    <w:p>
      <w:pPr>
        <w:pStyle w:val="ListBullet"/>
        <w:ind w:left="360" w:hanging="360"/>
      </w:pPr>
      <w:r>
        <w:t>Simplified syntax with a finite set of allowed tags</w:t>
      </w:r>
    </w:p>
    <w:p>
      <w:pPr>
        <w:pStyle w:val="ListBullet"/>
        <w:ind w:left="360" w:hanging="360"/>
      </w:pPr>
      <w:r>
        <w:t>Constrained use of attributes on most elements</w:t>
      </w:r>
    </w:p>
    <w:p>
      <w:pPr>
        <w:pStyle w:val="ListBullet"/>
        <w:ind w:left="360" w:hanging="360"/>
      </w:pPr>
      <w:r>
        <w:t>Character-based encoding using legal Unicode characters (except Null)</w:t>
      </w:r>
    </w:p>
    <w:p>
      <w:pPr>
        <w:pStyle w:val="ListBullet"/>
        <w:ind w:left="360" w:hanging="360"/>
      </w:pPr>
      <w:r>
        <w:t>Standard XML parsing rules apply for markup vs content distinction</w:t>
      </w:r>
    </w:p>
    <w:p>
      <w:r>
        <w:t xml:space="preserve">The individual DocLang elements are specified in the </w:t>
      </w:r>
      <w:hyperlink r:id="rId14">
        <w:r>
          <w:rPr>
            <w:rStyle w:val="Hyperlink"/>
          </w:rPr>
          <w:t>reference</w:t>
        </w:r>
      </w:hyperlink>
      <w:r>
        <w:t>.</w:t>
      </w:r>
    </w:p>
    <w:p>
      <w:pPr>
        <w:pStyle w:val="Heading3"/>
      </w:pPr>
      <w:r>
        <w:t>Versioning</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0.1</w:t>
      </w:r>
      <w:r>
        <w:t>.</w:t>
      </w:r>
    </w:p>
    <w:p>
      <w:pPr>
        <w:pStyle w:val="Heading4"/>
      </w:pPr>
      <w:r>
        <w:t>Semantic Versioning Principles</w:t>
      </w:r>
    </w:p>
    <w:p>
      <w:r>
        <w:t>The XSD schema used for validating DocLang XML documents defines the specification versions it supports based on Semantic Versioning principles, i.e. for X &gt;= 1:</w:t>
      </w:r>
    </w:p>
    <w:p>
      <w:pPr>
        <w:pStyle w:val="ListBullet"/>
        <w:ind w:left="360" w:hanging="360"/>
      </w:pPr>
      <w:r>
        <w:t xml:space="preserve">A document with version </w:t>
      </w:r>
      <w:r>
        <w:rPr>
          <w:rFonts w:ascii="Consolas" w:hAnsi="Consolas"/>
          <w:shd w:val="clear" w:color="auto" w:fill="F2F2F2"/>
        </w:rPr>
        <w:t>X.Y</w:t>
      </w:r>
      <w:r>
        <w:t xml:space="preserve"> may be compatible with an XSD schema supporting version </w:t>
      </w:r>
      <w:r>
        <w:rPr>
          <w:rFonts w:ascii="Consolas" w:hAnsi="Consolas"/>
          <w:shd w:val="clear" w:color="auto" w:fill="F2F2F2"/>
        </w:rPr>
        <w:t>X.Z</w:t>
      </w:r>
      <w:r>
        <w:t xml:space="preserve"> where </w:t>
      </w:r>
      <w:r>
        <w:rPr>
          <w:rFonts w:ascii="Consolas" w:hAnsi="Consolas"/>
          <w:shd w:val="clear" w:color="auto" w:fill="F2F2F2"/>
        </w:rPr>
        <w:t>Z &gt;= Y</w:t>
      </w:r>
      <w:r>
        <w:t xml:space="preserve"> (forward compatibility within the same major version)</w:t>
      </w:r>
    </w:p>
    <w:p>
      <w:pPr>
        <w:pStyle w:val="ListBullet"/>
        <w:ind w:left="360" w:hanging="360"/>
      </w:pPr>
      <w:r>
        <w:t xml:space="preserve">A document with version </w:t>
      </w:r>
      <w:r>
        <w:rPr>
          <w:rFonts w:ascii="Consolas" w:hAnsi="Consolas"/>
          <w:shd w:val="clear" w:color="auto" w:fill="F2F2F2"/>
        </w:rPr>
        <w:t>X.Y</w:t>
      </w:r>
      <w:r>
        <w:t xml:space="preserve"> is considered incompatible with an XSD schema supporting only version </w:t>
      </w:r>
      <w:r>
        <w:rPr>
          <w:rFonts w:ascii="Consolas" w:hAnsi="Consolas"/>
          <w:shd w:val="clear" w:color="auto" w:fill="F2F2F2"/>
        </w:rPr>
        <w:t>X.Z</w:t>
      </w:r>
      <w:r>
        <w:t xml:space="preserve"> where </w:t>
      </w:r>
      <w:r>
        <w:rPr>
          <w:rFonts w:ascii="Consolas" w:hAnsi="Consolas"/>
          <w:shd w:val="clear" w:color="auto" w:fill="F2F2F2"/>
        </w:rPr>
        <w:t>Z &lt; Y</w:t>
      </w:r>
      <w:r>
        <w:t xml:space="preserve"> (no backward compatibility for minor version increases)</w:t>
      </w:r>
    </w:p>
    <w:p>
      <w:r>
        <w:rPr>
          <w:b/>
        </w:rPr>
        <w:t>Example:</w:t>
      </w:r>
    </w:p>
    <w:p>
      <w:pPr>
        <w:pStyle w:val="ListBullet"/>
        <w:ind w:left="360" w:hanging="360"/>
      </w:pPr>
      <w:r>
        <w:t xml:space="preserve">A </w:t>
      </w:r>
      <w:r>
        <w:rPr>
          <w:rFonts w:ascii="Consolas" w:hAnsi="Consolas"/>
          <w:shd w:val="clear" w:color="auto" w:fill="F2F2F2"/>
        </w:rPr>
        <w:t>1.0</w:t>
      </w:r>
      <w:r>
        <w:t xml:space="preserve"> document may be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3"/>
      </w:pPr>
      <w:r>
        <w:t>Metadata Elements</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4"/>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1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5"/>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6"/>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6"/>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6"/>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6"/>
      </w:pPr>
      <w:r>
        <w:t>Governance overview</w:t>
      </w:r>
    </w:p>
    <w:p>
      <w:r>
        <w:t>Governance metadata is intended to be machine-actionable: it should enable downstream systems (including AI systems) to determine what is permitted, under what constraints, and with what obligations.</w:t>
      </w:r>
    </w:p>
    <w:p>
      <w:pPr>
        <w:pStyle w:val="Heading6"/>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6"/>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6"/>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6"/>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6"/>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6"/>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6"/>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6"/>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6"/>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6"/>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6"/>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6"/>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6"/>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6"/>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 version="1.0.0"&gt;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 version="1.0.0"&gt;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DocLang separates the table’s structure from its surrounding semantics:</w:t>
      </w:r>
    </w:p>
    <w:p>
      <w:pPr>
        <w:pStyle w:val="ListBullet"/>
        <w:ind w:left="360" w:hanging="360"/>
      </w:pPr>
      <w:r>
        <w:rPr>
          <w:rFonts w:ascii="Consolas" w:hAnsi="Consolas"/>
          <w:shd w:val="clear" w:color="auto" w:fill="F2F2F2"/>
        </w:rPr>
        <w:t>group</w:t>
      </w:r>
      <w:r>
        <w:t xml:space="preserve">: Semantic container that may include </w:t>
      </w:r>
      <w:r>
        <w:rPr>
          <w:rFonts w:ascii="Consolas" w:hAnsi="Consolas"/>
          <w:shd w:val="clear" w:color="auto" w:fill="F2F2F2"/>
        </w:rPr>
        <w:t>caption</w:t>
      </w:r>
      <w:r>
        <w:t xml:space="preserve">, multiple </w:t>
      </w:r>
      <w:r>
        <w:rPr>
          <w:rFonts w:ascii="Consolas" w:hAnsi="Consolas"/>
          <w:shd w:val="clear" w:color="auto" w:fill="F2F2F2"/>
        </w:rPr>
        <w:t>footnote</w:t>
      </w:r>
      <w:r>
        <w:t xml:space="preserve"> elements, and exactly one </w:t>
      </w:r>
      <w:r>
        <w:rPr>
          <w:rFonts w:ascii="Consolas" w:hAnsi="Consolas"/>
          <w:shd w:val="clear" w:color="auto" w:fill="F2F2F2"/>
        </w:rPr>
        <w:t>table</w:t>
      </w:r>
      <w:r>
        <w:t xml:space="preserve"> child for the structure. Do not put coordinates on the </w:t>
      </w:r>
      <w:r>
        <w:rPr>
          <w:rFonts w:ascii="Consolas" w:hAnsi="Consolas"/>
          <w:shd w:val="clear" w:color="auto" w:fill="F2F2F2"/>
        </w:rPr>
        <w:t>group</w:t>
      </w:r>
      <w:r>
        <w:t>.</w:t>
      </w:r>
    </w:p>
    <w:p>
      <w:pPr>
        <w:pStyle w:val="ListBullet"/>
        <w:ind w:left="360" w:hanging="360"/>
      </w:pPr>
      <w:r>
        <w:rPr>
          <w:rFonts w:ascii="Consolas" w:hAnsi="Consolas"/>
          <w:shd w:val="clear" w:color="auto" w:fill="F2F2F2"/>
        </w:rPr>
        <w:t>table</w:t>
      </w:r>
      <w:r>
        <w:t xml:space="preserve">: The structural table token sequence. Put the table region’s coordinates on </w:t>
      </w:r>
      <w:r>
        <w:rPr>
          <w:rFonts w:ascii="Consolas" w:hAnsi="Consolas"/>
          <w:shd w:val="clear" w:color="auto" w:fill="F2F2F2"/>
        </w:rPr>
        <w:t>table</w:t>
      </w:r>
      <w:r>
        <w:t xml:space="preserve"> for each page fragment. Cells are created by structural tokens (e.g., </w:t>
      </w:r>
      <w:r>
        <w:rPr>
          <w:rFonts w:ascii="Consolas" w:hAnsi="Consolas"/>
          <w:shd w:val="clear" w:color="auto" w:fill="F2F2F2"/>
        </w:rPr>
        <w:t>&lt;fcel/&gt;</w:t>
      </w:r>
      <w:r>
        <w:t xml:space="preserve">, </w:t>
      </w:r>
      <w:r>
        <w:rPr>
          <w:rFonts w:ascii="Consolas" w:hAnsi="Consolas"/>
          <w:shd w:val="clear" w:color="auto" w:fill="F2F2F2"/>
        </w:rPr>
        <w:t>&lt;ched/&gt;</w:t>
      </w:r>
      <w:r>
        <w:t>) and their content follows immediately after each cell token.</w:t>
      </w:r>
    </w:p>
    <w:p>
      <w:r>
        <w:t>Basic example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&lt;ched/&gt;Method&lt;ched/&gt;Accuracy&lt;nl/&gt;</w:t>
        <w:br/>
        <w:t xml:space="preserve">    &lt;fcel/&gt;Baseline&lt;fcel/&gt;0.85&lt;nl/&gt;</w:t>
        <w:br/>
        <w:t xml:space="preserve">    &lt;fcel/&gt;Proposed&lt;fcel/&gt;0.92&lt;nl/&gt;</w:t>
        <w:br/>
        <w:t xml:space="preserve">  &lt;/table&gt;</w:t>
        <w:br/>
        <w:t xml:space="preserve">  &lt;footnote&gt;Accuracy reported on validation set.&lt;/footnote&gt;</w:t>
        <w:br/>
        <w:t>&lt;/group&gt;</w:t>
      </w:r>
    </w:p>
    <w:p>
      <w:r>
        <w:t>Examples:</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&lt;ched/&gt;Description&lt;ched/&gt;Details&lt;nl/&gt;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6"/>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7"/>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8"/>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9"/>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20"/>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1"/>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&lt;ched/&gt;IP Address&lt;ched/&gt;Port&lt;ched/&gt;Service&lt;ched/&gt;Version&lt;nl/&gt;</w:t>
        <w:br/>
        <w:t xml:space="preserve">      &lt;fcell/&gt;10.0.0.101&lt;fcell/&gt;80/tcp, 8088/tcp&lt;fcell/&gt;Werkzeug&lt;fcell/&gt;3.0.1&lt;nl/&gt;</w:t>
        <w:br/>
        <w:t xml:space="preserve">      &lt;fcell/&gt;10.0.0.102&lt;fcell/&gt;80/tcp, 8088/tcp&lt;fcell/&gt;Werkzeug&lt;fcell/&gt;3.0.1&lt;nl/&gt;</w:t>
        <w:br/>
        <w:t xml:space="preserve">      &lt;fcell/&gt;10.0.0.103&lt;fcell/&gt;80/tcp, 8088/tcp&lt;fcell/&gt;Werkzeug&lt;fcell/&gt;3.0.1&lt;nl/&gt;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2"/>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3"/>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4"/>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5"/>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&lt;table&gt;</w:t>
        <w:br/>
        <w:t xml:space="preserve">  &lt;srow&gt;Beiträge zur Altersvorsorge&lt;srow&gt;52&lt;/lcel&gt;&lt;/srow&gt;&lt;nl&gt;</w:t>
        <w:br/>
        <w:t xml:space="preserve">  &lt;fcel/&gt;&lt;ched/&gt;Steuerpflichtige Person / Ehemann / Person A&lt;ched/&gt;Ehefrau / Person B&lt;fcel/&gt; &lt;nl&gt;</w:t>
        <w:br/>
        <w:t xml:space="preserve">  &lt;fcel/&gt;Arbeitnehmeranteil laut Nr. 23 a / b der Lohnsteuerbescheinigung&lt;fcel/&gt;*FORM1*,-&lt;fcel/&gt;*FORM2*,-&lt;fcel/&gt;@&lt;nl&gt;</w:t>
        <w:br/>
        <w:t xml:space="preserve">  &lt;fcel/&gt;Beiträge zur landwirtschaftlichen Alterskasse; zu berufsständ...&lt;fcel/&gt;*FORM3*,-&lt;fcel/&gt;*FORM4*,-&lt;fcel/&gt; &lt;nl&gt;</w:t>
        <w:br/>
        <w:t xml:space="preserve">  &lt;fcel/&gt;Beiträge zu gesetzlichen Rentenversicherungen...&lt;fcel/&gt;*FORM5*,-&lt;fcel/&gt;*FORM6*,-&lt;fcel/&gt; &lt;nl&gt;</w:t>
        <w:br/>
        <w:t xml:space="preserve">  &lt;fcel/&gt;Erstattete Beiträge und / oder steuerfreie Zuschüsse zu den...&lt;fcel/&gt;*FORM7*,-&lt;fcel/&gt;*FORM8*,-&lt;fcel/&gt;@&lt;nl&gt;</w:t>
        <w:br/>
        <w:t xml:space="preserve">  ...</w:t>
        <w:br/>
        <w:t xml:space="preserve">  &lt;/table&gt;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6"/>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&lt;ched/&gt;If you checked (in Part l):&lt;ched/&gt;Enter&lt;nl&gt;</w:t>
        <w:br/>
        <w:t xml:space="preserve">  &lt;fcel/&gt;Box 1, 2, 4, or 7&lt;fcel/&gt;$5,000&lt;nl&gt;</w:t>
        <w:br/>
        <w:t xml:space="preserve">  &lt;fcel/&gt;Box 3, 5, or 6&lt;fcel/&gt;$7,500&lt;nl&gt;</w:t>
        <w:br/>
        <w:t xml:space="preserve">  &lt;fcel/&gt;Box 8 or 9&lt;fcel/&gt;$3,750&lt;nl&gt;</w:t>
        <w:br/>
        <w:t xml:space="preserve">  &lt;/table&gt;</w:t>
        <w:br/>
        <w:t xml:space="preserve">  &lt;field_item&gt;&lt;key&gt;10&lt;/key&gt;&lt;value&gt;&lt;/value&gt;&lt;/field_item&gt;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&lt;field_item&gt;&lt;key&gt;11&lt;/key&gt;&lt;value&gt;.&lt;/value&gt;&lt;/field_item&gt;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&lt;field_item&gt;&lt;key&gt;12&lt;/key&gt;&lt;value&gt;74,992&lt;/value&gt;&lt;/field_item&gt;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7"/>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8">
        <w:r>
          <w:rPr>
            <w:rStyle w:val="Hyperlink"/>
          </w:rPr>
          <w:t>Form Examples</w:t>
        </w:r>
      </w:hyperlink>
    </w:p>
    <w:p>
      <w:pPr>
        <w:pStyle w:val="Heading3"/>
      </w:pPr>
      <w:r>
        <w:t>Fields</w:t>
      </w:r>
    </w:p>
    <w:p>
      <w:r>
        <w:t>Fields can be used for representing key-value data in a flexible structure where keys and values may be separated by other content or organized in complex layouts.</w:t>
      </w:r>
    </w:p>
    <w:p>
      <w:pPr>
        <w:pStyle w:val="Heading4"/>
      </w:pPr>
      <w:r>
        <w:t>Field Elements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field_region</w:t>
            </w:r>
          </w:p>
        </w:tc>
        <w:tc>
          <w:tcPr>
            <w:tcW w:type="dxa" w:w="4320"/>
          </w:tcPr>
          <w:p>
            <w:r/>
            <w:r>
              <w:t>Container for a region containing field items and related content</w:t>
            </w:r>
          </w:p>
        </w:tc>
      </w:tr>
      <w:tr>
        <w:tc>
          <w:tcPr>
            <w:tcW w:type="dxa" w:w="4320"/>
          </w:tcPr>
          <w:p>
            <w:r/>
            <w:r>
              <w:rPr>
                <w:rFonts w:ascii="Consolas" w:hAnsi="Consolas"/>
                <w:shd w:val="clear" w:color="auto" w:fill="F2F2F2"/>
              </w:rPr>
              <w:t>field_item</w:t>
            </w:r>
          </w:p>
        </w:tc>
        <w:tc>
          <w:tcPr>
            <w:tcW w:type="dxa" w:w="4320"/>
          </w:tcPr>
          <w:p>
            <w:r/>
            <w:r>
              <w:t xml:space="preserve">Container that associates keys with values;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field_heading</w:t>
            </w:r>
          </w:p>
        </w:tc>
        <w:tc>
          <w:tcPr>
            <w:tcW w:type="dxa" w:w="4320"/>
          </w:tcPr>
          <w:p>
            <w:r/>
            <w:r>
              <w:t>Heading within a field region, with optional level N ≥ 1</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Heading4"/>
      </w:pPr>
      <w:r>
        <w:t>Field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9"/>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&lt;loc_10/&gt;&lt;loc_20/&gt;&lt;loc_30/&gt;&lt;loc_40/&gt;</w:t>
        <w:br/>
        <w:t xml:space="preserve">    &lt;thread thread_id="1"/&gt;</w:t>
        <w:br/>
        <w:t xml:space="preserve">    where τ&lt;subscript&gt;x,y,z&lt;/subscript&gt; are the Pauli matrices acting</w:t>
        <w:br/>
        <w:t xml:space="preserve">    on Nambu space. We consider a circular-shaped boundary, the nor-</w:t>
        <w:br/>
        <w:t>&lt;/text&gt;</w:t>
        <w:br/>
        <w:t/>
        <w:br/>
        <w:t>&lt;caption&gt;</w:t>
        <w:br/>
        <w:t xml:space="preserve">    &lt;loc_15/&gt;&lt;loc_25/&gt;&lt;loc_35/&gt;&lt;loc_45/&gt;</w:t>
        <w:br/>
        <w:t xml:space="preserve">    FIG. 3. The modules of the inner product of two MES spinors</w:t>
        <w:br/>
        <w:t xml:space="preserve">    &lt;formula&gt;...&lt;formula/&gt;</w:t>
        <w:br/>
        <w:t xml:space="preserve">    ...</w:t>
        <w:br/>
        <w:t>&lt;/caption&gt;</w:t>
        <w:br/>
        <w:t/>
        <w:br/>
        <w:t>&lt;text&gt;</w:t>
        <w:br/>
        <w:t xml:space="preserve">    &lt;loc_20/&gt;&lt;loc_30/&gt;&lt;loc_40/&gt;&lt;loc_50/&gt;</w:t>
        <w:br/>
        <w:t xml:space="preserve">    &lt;thread thread_id="1"/&gt;</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30"/>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&lt;loc_10/&gt;&lt;loc_20/&gt;&lt;loc_30/&gt;&lt;loc_40/&gt;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&lt;loc_15/&gt;&lt;loc_25/&gt;&lt;loc_35/&gt;&lt;loc_45/&gt;</w:t>
        <w:br/>
        <w:t xml:space="preserve">        Mentorships and internship programs featuring diverse employees and students</w:t>
        <w:br/>
        <w:t xml:space="preserve">    &lt;/text&gt;</w:t>
        <w:br/>
        <w:t xml:space="preserve">    ...</w:t>
        <w:br/>
        <w:t xml:space="preserve">    &lt;ldiv/&gt;</w:t>
        <w:br/>
        <w:t xml:space="preserve">    &lt;text&gt;</w:t>
        <w:br/>
        <w:t xml:space="preserve">        &lt;loc_20/&gt;&lt;loc_30/&gt;&lt;loc_40/&gt;&lt;loc_50/&gt;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&lt;loc_25/&gt;&lt;loc_35/&gt;&lt;loc_45/&gt;&lt;loc_55/&gt;</w:t>
        <w:br/>
        <w:t xml:space="preserve">                Historically Black Colleges and Universities (HBCUs) site visits and career fairs</w:t>
        <w:br/>
        <w:t xml:space="preserve">            &lt;/text&gt;</w:t>
        <w:br/>
        <w:t xml:space="preserve">            ...</w:t>
        <w:br/>
        <w:t xml:space="preserve">            &lt;ldiv/&gt;</w:t>
        <w:br/>
        <w:t xml:space="preserve">            &lt;text&gt;</w:t>
        <w:br/>
        <w:t xml:space="preserve">                &lt;loc_30/&gt;&lt;loc_40/&gt;&lt;loc_50/&gt;&lt;loc_60/&gt;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&lt;page_footer&gt;&lt;loc_35/&gt;&lt;loc_45/&gt;&lt;loc_55/&gt;&lt;loc_65/&gt;16 Neurocrine Biosciences&lt;/page_footer&gt;</w:t>
        <w:br/>
        <w:t/>
        <w:br/>
        <w:t>&lt;page_break/&gt;</w:t>
        <w:br/>
        <w:t/>
        <w:br/>
        <w:t>&lt;list class="unordered"&gt;</w:t>
        <w:br/>
        <w:t xml:space="preserve">    &lt;thread thread_id="1"/&gt;</w:t>
        <w:br/>
        <w:t xml:space="preserve">    &lt;ldiv/&gt;</w:t>
        <w:br/>
        <w:t xml:space="preserve">    &lt;text&gt;</w:t>
        <w:br/>
        <w:t xml:space="preserve">        &lt;loc_40/&gt;&lt;loc_50/&gt;&lt;loc_60/&gt;&lt;loc_70/&gt;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 &lt;br /&gt; &lt;img src="./examples/split_tables/original_table.png" height="900" width="644" /&gt; &lt;/td&gt; &lt;td&gt; Table split across pages: &lt;br /&gt; &lt;img src="./examples/split_tables/split_table.png" height="900" width="644" /&gt; &lt;/td&gt; &lt;td&gt; Table threads: &lt;br /&gt; &lt;img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&lt;table&gt;&lt;loc_x0/&gt;&lt;loc_y0/&gt;&lt;loc_x1/&gt;&lt;loc_y1/&gt;</w:t>
        <w:br/>
        <w:t xml:space="preserve">        &lt;thread thread_id="1"/&gt;</w:t>
        <w:br/>
        <w:t xml:space="preserve">        &lt;h_thread h_thread_id="1"/&gt;</w:t>
        <w:br/>
        <w:t/>
        <w:br/>
        <w:t xml:space="preserve">        &lt;ecel/&gt;                             &lt;ecel/&gt;                      &lt;ecel/&gt;&lt;nl/&gt;</w:t>
        <w:br/>
        <w:t xml:space="preserve">        &lt;ecel/&gt;                             &lt;ched/&gt;Continent             &lt;ched/&gt;Country&lt;nl/&gt;</w:t>
        <w:br/>
        <w:t xml:space="preserve">        &lt;rhed/&gt;&lt;thread thread_id="2"/&gt;             &lt;rhed/&gt;Asia                  &lt;rhed/&gt;Japan&lt;nl/&gt;</w:t>
        <w:br/>
        <w:t xml:space="preserve">    &lt;/table&gt;</w:t>
        <w:br/>
        <w:t>&lt;/table&gt;</w:t>
        <w:br/>
        <w:t>&lt;page_break/&gt;</w:t>
        <w:br/>
        <w:t/>
        <w:br/>
        <w:t>&lt;!-- page 2: --&gt;</w:t>
        <w:br/>
        <w:t>&lt;table&gt;</w:t>
        <w:br/>
        <w:t xml:space="preserve">    &lt;table&gt;&lt;loc_x0/&gt;&lt;loc_y0/&gt;&lt;loc_x1/&gt;&lt;loc_y1/&gt;</w:t>
        <w:br/>
        <w:t xml:space="preserve">        &lt;thread thread_id="1"/&gt;</w:t>
        <w:br/>
        <w:t xml:space="preserve">        &lt;h_thread h_thread_id="2"/&gt;</w:t>
        <w:br/>
        <w:t/>
        <w:br/>
        <w:t xml:space="preserve">        &lt;rhed/&gt;&lt;thread thread_id="2"/&gt;G7 member    &lt;rhed/&gt;&lt;thread thread_id="3"/&gt;Europe        &lt;rhed/&gt;France&lt;nl/&gt;</w:t>
        <w:br/>
        <w:t xml:space="preserve">        &lt;ucel/&gt;                             &lt;ucel/&gt;                            &lt;rhed/&gt;Germany&lt;nl/&gt;</w:t>
        <w:br/>
        <w:t xml:space="preserve">        &lt;ucel/&gt;                             &lt;ucel/&gt;                            &lt;rhed/&gt;Italy&lt;nl/&gt;</w:t>
        <w:br/>
        <w:t xml:space="preserve">    &lt;/table&gt;</w:t>
        <w:br/>
        <w:t>&lt;/table&gt;</w:t>
        <w:br/>
        <w:t>&lt;page_break/&gt;</w:t>
        <w:br/>
        <w:t/>
        <w:br/>
        <w:t>&lt;!-- page 3: --&gt;</w:t>
        <w:br/>
        <w:t>&lt;table&gt;</w:t>
        <w:br/>
        <w:t xml:space="preserve">    &lt;table&gt;&lt;loc_x0/&gt;&lt;loc_y0/&gt;&lt;loc_x1/&gt;&lt;loc_y1/&gt;</w:t>
        <w:br/>
        <w:t xml:space="preserve">        &lt;thread thread_id="1"/&gt;</w:t>
        <w:br/>
        <w:t xml:space="preserve">        &lt;h_thread h_thread_id="3"/&gt;</w:t>
        <w:br/>
        <w:t/>
        <w:br/>
        <w:t xml:space="preserve">        &lt;rhed/&gt;&lt;thread thread_id="2"/&gt;             &lt;rhed/&gt;&lt;thread thread_id="3"/&gt;            &lt;rhed/&gt;United Kingdom&lt;nl/&gt;</w:t>
        <w:br/>
        <w:t xml:space="preserve">        &lt;ucel/&gt;                             &lt;rhed/&gt;North America               &lt;rhed/&gt;Canada&lt;nl/&gt;</w:t>
        <w:br/>
        <w:t xml:space="preserve">        &lt;ucel/&gt;                             &lt;ucel/&gt;                            &lt;rhed/&gt;United States&lt;nl/&gt;</w:t>
        <w:br/>
        <w:t xml:space="preserve">    &lt;/table&gt;</w:t>
        <w:br/>
        <w:t>&lt;/table&gt;</w:t>
        <w:br/>
        <w:t>&lt;page_break/&gt;</w:t>
        <w:br/>
        <w:t/>
        <w:br/>
        <w:t>&lt;!-- page 4: --&gt;</w:t>
        <w:br/>
        <w:t>&lt;table&gt;</w:t>
        <w:br/>
        <w:t xml:space="preserve">    &lt;table&gt;&lt;loc_x0/&gt;&lt;loc_y0/&gt;&lt;loc_x1/&gt;&lt;loc_y1/&gt;</w:t>
        <w:br/>
        <w:t xml:space="preserve">        &lt;h_thread h_thread_id="1"/&gt;</w:t>
        <w:br/>
        <w:t/>
        <w:br/>
        <w:t xml:space="preserve">        &lt;ched/&gt;&lt;h_thread h_thread_id="4"/&gt;2025 d     &lt;lcel/&gt;                            &lt;lcel/&gt;&lt;nl/&gt;</w:t>
        <w:br/>
        <w:t xml:space="preserve">        &lt;ched/&gt;GDP (PPP) per capita in USD  &lt;ched/&gt;Currency                    &lt;ched/&gt;&lt;h_thread h_thread_id="5"/&gt;Key l&lt;nl/&gt;</w:t>
        <w:br/>
        <w:t xml:space="preserve">        &lt;fcel/&gt;46,097                       &lt;fcel/&gt;Japanese yen (JPY)          &lt;fcel/&gt;Shigeru Ishiba&lt;nl/&gt;</w:t>
        <w:br/>
        <w:t xml:space="preserve">    &lt;/table&gt;</w:t>
        <w:br/>
        <w:t>&lt;/table&gt;</w:t>
        <w:br/>
        <w:t>&lt;page_break/&gt;</w:t>
        <w:br/>
        <w:t/>
        <w:br/>
        <w:t>&lt;!-- page 5: --&gt;</w:t>
        <w:br/>
        <w:t>&lt;table&gt;</w:t>
        <w:br/>
        <w:t xml:space="preserve">    &lt;table&gt;&lt;loc_x0/&gt;&lt;loc_y0/&gt;&lt;loc_x1/&gt;&lt;loc_y1/&gt;</w:t>
        <w:br/>
        <w:t xml:space="preserve">        &lt;h_thread h_thread_id="2"/&gt;</w:t>
        <w:br/>
        <w:t/>
        <w:br/>
        <w:t xml:space="preserve">        &lt;fcel/&gt;54,465                       &lt;fcel/&gt;Euro (EUR)                  &lt;fcel/&gt;Emmanuel Macron&lt;nl/&gt;</w:t>
        <w:br/>
        <w:t xml:space="preserve">        &lt;fcel/&gt;62,830                       &lt;fcel/&gt;Euro (EUR)                  &lt;fcel/&gt;Friedrich Merz&lt;nl/&gt;</w:t>
        <w:br/>
        <w:t xml:space="preserve">        &lt;fcel/&gt;53,115                       &lt;fcel/&gt;Euro (EUR)                  &lt;fcel/&gt;Giorgia Meloni&lt;nl/&gt;</w:t>
        <w:br/>
        <w:t xml:space="preserve">    &lt;/table&gt;</w:t>
        <w:br/>
        <w:t>&lt;/table&gt;</w:t>
        <w:br/>
        <w:t>&lt;page_break/&gt;</w:t>
        <w:br/>
        <w:t/>
        <w:br/>
        <w:t>&lt;!-- page 6: --&gt;</w:t>
        <w:br/>
        <w:t>&lt;table&gt;</w:t>
        <w:br/>
        <w:t xml:space="preserve">    &lt;table&gt;&lt;loc_x0/&gt;&lt;loc_y0/&gt;&lt;loc_x1/&gt;&lt;loc_y1/&gt;</w:t>
        <w:br/>
        <w:t xml:space="preserve">        &lt;h_thread h_thread_id="3"/&gt;</w:t>
        <w:br/>
        <w:t/>
        <w:br/>
        <w:t xml:space="preserve">        &lt;fcel/&gt;52,518                       &lt;fcel/&gt;Pound sterling (GBP)        &lt;fcel/&gt;Keir Starmer&lt;nl/&gt;</w:t>
        <w:br/>
        <w:t xml:space="preserve">        &lt;fcel/&gt;62,830                       &lt;fcel/&gt;Canadian dollar             &lt;fcel/&gt;Mark Carney&lt;nl/&gt;</w:t>
        <w:br/>
        <w:t xml:space="preserve">        &lt;fcel/&gt;53,115                       &lt;fcel/&gt;United States dollar (USD)  &lt;fcel/&gt;Donald Trump&lt;nl/&gt;</w:t>
        <w:br/>
        <w:t xml:space="preserve">    &lt;/table&gt;</w:t>
        <w:br/>
        <w:t>&lt;/table&gt;</w:t>
        <w:br/>
        <w:t>&lt;page_break/&gt;</w:t>
        <w:br/>
        <w:t/>
        <w:br/>
        <w:t>&lt;!-- page 7: --&gt;</w:t>
        <w:br/>
        <w:t>&lt;table&gt;</w:t>
        <w:br/>
        <w:t xml:space="preserve">    &lt;table&gt;&lt;loc_x0/&gt;&lt;loc_y0/&gt;&lt;loc_x1/&gt;&lt;loc_y1/&gt;</w:t>
        <w:br/>
        <w:t xml:space="preserve">        &lt;h_thread h_thread_id="1"/&gt;</w:t>
        <w:br/>
        <w:t/>
        <w:br/>
        <w:t xml:space="preserve">        &lt;ched/&gt;&lt;h_thread h_thread_id="4"/&gt;etails     &lt;lcel/&gt;                            &lt;lcel/&gt;&lt;nl/&gt;</w:t>
        <w:br/>
        <w:t xml:space="preserve">        &lt;ched/&gt;&lt;h_thread h_thread_id="5"/&gt;eader      &lt;ched/&gt;Population in millions      &lt;ched/&gt;Area in km2&lt;nl/&gt;</w:t>
        <w:br/>
        <w:t xml:space="preserve">        &lt;fcel/&gt;Prime Minister               &lt;fcel/&gt;125.1                       &lt;fcel/&gt;377,975&lt;nl/&gt;</w:t>
        <w:br/>
        <w:t xml:space="preserve">    &lt;/table&gt;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Implementation Requirements</w:t>
      </w:r>
    </w:p>
    <w:p>
      <w:pPr>
        <w:pStyle w:val="Heading3"/>
      </w:pPr>
      <w:r>
        <w:t>Parser Requirements</w:t>
      </w:r>
    </w:p>
    <w:p>
      <w:r>
        <w:t>A conforming DocLang parser SHALL:</w:t>
      </w:r>
    </w:p>
    <w:p>
      <w:pPr>
        <w:pStyle w:val="ListNumber"/>
        <w:ind w:left="360" w:hanging="360"/>
      </w:pPr>
      <w:r>
        <w:rPr>
          <w:b/>
        </w:rPr>
        <w:t>Syntax Validation</w:t>
      </w:r>
      <w:r>
        <w:t>: Recognize all tokens defined in this standard</w:t>
      </w:r>
    </w:p>
    <w:p>
      <w:pPr>
        <w:pStyle w:val="ListNumber"/>
        <w:ind w:left="360" w:hanging="360"/>
      </w:pPr>
      <w:r>
        <w:rPr>
          <w:b/>
        </w:rPr>
        <w:t>Geometric Processing</w:t>
      </w:r>
      <w:r>
        <w:t>: Handle coordinate and bounding box elements correctly</w:t>
      </w:r>
    </w:p>
    <w:p>
      <w:pPr>
        <w:pStyle w:val="ListNumber"/>
        <w:ind w:left="360" w:hanging="360"/>
      </w:pPr>
      <w:r>
        <w:rPr>
          <w:b/>
        </w:rPr>
        <w:t>Version Support</w:t>
      </w:r>
      <w:r>
        <w:t>: Process version information and apply appropriate parsing rules</w:t>
      </w:r>
    </w:p>
    <w:p>
      <w:pPr>
        <w:pStyle w:val="ListNumber"/>
        <w:ind w:left="360" w:hanging="360"/>
      </w:pPr>
      <w:r>
        <w:rPr>
          <w:b/>
        </w:rPr>
        <w:t>Hierarchy Validation</w:t>
      </w:r>
      <w:r>
        <w:t>: Enforce parent-child relationship rules</w:t>
      </w:r>
    </w:p>
    <w:p>
      <w:pPr>
        <w:pStyle w:val="ListNumber"/>
        <w:ind w:left="360" w:hanging="360"/>
      </w:pPr>
      <w:r>
        <w:rPr>
          <w:b/>
        </w:rPr>
        <w:t>Continuation Handling</w:t>
      </w:r>
      <w:r>
        <w:t>: Correctly link continued content across page breaks</w:t>
      </w:r>
    </w:p>
    <w:p>
      <w:pPr>
        <w:pStyle w:val="ListNumber"/>
        <w:ind w:left="360" w:hanging="360"/>
      </w:pPr>
      <w:r>
        <w:rPr>
          <w:b/>
        </w:rPr>
        <w:t>Error Reporting</w:t>
      </w:r>
      <w:r>
        <w:t>: Provide meaningful error messages for invalid documents</w:t>
      </w:r>
    </w:p>
    <w:p>
      <w:pPr>
        <w:pStyle w:val="Heading3"/>
      </w:pPr>
      <w:r>
        <w:t>Serializer Requirements</w:t>
      </w:r>
    </w:p>
    <w:p>
      <w:r>
        <w:t>A conforming DocLang serializer SHALL:</w:t>
      </w:r>
    </w:p>
    <w:p>
      <w:pPr>
        <w:pStyle w:val="ListNumber"/>
        <w:ind w:left="360" w:hanging="360"/>
      </w:pPr>
      <w:r>
        <w:rPr>
          <w:b/>
        </w:rPr>
        <w:t>Valid Output</w:t>
      </w:r>
      <w:r>
        <w:t>: Generate syntactically correct DocLang documents</w:t>
      </w:r>
    </w:p>
    <w:p>
      <w:pPr>
        <w:pStyle w:val="ListNumber"/>
        <w:ind w:left="360" w:hanging="360"/>
      </w:pPr>
      <w:r>
        <w:rPr>
          <w:b/>
        </w:rPr>
        <w:t>Coordinate Normalization</w:t>
      </w:r>
      <w:r>
        <w:t>: Ensure coordinates fit within specified resolution</w:t>
      </w:r>
    </w:p>
    <w:p>
      <w:pPr>
        <w:pStyle w:val="ListNumber"/>
        <w:ind w:left="360" w:hanging="360"/>
      </w:pPr>
      <w:r>
        <w:rPr>
          <w:b/>
        </w:rPr>
        <w:t>Structure Preservation</w:t>
      </w:r>
      <w:r>
        <w:t>: Maintain element hierarchy and relationships</w:t>
      </w:r>
    </w:p>
    <w:p>
      <w:pPr>
        <w:pStyle w:val="ListNumber"/>
        <w:ind w:left="360" w:hanging="360"/>
      </w:pPr>
      <w:r>
        <w:rPr>
          <w:b/>
        </w:rPr>
        <w:t>Version Specification</w:t>
      </w:r>
      <w:r>
        <w:t>: Include appropriate version information</w:t>
      </w:r>
    </w:p>
    <w:p>
      <w:pPr>
        <w:pStyle w:val="ListNumber"/>
        <w:ind w:left="360" w:hanging="360"/>
      </w:pPr>
      <w:r>
        <w:rPr>
          <w:b/>
        </w:rPr>
        <w:t>Continuation Integrity</w:t>
      </w:r>
      <w:r>
        <w:t>: Ensure continuation tokens are properly paired</w:t>
      </w:r>
    </w:p>
    <w:p>
      <w:pPr>
        <w:pStyle w:val="Heading3"/>
      </w:pPr>
      <w:r>
        <w:t>Validation Rules</w:t>
      </w:r>
    </w:p>
    <w:p>
      <w:pPr>
        <w:pStyle w:val="Heading4"/>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4"/>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4"/>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4"/>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pPr>
        <w:pStyle w:val="Heading2"/>
      </w:pPr>
      <w:r>
        <w:t>Extensibility</w:t>
      </w:r>
    </w:p>
    <w:p>
      <w:pPr>
        <w:pStyle w:val="Heading3"/>
      </w:pPr>
      <w:r>
        <w:t>Future Token Addition</w:t>
      </w:r>
    </w:p>
    <w:p>
      <w:r>
        <w:t>New tokens may be added in minor version updates following these rules:</w:t>
      </w:r>
    </w:p>
    <w:p>
      <w:pPr>
        <w:pStyle w:val="ListNumber"/>
        <w:ind w:left="360" w:hanging="360"/>
      </w:pPr>
      <w:r>
        <w:t>New semantic tokens must specify content type (text or structural)</w:t>
      </w:r>
    </w:p>
    <w:p>
      <w:pPr>
        <w:pStyle w:val="ListNumber"/>
        <w:ind w:left="360" w:hanging="360"/>
      </w:pPr>
      <w:r>
        <w:t>New grouping tokens must define allowed children</w:t>
      </w:r>
    </w:p>
    <w:p>
      <w:pPr>
        <w:pStyle w:val="ListNumber"/>
        <w:ind w:left="360" w:hanging="360"/>
      </w:pPr>
      <w:r>
        <w:t>New structural tokens must specify usage context</w:t>
      </w:r>
    </w:p>
    <w:p>
      <w:pPr>
        <w:pStyle w:val="ListNumber"/>
        <w:ind w:left="360" w:hanging="360"/>
      </w:pPr>
      <w:r>
        <w:t>Backward compatibility must be maintained</w:t>
      </w:r>
    </w:p>
    <w:p>
      <w:pPr>
        <w:pStyle w:val="Heading3"/>
      </w:pPr>
      <w:r>
        <w:t>Custom Classifications</w:t>
      </w:r>
    </w:p>
    <w:p>
      <w:r>
        <w:t xml:space="preserve">The </w:t>
      </w:r>
      <w:r>
        <w:rPr>
          <w:rFonts w:ascii="Consolas" w:hAnsi="Consolas"/>
          <w:shd w:val="clear" w:color="auto" w:fill="F2F2F2"/>
        </w:rPr>
        <w:t>&lt;class&gt;</w:t>
      </w:r>
      <w:r>
        <w:t xml:space="preserve"> token supports extensible vocabularies:</w:t>
      </w:r>
    </w:p>
    <w:p>
      <w:pPr>
        <w:pStyle w:val="ListBullet"/>
        <w:ind w:left="360" w:hanging="360"/>
      </w:pPr>
      <w:r>
        <w:rPr>
          <w:b/>
        </w:rPr>
        <w:t>Programming languages</w:t>
      </w:r>
      <w:r>
        <w:t>: Python, JavaScript, C++, etc.</w:t>
      </w:r>
    </w:p>
    <w:p>
      <w:pPr>
        <w:pStyle w:val="ListBullet"/>
        <w:ind w:left="360" w:hanging="360"/>
      </w:pPr>
      <w:r>
        <w:rPr>
          <w:b/>
        </w:rPr>
        <w:t>Chart types</w:t>
      </w:r>
      <w:r>
        <w:t>: bar_chart, pie_chart, line_chart, scatter_plot, etc.</w:t>
      </w:r>
    </w:p>
    <w:p>
      <w:pPr>
        <w:pStyle w:val="ListBullet"/>
        <w:ind w:left="360" w:hanging="360"/>
      </w:pPr>
      <w:r>
        <w:rPr>
          <w:b/>
        </w:rPr>
        <w:t>Image types</w:t>
      </w:r>
      <w:r>
        <w:t>: photograph, diagram, screenshot, icon, logo, etc.</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The document root element. Starts with an optional [</w:t>
      </w:r>
      <w:r>
        <w:rPr>
          <w:rFonts w:ascii="Consolas" w:hAnsi="Consolas"/>
          <w:shd w:val="clear" w:color="auto" w:fill="F2F2F2"/>
        </w:rPr>
        <w:t>&lt;head&gt;</w:t>
      </w:r>
      <w:r>
        <w:t>](#head)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1">
              <w:r>
                <w:rPr>
                  <w:rStyle w:val="Hyperlink"/>
                </w:rPr>
                <w:t>https://www.doclang.ai/ns/v0"</w:t>
              </w:r>
            </w:hyperlink>
          </w:p>
        </w:tc>
        <w:tc>
          <w:tcPr>
            <w:tcW w:type="dxa" w:w="2160"/>
          </w:tcPr>
          <w:p>
            <w:r/>
            <w:r>
              <w:t>{"</w:t>
            </w:r>
            <w:hyperlink r:id="rId32">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"0.1"</w:t>
            </w:r>
          </w:p>
        </w:tc>
        <w:tc>
          <w:tcPr>
            <w:tcW w:type="dxa" w:w="2160"/>
          </w:tcPr>
          <w:p>
            <w:r/>
            <w:r>
              <w:t>{"0.1"}</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content --&gt;</w:t>
        <w:br/>
        <w:t>&lt;/doclang&gt;</w:t>
      </w:r>
    </w:p>
    <w:p>
      <w:pPr>
        <w:pStyle w:val="Heading4"/>
      </w:pPr>
      <w:r>
        <w:t>`&lt;head&gt;`</w:t>
      </w:r>
    </w:p>
    <w:p>
      <w:r>
        <w:t>Includes doc-level metadata.</w:t>
      </w:r>
    </w:p>
    <w:p>
      <w:pPr>
        <w:pStyle w:val="Heading5"/>
      </w:pPr>
      <w:r>
        <w:t>Allowed Context</w:t>
      </w:r>
    </w:p>
    <w:p>
      <w:r>
        <w:t>Can only be first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r:id="rId33">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Can only be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 xmlns="https://www.doclang.ai/ns/v1"&gt;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hyperlink r:id="rId34">
        <w:r>
          <w:rPr>
            <w:rStyle w:val="Hyperlink"/>
          </w:rPr>
          <w:t>component head</w:t>
        </w:r>
      </w:hyperlink>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`&lt;table&gt;`</w:t>
      </w:r>
    </w:p>
    <w:p>
      <w:r>
        <w:t>Captures a table based on the OTSL format. Table cells are delimited by the respective structural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`&lt;list&gt;`</w:t>
      </w:r>
    </w:p>
    <w:p>
      <w:r>
        <w:t>Captures a list. List items are delimited by the respective structural elements.</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`&lt;field_heading&gt;`</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`&lt;field_item&gt;`</w:t>
      </w:r>
    </w:p>
    <w:p>
      <w:r>
        <w:t>Scoping of a field key (optional) and any corresponding values.</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`&lt;key&gt;`</w:t>
      </w:r>
    </w:p>
    <w:p>
      <w:r>
        <w:t>The key of a field (may correspond to  0-N field values).</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`&lt;value&gt;`</w:t>
      </w:r>
    </w:p>
    <w:p>
      <w:r>
        <w:t>A value of a field (may correspond to 0 or 1 field key).</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`&lt;hint&gt;`</w:t>
      </w:r>
    </w:p>
    <w:p>
      <w:r>
        <w:t>A hint regarding a field.</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3"/>
      </w:pPr>
      <w:r>
        <w:t>Component Head Elements</w:t>
      </w:r>
    </w:p>
    <w:p>
      <w:r>
        <w:t>The component head is a sequence comprising the following elements in this order, whereby all elements are optional:&lt;br /&gt;&lt;ul&gt;&lt;li&gt;</w:t>
      </w:r>
      <w:r>
        <w:rPr>
          <w:rFonts w:ascii="Consolas" w:hAnsi="Consolas"/>
          <w:shd w:val="clear" w:color="auto" w:fill="F2F2F2"/>
        </w:rPr>
        <w:t>&lt;thread&gt;</w:t>
      </w:r>
      <w:r>
        <w:t>&lt;/li&gt;&lt;li&gt;</w:t>
      </w:r>
      <w:r>
        <w:rPr>
          <w:rFonts w:ascii="Consolas" w:hAnsi="Consolas"/>
          <w:shd w:val="clear" w:color="auto" w:fill="F2F2F2"/>
        </w:rPr>
        <w:t>&lt;h_thread&gt;</w:t>
      </w:r>
      <w:r>
        <w:t>&lt;/li&gt;&lt;li&gt;</w:t>
      </w:r>
      <w:r>
        <w:rPr>
          <w:rFonts w:ascii="Consolas" w:hAnsi="Consolas"/>
          <w:shd w:val="clear" w:color="auto" w:fill="F2F2F2"/>
        </w:rPr>
        <w:t>&lt;meta&gt;</w:t>
      </w:r>
      <w:r>
        <w:t xml:space="preserve">&lt;/li&gt;&lt;li&gt;sequence of 2*N </w:t>
      </w:r>
      <w:r>
        <w:rPr>
          <w:rFonts w:ascii="Consolas" w:hAnsi="Consolas"/>
          <w:shd w:val="clear" w:color="auto" w:fill="F2F2F2"/>
        </w:rPr>
        <w:t>&lt;location&gt;</w:t>
      </w:r>
      <w:r>
        <w:t xml:space="preserve">s (N&gt;1)&lt;/li&gt;&lt;li&gt;sequence of </w:t>
      </w:r>
      <w:r>
        <w:rPr>
          <w:rFonts w:ascii="Consolas" w:hAnsi="Consolas"/>
          <w:shd w:val="clear" w:color="auto" w:fill="F2F2F2"/>
        </w:rPr>
        <w:t>&lt;timestamp&gt;</w:t>
      </w:r>
      <w:r>
        <w:t>s&lt;/li&gt;&lt;li&gt;</w:t>
      </w:r>
      <w:r>
        <w:rPr>
          <w:rFonts w:ascii="Consolas" w:hAnsi="Consolas"/>
          <w:shd w:val="clear" w:color="auto" w:fill="F2F2F2"/>
        </w:rPr>
        <w:t>&lt;layer&gt;</w:t>
      </w:r>
      <w:r>
        <w:t xml:space="preserve">&lt;/li&gt;&lt;/ul&gt; A component head can only appear as the leading content of a semantic or grouping element, or also of </w:t>
      </w:r>
      <w:r>
        <w:rPr>
          <w:rFonts w:ascii="Consolas" w:hAnsi="Consolas"/>
          <w:shd w:val="clear" w:color="auto" w:fill="F2F2F2"/>
        </w:rPr>
        <w:t>&lt;otsl&gt;</w:t>
      </w:r>
      <w:r>
        <w:t xml:space="preserve"> in the context of "implicit </w:t>
      </w:r>
      <w:r>
        <w:rPr>
          <w:rFonts w:ascii="Consolas" w:hAnsi="Consolas"/>
          <w:shd w:val="clear" w:color="auto" w:fill="F2F2F2"/>
        </w:rPr>
        <w:t>&lt;text&gt;</w:t>
      </w:r>
      <w:r>
        <w:t>s".&lt;br/&gt;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pages.&lt;br/&gt;  To capture such a component, we define separate instances of the respective element and use a [</w:t>
      </w:r>
      <w:r>
        <w:rPr>
          <w:rFonts w:ascii="Consolas" w:hAnsi="Consolas"/>
          <w:shd w:val="clear" w:color="auto" w:fill="F2F2F2"/>
        </w:rPr>
        <w:t>&lt;thread&gt;</w:t>
      </w:r>
      <w:r>
        <w:t xml:space="preserve">](#thread)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 xmlns="https://www.doclang.ai/ns/v1"&gt;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Optional; defaults to head metadata [</w:t>
            </w:r>
            <w:r>
              <w:rPr>
                <w:rFonts w:ascii="Consolas" w:hAnsi="Consolas"/>
                <w:shd w:val="clear" w:color="auto" w:fill="F2F2F2"/>
              </w:rPr>
              <w:t>&lt;default_resolution&gt;</w:t>
            </w:r>
            <w:r>
              <w:t>](#default_resolution),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Can only be child of [</w:t>
      </w:r>
      <w:r>
        <w:rPr>
          <w:rFonts w:ascii="Consolas" w:hAnsi="Consolas"/>
          <w:shd w:val="clear" w:color="auto" w:fill="F2F2F2"/>
        </w:rPr>
        <w:t>&lt;meta&gt;</w:t>
      </w:r>
      <w:r>
        <w:t>](#meta).</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Can only be child of [</w:t>
      </w:r>
      <w:r>
        <w:rPr>
          <w:rFonts w:ascii="Consolas" w:hAnsi="Consolas"/>
          <w:shd w:val="clear" w:color="auto" w:fill="F2F2F2"/>
        </w:rPr>
        <w:t>&lt;picture&gt;</w:t>
      </w:r>
      <w:r>
        <w:t>](#picture) or first child of [</w:t>
      </w:r>
      <w:r>
        <w:rPr>
          <w:rFonts w:ascii="Consolas" w:hAnsi="Consolas"/>
          <w:shd w:val="clear" w:color="auto" w:fill="F2F2F2"/>
        </w:rPr>
        <w:t>&lt;hyperlink&gt;</w:t>
      </w:r>
      <w:r>
        <w:t>](#hyperlink).</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selected</w:t>
            </w:r>
          </w:p>
        </w:tc>
        <w:tc>
          <w:tcPr>
            <w:tcW w:type="dxa" w:w="2160"/>
          </w:tcPr>
          <w:p>
            <w:r/>
            <w:r>
              <w:t>Optional;default: "false"</w:t>
            </w:r>
          </w:p>
        </w:tc>
        <w:tc>
          <w:tcPr>
            <w:tcW w:type="dxa" w:w="2160"/>
          </w:tcPr>
          <w:p>
            <w:r/>
            <w:r>
              <w:t>{"false", "true"}</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`&lt;hyperlink&gt;`</w:t>
      </w:r>
    </w:p>
    <w:p>
      <w:r>
        <w:t>Contains a [</w:t>
      </w:r>
      <w:r>
        <w:rPr>
          <w:rFonts w:ascii="Consolas" w:hAnsi="Consolas"/>
          <w:shd w:val="clear" w:color="auto" w:fill="F2F2F2"/>
        </w:rPr>
        <w:t>&lt;uri&gt;</w:t>
      </w:r>
      <w:r>
        <w:t>](#uri)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Structural Elements</w:t>
      </w:r>
    </w:p>
    <w:p>
      <w:r>
        <w:t>Structural elements define boundaries within tabular content (</w:t>
      </w:r>
      <w:r>
        <w:rPr>
          <w:rFonts w:ascii="Consolas" w:hAnsi="Consolas"/>
          <w:shd w:val="clear" w:color="auto" w:fill="F2F2F2"/>
        </w:rPr>
        <w:t>&lt;otsl&gt;</w:t>
      </w:r>
      <w:r>
        <w:t>).</w:t>
      </w:r>
    </w:p>
    <w:p>
      <w:pPr>
        <w:pStyle w:val="Heading4"/>
      </w:pPr>
      <w:r>
        <w:t>`&lt;fcel&gt;`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`&lt;ecel&gt;`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`&lt;rhed&gt;`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`&lt;corn&gt;`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`&lt;srow&gt;`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`&lt;ucel&gt;`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`&lt;xcel&gt;`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`&lt;nl&gt;`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`&lt;ldiv&gt;`</w:t>
      </w:r>
    </w:p>
    <w:p>
      <w:r>
        <w:t>Delimiter defining the beginning of a list item. It can either be empty or contain a [</w:t>
      </w:r>
      <w:r>
        <w:rPr>
          <w:rFonts w:ascii="Consolas" w:hAnsi="Consolas"/>
          <w:shd w:val="clear" w:color="auto" w:fill="F2F2F2"/>
        </w:rPr>
        <w:t>&lt;marker&gt;</w:t>
      </w:r>
      <w:r>
        <w:t>](#marker).</w:t>
      </w:r>
    </w:p>
    <w:p>
      <w:pPr>
        <w:pStyle w:val="Heading5"/>
      </w:pPr>
      <w:r>
        <w:t>Allowed Context</w:t>
      </w:r>
    </w:p>
    <w:p>
      <w:r>
        <w:t>Can only be child of [</w:t>
      </w:r>
      <w:r>
        <w:rPr>
          <w:rFonts w:ascii="Consolas" w:hAnsi="Consolas"/>
          <w:shd w:val="clear" w:color="auto" w:fill="F2F2F2"/>
        </w:rPr>
        <w:t>&lt;list&gt;</w:t>
      </w:r>
      <w:r>
        <w:t>](#list).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Only [</w:t>
            </w:r>
            <w:r>
              <w:rPr>
                <w:rFonts w:ascii="Consolas" w:hAnsi="Consolas"/>
                <w:shd w:val="clear" w:color="auto" w:fill="F2F2F2"/>
              </w:rPr>
              <w:t>&lt;marker&gt;</w:t>
            </w:r>
            <w:r>
              <w:t>](#marker)</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appendix-a-reference" TargetMode="External"/><Relationship Id="rId15" Type="http://schemas.openxmlformats.org/officeDocument/2006/relationships/hyperlink" Target="https://iso639-3.sil.org/about"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examples/form/form-examples.md"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oclang.ai/ns/v0&quot;" TargetMode="External"/><Relationship Id="rId32" Type="http://schemas.openxmlformats.org/officeDocument/2006/relationships/hyperlink" Target="https://www.doclang.ai/ns/v0&quot;}" TargetMode="External"/><Relationship Id="rId33" Type="http://schemas.openxmlformats.org/officeDocument/2006/relationships/hyperlink" Target="#head-and-body-areas" TargetMode="External"/><Relationship Id="rId34" Type="http://schemas.openxmlformats.org/officeDocument/2006/relationships/hyperlink" Target="#component-head-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