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pPr>
        <w:pStyle w:val="Heading1"/>
      </w:pPr>
      <w:r>
        <w:t>ISO XXX - DocLang: Universal Document Markup Format (Revised)</w:t>
      </w:r>
    </w:p>
    <w:p>
      <w:pPr>
        <w:pStyle w:val="Heading2"/>
      </w:pPr>
      <w:r>
        <w:t>Foreword</w:t>
      </w:r>
    </w:p>
    <w:p>
      <w:r>
        <w:t>This document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w:t>
            </w:r>
          </w:p>
        </w:tc>
        <w:tc>
          <w:tcPr>
            <w:tcW w:type="dxa" w:w="2880"/>
          </w:tcPr>
          <w:p>
            <w:r/>
            <w:r>
              <w:t>marlene.wolfgruber@abbyy.com</w:t>
            </w:r>
          </w:p>
        </w:tc>
      </w:tr>
      <w:tr>
        <w:tc>
          <w:tcPr>
            <w:tcW w:type="dxa" w:w="2880"/>
          </w:tcPr>
          <w:p>
            <w:r/>
            <w:r>
              <w:t>Maxime Vermeir</w:t>
            </w:r>
          </w:p>
        </w:tc>
        <w:tc>
          <w:tcPr>
            <w:tcW w:type="dxa" w:w="2880"/>
          </w:tcPr>
          <w:p>
            <w:r/>
            <w:r>
              <w:t>ABBY</w:t>
            </w:r>
          </w:p>
        </w:tc>
        <w:tc>
          <w:tcPr>
            <w:tcW w:type="dxa" w:w="2880"/>
          </w:tcPr>
          <w:p>
            <w:r/>
            <w:r>
              <w:t>maxime.vermeir@abbyy.com</w:t>
            </w:r>
          </w:p>
        </w:tc>
      </w:tr>
      <w:tr>
        <w:tc>
          <w:tcPr>
            <w:tcW w:type="dxa" w:w="2880"/>
          </w:tcPr>
          <w:p>
            <w:r/>
            <w:r>
              <w:t>Morgan Logue</w:t>
            </w:r>
          </w:p>
        </w:tc>
        <w:tc>
          <w:tcPr>
            <w:tcW w:type="dxa" w:w="2880"/>
          </w:tcPr>
          <w:p>
            <w:r/>
            <w:r>
              <w:t>ABBY</w:t>
            </w:r>
          </w:p>
        </w:tc>
        <w:tc>
          <w:tcPr>
            <w:tcW w:type="dxa" w:w="2880"/>
          </w:tcPr>
          <w:p>
            <w:r/>
            <w:r>
              <w:t>morgan.logue@abbyy.com</w:t>
            </w:r>
          </w:p>
        </w:tc>
      </w:tr>
      <w:tr>
        <w:tc>
          <w:tcPr>
            <w:tcW w:type="dxa" w:w="2880"/>
          </w:tcPr>
          <w:p>
            <w:r/>
            <w:r>
              <w:t>Andrew Pery</w:t>
            </w:r>
          </w:p>
        </w:tc>
        <w:tc>
          <w:tcPr>
            <w:tcW w:type="dxa" w:w="2880"/>
          </w:tcPr>
          <w:p>
            <w:r/>
            <w:r>
              <w:t>ABBY</w:t>
            </w:r>
          </w:p>
        </w:tc>
        <w:tc>
          <w:tcPr>
            <w:tcW w:type="dxa" w:w="2880"/>
          </w:tcPr>
          <w:p>
            <w:r/>
            <w:r>
              <w:t>???</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International Standard specifies the DocLang format, a universal markup language for representing structured document content with semantic, geometric, and formatting information.</w:t>
      </w:r>
    </w:p>
    <w:p>
      <w:pPr>
        <w:pStyle w:val="Heading2"/>
      </w:pPr>
      <w:r>
        <w:t>Introduction</w:t>
      </w:r>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pPr>
        <w:pStyle w:val="Heading2"/>
      </w:pPr>
      <w:r>
        <w:t>Scope</w:t>
      </w:r>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pPr>
        <w:pStyle w:val="Heading2"/>
      </w:pPr>
      <w:r>
        <w:t>Motivation</w:t>
      </w:r>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 a 1-to-1 mapping between DocLang tokens and LLM tokens) and efficiently (== minimal token count).</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DocLang/OTSL</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pPr>
        <w:pStyle w:val="Heading2"/>
      </w:pPr>
      <w:r>
        <w:t>Terminology</w:t>
      </w:r>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*within* a block element to shape its in-line structure; a typical HTML example is the </w:t>
      </w:r>
      <w:r>
        <w:rPr>
          <w:rFonts w:ascii="Consolas" w:hAnsi="Consolas"/>
          <w:shd w:val="clear" w:color="auto" w:fill="F2F2F2"/>
        </w:rPr>
        <w:t>span</w:t>
      </w:r>
      <w:r>
        <w:t xml:space="preserve"> element.</w:t>
      </w:r>
    </w:p>
    <w:p>
      <w:r>
        <w:t>Note that, whether block-level or inline, an element may contain *explicit* new lines.</w:t>
      </w:r>
    </w:p>
    <w:p>
      <w:pPr>
        <w:pStyle w:val="Heading2"/>
      </w:pPr>
      <w:r>
        <w:t>Property Semantics</w:t>
      </w:r>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pPr>
        <w:pStyle w:val="Heading2"/>
      </w:pPr>
      <w:r>
        <w:t>Content Encoding and Whitespace Handling</w:t>
      </w:r>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pPr>
        <w:pStyle w:val="Heading2"/>
      </w:pPr>
      <w:r>
        <w:t>Head and Body Areas</w:t>
      </w:r>
    </w:p>
    <w:p>
      <w:r>
        <w:t>Core document components such as paragraphs, tables, images etc., can have various properties associated with them. To separate between the component's properties and its actual content, respective DocLang elements follow a two-part scheme.</w:t>
      </w:r>
    </w:p>
    <w:p>
      <w:r>
        <w:t>The element's XML content begins with an optional *component head*, which is a sequence of dedicated elements that establish the element's properties. The component's effective content, e.g. paragraph text, is then captured by the remaining of the XML content, an area which is called the *component body*.</w:t>
      </w:r>
    </w:p>
    <w:p>
      <w:r>
        <w:t xml:space="preserve">The overall DocLang document follows a similar structure: Any global document properties are captured in the optional *document head* and the remaining content is called the *document body*. Unlike the component head, the document head is encapsulated in a dedicated </w:t>
      </w:r>
      <w:r>
        <w:rPr>
          <w:rFonts w:ascii="Consolas" w:hAnsi="Consolas"/>
          <w:shd w:val="clear" w:color="auto" w:fill="F2F2F2"/>
        </w:rPr>
        <w:t>&lt;head&gt;</w:t>
      </w:r>
      <w:r>
        <w:t xml:space="preserve"> element — the body is unwrapped in both cases.</w:t>
      </w:r>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&lt;date&gt;2020-01-01&lt;/date&gt;</w:t>
        <w:br/>
        <w:t xml:space="preserve">    &lt;topic&gt;General&lt;/topic&gt;</w:t>
        <w:br/>
        <w:t xml:space="preserve">  &lt;/head&gt;</w:t>
        <w:br/>
        <w:t/>
        <w:br/>
        <w:t xml:space="preserve">  &lt;!-- document body: --&gt;</w:t>
        <w:br/>
        <w:t xml:space="preserve">  &lt;text&gt;</w:t>
        <w:br/>
        <w:t xml:space="preserve">    &lt;!-- component body: --&gt;</w:t>
        <w:br/>
        <w:t xml:space="preserve">    Headless paragraph</w:t>
        <w:br/>
        <w:t xml:space="preserve">  &lt;/text&gt;</w:t>
        <w:br/>
        <w:t xml:space="preserve">  &lt;text&gt;</w:t>
        <w:br/>
        <w:t xml:space="preserve">    &lt;!-- component head: --&gt;</w:t>
        <w:br/>
        <w:t xml:space="preserve">    &lt;meta&gt;&lt;summary&gt;A salutation.&lt;/summary&gt;&lt;/meta&gt;</w:t>
        <w:br/>
        <w:t xml:space="preserve">    &lt;location value="60"/&gt;&lt;location value="260"/&gt;</w:t>
        <w:br/>
        <w:t xml:space="preserve">    &lt;location value="440"/&gt;&lt;location value="270"/&gt;</w:t>
        <w:br/>
        <w:t/>
        <w:br/>
        <w:t xml:space="preserve">    &lt;!-- component body: --&gt;</w:t>
        <w:br/>
        <w:t xml:space="preserve">    &lt;italic&gt;Hello&lt;/italic&gt;</w:t>
        <w:br/>
        <w:t xml:space="preserve">    &lt;content&gt; world!&lt;/content&gt;</w:t>
        <w:br/>
        <w:t xml:space="preserve">  &lt;/text&gt;</w:t>
        <w:br/>
        <w:t>&lt;/doclang&gt;</w:t>
      </w:r>
    </w:p>
    <w:p>
      <w:pPr>
        <w:pStyle w:val="Heading2"/>
      </w:pPr>
      <w:r>
        <w:t>DocLang Structure</w:t>
      </w:r>
    </w:p>
    <w:p>
      <w:r>
        <w:t>DocLang is a constrained subset of XML with the following characteristics:</w:t>
      </w:r>
    </w:p>
    <w:p>
      <w:pPr>
        <w:pStyle w:val="ListBullet"/>
        <w:ind w:left="360" w:hanging="360"/>
      </w:pPr>
      <w:r>
        <w:t>Simplified syntax with a finite set of allowed tags</w:t>
      </w:r>
    </w:p>
    <w:p>
      <w:pPr>
        <w:pStyle w:val="ListBullet"/>
        <w:ind w:left="360" w:hanging="360"/>
      </w:pPr>
      <w:r>
        <w:t>Constrained use of attributes on most elements</w:t>
      </w:r>
    </w:p>
    <w:p>
      <w:pPr>
        <w:pStyle w:val="ListBullet"/>
        <w:ind w:left="360" w:hanging="360"/>
      </w:pPr>
      <w:r>
        <w:t>Character-based encoding using legal Unicode characters (except Null)</w:t>
      </w:r>
    </w:p>
    <w:p>
      <w:pPr>
        <w:pStyle w:val="ListBullet"/>
        <w:ind w:left="360" w:hanging="360"/>
      </w:pPr>
      <w:r>
        <w:t>Standard XML parsing rules apply for markup vs content distinction</w:t>
      </w:r>
    </w:p>
    <w:p>
      <w:r>
        <w:t xml:space="preserve">The individual DocLang elements are specified in the </w:t>
      </w:r>
      <w:hyperlink r:id="rId14">
        <w:r>
          <w:rPr>
            <w:rStyle w:val="Hyperlink"/>
          </w:rPr>
          <w:t>reference</w:t>
        </w:r>
      </w:hyperlink>
      <w:r>
        <w:t>.</w:t>
      </w:r>
    </w:p>
    <w:p>
      <w:pPr>
        <w:pStyle w:val="Heading3"/>
      </w:pPr>
      <w:r>
        <w:t>Versioning</w:t>
      </w:r>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r>
        <w:t xml:space="preserve">The version of the present specification is </w:t>
      </w:r>
      <w:r>
        <w:rPr>
          <w:b/>
        </w:rPr>
        <w:t>0.1</w:t>
      </w:r>
      <w:r>
        <w:t>.</w:t>
      </w:r>
    </w:p>
    <w:p>
      <w:pPr>
        <w:pStyle w:val="Heading4"/>
      </w:pPr>
      <w:r>
        <w:t>Semantic Versioning Principles</w:t>
      </w:r>
    </w:p>
    <w:p>
      <w:r>
        <w:t>The XSD schema used for validating DocLang XML documents defines the specification versions it supports based on Semantic Versioning principles, i.e. for X &gt;= 1:</w:t>
      </w:r>
    </w:p>
    <w:p>
      <w:pPr>
        <w:pStyle w:val="ListBullet"/>
        <w:ind w:left="360" w:hanging="360"/>
      </w:pPr>
      <w:r>
        <w:t xml:space="preserve">A document with version </w:t>
      </w:r>
      <w:r>
        <w:rPr>
          <w:rFonts w:ascii="Consolas" w:hAnsi="Consolas"/>
          <w:shd w:val="clear" w:color="auto" w:fill="F2F2F2"/>
        </w:rPr>
        <w:t>X.Y</w:t>
      </w:r>
      <w:r>
        <w:t xml:space="preserve"> may be compatible with an XSD schema supporting version </w:t>
      </w:r>
      <w:r>
        <w:rPr>
          <w:rFonts w:ascii="Consolas" w:hAnsi="Consolas"/>
          <w:shd w:val="clear" w:color="auto" w:fill="F2F2F2"/>
        </w:rPr>
        <w:t>X.Z</w:t>
      </w:r>
      <w:r>
        <w:t xml:space="preserve"> where </w:t>
      </w:r>
      <w:r>
        <w:rPr>
          <w:rFonts w:ascii="Consolas" w:hAnsi="Consolas"/>
          <w:shd w:val="clear" w:color="auto" w:fill="F2F2F2"/>
        </w:rPr>
        <w:t>Z &gt;= Y</w:t>
      </w:r>
      <w:r>
        <w:t xml:space="preserve"> (forward compatibility within the same major version)</w:t>
      </w:r>
    </w:p>
    <w:p>
      <w:pPr>
        <w:pStyle w:val="ListBullet"/>
        <w:ind w:left="360" w:hanging="360"/>
      </w:pPr>
      <w:r>
        <w:t xml:space="preserve">A document with version </w:t>
      </w:r>
      <w:r>
        <w:rPr>
          <w:rFonts w:ascii="Consolas" w:hAnsi="Consolas"/>
          <w:shd w:val="clear" w:color="auto" w:fill="F2F2F2"/>
        </w:rPr>
        <w:t>X.Y</w:t>
      </w:r>
      <w:r>
        <w:t xml:space="preserve"> is considered incompatible with an XSD schema supporting only version </w:t>
      </w:r>
      <w:r>
        <w:rPr>
          <w:rFonts w:ascii="Consolas" w:hAnsi="Consolas"/>
          <w:shd w:val="clear" w:color="auto" w:fill="F2F2F2"/>
        </w:rPr>
        <w:t>X.Z</w:t>
      </w:r>
      <w:r>
        <w:t xml:space="preserve"> where </w:t>
      </w:r>
      <w:r>
        <w:rPr>
          <w:rFonts w:ascii="Consolas" w:hAnsi="Consolas"/>
          <w:shd w:val="clear" w:color="auto" w:fill="F2F2F2"/>
        </w:rPr>
        <w:t>Z &lt; Y</w:t>
      </w:r>
      <w:r>
        <w:t xml:space="preserve"> (no backward compatibility for minor version increases)</w:t>
      </w:r>
    </w:p>
    <w:p>
      <w:r>
        <w:rPr>
          <w:b/>
        </w:rPr>
        <w:t>Example:</w:t>
      </w:r>
    </w:p>
    <w:p>
      <w:pPr>
        <w:pStyle w:val="ListBullet"/>
        <w:ind w:left="360" w:hanging="360"/>
      </w:pPr>
      <w:r>
        <w:t xml:space="preserve">A </w:t>
      </w:r>
      <w:r>
        <w:rPr>
          <w:rFonts w:ascii="Consolas" w:hAnsi="Consolas"/>
          <w:shd w:val="clear" w:color="auto" w:fill="F2F2F2"/>
        </w:rPr>
        <w:t>1.0</w:t>
      </w:r>
      <w:r>
        <w:t xml:space="preserve"> document may be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pPr>
        <w:pStyle w:val="Heading4"/>
      </w:pPr>
      <w:r>
        <w:t>Version 0.x Behavior</w:t>
      </w:r>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pPr>
        <w:pStyle w:val="Heading4"/>
      </w:pPr>
      <w:r>
        <w:t>XSD Schema Versioning</w:t>
      </w:r>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pPr>
        <w:pStyle w:val="Heading3"/>
      </w:pPr>
      <w:r>
        <w:t>Metadata Elements</w:t>
      </w:r>
    </w:p>
    <w:p>
      <w:r>
        <w:t>Metadata elements are meant to capture information that is not directly part of the document *content*, but rather:</w:t>
      </w:r>
    </w:p>
    <w:p>
      <w:pPr>
        <w:pStyle w:val="ListBullet"/>
        <w:ind w:left="360" w:hanging="360"/>
      </w:pPr>
      <w:r>
        <w:t>deriveable from the document</w:t>
      </w:r>
    </w:p>
    <w:p>
      <w:pPr>
        <w:pStyle w:val="ListBullet"/>
        <w:ind w:left="720" w:hanging="360"/>
      </w:pPr>
      <w:r>
        <w:t>either directly, e.g. a summary of a certain component</w:t>
      </w:r>
    </w:p>
    <w:p>
      <w:pPr>
        <w:pStyle w:val="ListBullet"/>
        <w:ind w:left="720" w:hanging="360"/>
      </w:pPr>
      <w:r>
        <w:t>or in combination with other context, e.g. from external knowledge sources</w:t>
      </w:r>
    </w:p>
    <w:p>
      <w:pPr>
        <w:pStyle w:val="ListBullet"/>
        <w:ind w:left="360" w:hanging="360"/>
      </w:pPr>
      <w:r>
        <w:t>or reflects properties of the upstream pipeline, e.g. the VLM that generated the document.</w:t>
      </w:r>
    </w:p>
    <w:p>
      <w:r>
        <w:t>As applications can have varying requirements, this standard defines a set of reserved metadata elements for common use cases, but also allows for custom metadata elements to be added. To avoid collisions, custom metadata SHOULD always be properly namespaced, as illustrated in the examples further below.</w:t>
      </w:r>
    </w:p>
    <w:p>
      <w:r>
        <w:t xml:space="preserve">Document-level metadata is contained in the </w:t>
      </w:r>
      <w:r>
        <w:rPr>
          <w:rFonts w:ascii="Consolas" w:hAnsi="Consolas"/>
          <w:shd w:val="clear" w:color="auto" w:fill="F2F2F2"/>
        </w:rPr>
        <w:t>&lt;head&gt;</w:t>
      </w:r>
      <w:r>
        <w:t xml:space="preserve"> element, while component-level metadata is contained in an </w:t>
      </w:r>
      <w:r>
        <w:rPr>
          <w:rFonts w:ascii="Consolas" w:hAnsi="Consolas"/>
          <w:shd w:val="clear" w:color="auto" w:fill="F2F2F2"/>
        </w:rPr>
        <w:t>&lt;meta&gt;</w:t>
      </w:r>
      <w:r>
        <w:t xml:space="preserve"> element within the respective component element. We discuss the details in the subsections below.</w:t>
      </w:r>
    </w:p>
    <w:p>
      <w:pPr>
        <w:pStyle w:val="Heading4"/>
      </w:pPr>
      <w:r>
        <w:t>The `head` Element</w:t>
      </w:r>
    </w:p>
    <w:p>
      <w:r>
        <w:t xml:space="preserve">After the optional </w:t>
      </w:r>
      <w:r>
        <w:rPr>
          <w:rFonts w:ascii="Consolas" w:hAnsi="Consolas"/>
          <w:shd w:val="clear" w:color="auto" w:fill="F2F2F2"/>
        </w:rPr>
        <w:t>version</w:t>
      </w:r>
      <w:r>
        <w:t xml:space="preserve"> element, the </w:t>
      </w:r>
      <w:r>
        <w:rPr>
          <w:rFonts w:ascii="Consolas" w:hAnsi="Consolas"/>
          <w:shd w:val="clear" w:color="auto" w:fill="F2F2F2"/>
        </w:rPr>
        <w:t>doclang</w:t>
      </w:r>
      <w:r>
        <w:t xml:space="preserve"> element can continue with an optional </w:t>
      </w:r>
      <w:r>
        <w:rPr>
          <w:rFonts w:ascii="Consolas" w:hAnsi="Consolas"/>
          <w:shd w:val="clear" w:color="auto" w:fill="F2F2F2"/>
        </w:rPr>
        <w:t>&lt;head&gt;</w:t>
      </w:r>
      <w:r>
        <w:t xml:space="preserve"> element. 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default_resolution</w:t>
      </w:r>
      <w:r>
        <w:t xml:space="preserve">, containing attributes for the document-level default </w:t>
      </w:r>
      <w:r>
        <w:rPr>
          <w:rFonts w:ascii="Consolas" w:hAnsi="Consolas"/>
          <w:shd w:val="clear" w:color="auto" w:fill="F2F2F2"/>
        </w:rPr>
        <w:t>width</w:t>
      </w:r>
      <w:r>
        <w:t xml:space="preserve"> and </w:t>
      </w:r>
      <w:r>
        <w:rPr>
          <w:rFonts w:ascii="Consolas" w:hAnsi="Consolas"/>
          <w:shd w:val="clear" w:color="auto" w:fill="F2F2F2"/>
        </w:rPr>
        <w:t>heigth</w:t>
      </w:r>
      <w:r>
        <w:t xml:space="preserve"> resolution in pixels; if element is missing, 512x512 is considered the default resolution.</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15">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pPr>
        <w:pStyle w:val="Heading5"/>
      </w:pPr>
      <w:r>
        <w:t>Governance and compliance metadata</w:t>
      </w:r>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Component-level governance (e.g., component-specific redaction or extraction restrictions) MAY be expressed inside a component’s </w:t>
      </w:r>
      <w:r>
        <w:rPr>
          <w:rFonts w:ascii="Consolas" w:hAnsi="Consolas"/>
          <w:shd w:val="clear" w:color="auto" w:fill="F2F2F2"/>
        </w:rPr>
        <w:t>&lt;meta&gt;</w:t>
      </w:r>
      <w:r>
        <w:t xml:space="preserve"> when appropriate.</w:t>
      </w:r>
    </w:p>
    <w:p>
      <w:pPr>
        <w:pStyle w:val="Heading6"/>
      </w:pPr>
      <w:r>
        <w:t>Standards reference and interpretation</w:t>
      </w:r>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pPr>
        <w:pStyle w:val="Heading6"/>
      </w:pPr>
      <w:r>
        <w:t>Governance narrative and flow</w:t>
      </w:r>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pPr>
        <w:pStyle w:val="Heading6"/>
      </w:pPr>
      <w:r>
        <w:t>Naming and terminology conventions</w:t>
      </w:r>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pPr>
        <w:pStyle w:val="Heading6"/>
      </w:pPr>
      <w:r>
        <w:t>Governance overview</w:t>
      </w:r>
    </w:p>
    <w:p>
      <w:r>
        <w:t>Governance metadata is intended to be machine-actionable: it should enable downstream systems (including AI systems) to determine what is permitted, under what constraints, and with what obligations.</w:t>
      </w:r>
    </w:p>
    <w:p>
      <w:pPr>
        <w:pStyle w:val="Heading6"/>
      </w:pPr>
      <w:r>
        <w:t>Licensing and rights</w:t>
      </w:r>
    </w:p>
    <w:p>
      <w:pPr>
        <w:pStyle w:val="ListBullet"/>
        <w:ind w:left="360" w:hanging="360"/>
      </w:pPr>
      <w:r>
        <w:rPr>
          <w:rFonts w:ascii="Consolas" w:hAnsi="Consolas"/>
          <w:shd w:val="clear" w:color="auto" w:fill="F2F2F2"/>
        </w:rPr>
        <w:t>licenses</w:t>
      </w:r>
      <w:r>
        <w:t xml:space="preserve"> Indicate one or more licenses covering use of the document.</w:t>
      </w:r>
    </w:p>
    <w:p>
      <w:pPr>
        <w:pStyle w:val="Heading6"/>
      </w:pPr>
      <w:r>
        <w:t>Data classification and privacy posture</w:t>
      </w:r>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pPr>
        <w:pStyle w:val="Heading6"/>
      </w:pPr>
      <w:r>
        <w:t>Acceptable use and purpose limitation</w:t>
      </w:r>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pPr>
        <w:pStyle w:val="Heading6"/>
      </w:pPr>
      <w:r>
        <w:t>Stewardship and contact</w:t>
      </w:r>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pPr>
        <w:pStyle w:val="Heading6"/>
      </w:pPr>
      <w:r>
        <w:t>Access control policy</w:t>
      </w:r>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pPr>
        <w:pStyle w:val="Heading6"/>
      </w:pPr>
      <w:r>
        <w:t>Retention and deletion</w:t>
      </w:r>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pPr>
        <w:pStyle w:val="Heading6"/>
      </w:pPr>
      <w:r>
        <w:t>Compliance frameworks</w:t>
      </w:r>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pPr>
        <w:pStyle w:val="Heading6"/>
      </w:pPr>
      <w:r>
        <w:t>Privacy and PII controls</w:t>
      </w:r>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pPr>
        <w:pStyle w:val="Heading6"/>
      </w:pPr>
      <w:r>
        <w:t>Data extraction controls</w:t>
      </w:r>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pPr>
        <w:pStyle w:val="Heading6"/>
      </w:pPr>
      <w:r>
        <w:t>RAG and retrieval controls</w:t>
      </w:r>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pPr>
        <w:pStyle w:val="Heading6"/>
      </w:pPr>
      <w:r>
        <w:t>Document training controls</w:t>
      </w:r>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pPr>
        <w:pStyle w:val="Heading6"/>
      </w:pPr>
      <w:r>
        <w:t>Minimal and full governance profiles</w:t>
      </w:r>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pPr>
        <w:pStyle w:val="Heading6"/>
      </w:pPr>
      <w:r>
        <w:t>Example</w:t>
      </w:r>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pPr>
        <w:pStyle w:val="Heading6"/>
      </w:pPr>
      <w:r>
        <w:t>Consolidated example (PII + extraction + RAG + training)</w:t>
      </w:r>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using </w:t>
      </w:r>
      <w:r>
        <w:rPr>
          <w:rFonts w:ascii="Consolas" w:hAnsi="Consolas"/>
          <w:shd w:val="clear" w:color="auto" w:fill="F2F2F2"/>
        </w:rPr>
        <w:t>&lt;meta&gt;</w:t>
      </w:r>
      <w:r>
        <w:t xml:space="preserve">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pPr>
        <w:pStyle w:val="Heading2"/>
      </w:pPr>
      <w:r>
        <w:t>Examples</w:t>
      </w:r>
    </w:p>
    <w:p>
      <w:pPr>
        <w:pStyle w:val="Heading3"/>
      </w:pPr>
      <w:r>
        <w:t>Simple Document Structure</w:t>
      </w:r>
    </w:p>
    <w:p>
      <w:r>
        <w:t>In the simplest document example, document elements are in a flat list,</w:t>
      </w:r>
    </w:p>
    <w:p>
      <w:pPr>
        <w:shd w:val="clear" w:color="auto" w:fill="F2F2F2"/>
      </w:pPr>
      <w:r>
        <w:rPr>
          <w:rFonts w:ascii="Consolas" w:hAnsi="Consolas"/>
          <w:sz w:val="18"/>
        </w:rPr>
        <w:t>&lt;doclang version="1.0.0"&gt;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 version="1.0.0"&gt;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pPr>
        <w:pStyle w:val="Heading3"/>
      </w:pPr>
      <w:r>
        <w:t>Code snippets</w:t>
      </w:r>
    </w:p>
    <w:p>
      <w:r>
        <w:t xml:space="preserve">Code content is captured with </w:t>
      </w:r>
      <w:r>
        <w:rPr>
          <w:rFonts w:ascii="Consolas" w:hAnsi="Consolas"/>
          <w:shd w:val="clear" w:color="auto" w:fill="F2F2F2"/>
        </w:rPr>
        <w:t>&lt;code&gt;</w:t>
      </w:r>
      <w:r>
        <w:t xml:space="preserve">, either as a standalone block or inlined within a semantic element. The </w:t>
      </w:r>
      <w:r>
        <w:rPr>
          <w:rFonts w:ascii="Consolas" w:hAnsi="Consolas"/>
          <w:shd w:val="clear" w:color="auto" w:fill="F2F2F2"/>
        </w:rPr>
        <w:t>class</w:t>
      </w:r>
      <w:r>
        <w:t xml:space="preserve"> attribute can be optionally used for classifying the programming language.</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 class="python"&gt;&lt;content&gt;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 class="javascript"&gt;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tokens; keep </w:t>
      </w:r>
      <w:r>
        <w:rPr>
          <w:rFonts w:ascii="Consolas" w:hAnsi="Consolas"/>
          <w:shd w:val="clear" w:color="auto" w:fill="F2F2F2"/>
        </w:rPr>
        <w:t>&lt;class&gt;</w:t>
      </w:r>
      <w:r>
        <w:t xml:space="preserve"> in the first fragment.</w:t>
      </w:r>
    </w:p>
    <w:p>
      <w:pPr>
        <w:shd w:val="clear" w:color="auto" w:fill="F2F2F2"/>
      </w:pPr>
      <w:r>
        <w:rPr>
          <w:rFonts w:ascii="Consolas" w:hAnsi="Consolas"/>
          <w:sz w:val="18"/>
        </w:rPr>
        <w:t>&lt;code class="bash"&gt;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pPr>
        <w:pStyle w:val="Heading3"/>
      </w:pPr>
      <w:r>
        <w:t>Math and Equations</w:t>
      </w:r>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pPr>
        <w:pStyle w:val="Heading3"/>
      </w:pPr>
      <w:r>
        <w:t>Tables</w:t>
      </w:r>
    </w:p>
    <w:p>
      <w:r>
        <w:t>DocLang separates the table’s structure from its surrounding semantics:</w:t>
      </w:r>
    </w:p>
    <w:p>
      <w:pPr>
        <w:pStyle w:val="ListBullet"/>
        <w:ind w:left="360" w:hanging="360"/>
      </w:pPr>
      <w:r>
        <w:rPr>
          <w:rFonts w:ascii="Consolas" w:hAnsi="Consolas"/>
          <w:shd w:val="clear" w:color="auto" w:fill="F2F2F2"/>
        </w:rPr>
        <w:t>group</w:t>
      </w:r>
      <w:r>
        <w:t xml:space="preserve">: Semantic container that may include </w:t>
      </w:r>
      <w:r>
        <w:rPr>
          <w:rFonts w:ascii="Consolas" w:hAnsi="Consolas"/>
          <w:shd w:val="clear" w:color="auto" w:fill="F2F2F2"/>
        </w:rPr>
        <w:t>caption</w:t>
      </w:r>
      <w:r>
        <w:t xml:space="preserve">, multiple </w:t>
      </w:r>
      <w:r>
        <w:rPr>
          <w:rFonts w:ascii="Consolas" w:hAnsi="Consolas"/>
          <w:shd w:val="clear" w:color="auto" w:fill="F2F2F2"/>
        </w:rPr>
        <w:t>footnote</w:t>
      </w:r>
      <w:r>
        <w:t xml:space="preserve"> elements, and exactly one </w:t>
      </w:r>
      <w:r>
        <w:rPr>
          <w:rFonts w:ascii="Consolas" w:hAnsi="Consolas"/>
          <w:shd w:val="clear" w:color="auto" w:fill="F2F2F2"/>
        </w:rPr>
        <w:t>table</w:t>
      </w:r>
      <w:r>
        <w:t xml:space="preserve"> child for the structure. Do not put coordinates on the </w:t>
      </w:r>
      <w:r>
        <w:rPr>
          <w:rFonts w:ascii="Consolas" w:hAnsi="Consolas"/>
          <w:shd w:val="clear" w:color="auto" w:fill="F2F2F2"/>
        </w:rPr>
        <w:t>group</w:t>
      </w:r>
      <w:r>
        <w:t>.</w:t>
      </w:r>
    </w:p>
    <w:p>
      <w:pPr>
        <w:pStyle w:val="ListBullet"/>
        <w:ind w:left="360" w:hanging="360"/>
      </w:pPr>
      <w:r>
        <w:rPr>
          <w:rFonts w:ascii="Consolas" w:hAnsi="Consolas"/>
          <w:shd w:val="clear" w:color="auto" w:fill="F2F2F2"/>
        </w:rPr>
        <w:t>table</w:t>
      </w:r>
      <w:r>
        <w:t xml:space="preserve">: The structural table token sequence. Put the table region’s coordinates on </w:t>
      </w:r>
      <w:r>
        <w:rPr>
          <w:rFonts w:ascii="Consolas" w:hAnsi="Consolas"/>
          <w:shd w:val="clear" w:color="auto" w:fill="F2F2F2"/>
        </w:rPr>
        <w:t>table</w:t>
      </w:r>
      <w:r>
        <w:t xml:space="preserve"> for each page fragment. Cells are created by structural tokens (e.g., </w:t>
      </w:r>
      <w:r>
        <w:rPr>
          <w:rFonts w:ascii="Consolas" w:hAnsi="Consolas"/>
          <w:shd w:val="clear" w:color="auto" w:fill="F2F2F2"/>
        </w:rPr>
        <w:t>&lt;fcel/&gt;</w:t>
      </w:r>
      <w:r>
        <w:t xml:space="preserve">, </w:t>
      </w:r>
      <w:r>
        <w:rPr>
          <w:rFonts w:ascii="Consolas" w:hAnsi="Consolas"/>
          <w:shd w:val="clear" w:color="auto" w:fill="F2F2F2"/>
        </w:rPr>
        <w:t>&lt;ched/&gt;</w:t>
      </w:r>
      <w:r>
        <w:t>) and their content follows immediately after each cell token.</w:t>
      </w:r>
    </w:p>
    <w:p>
      <w:r>
        <w:t>Basic example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&lt;ched/&gt;Method&lt;ched/&gt;Accuracy&lt;nl/&gt;</w:t>
        <w:br/>
        <w:t xml:space="preserve">    &lt;fcel/&gt;Baseline&lt;fcel/&gt;0.85&lt;nl/&gt;</w:t>
        <w:br/>
        <w:t xml:space="preserve">    &lt;fcel/&gt;Proposed&lt;fcel/&gt;0.92&lt;nl/&gt;</w:t>
        <w:br/>
        <w:t xml:space="preserve">  &lt;/table&gt;</w:t>
        <w:br/>
        <w:t xml:space="preserve">  &lt;footnote&gt;Accuracy reported on validation set.&lt;/footnote&gt;</w:t>
        <w:br/>
        <w:t>&lt;/group&gt;</w:t>
      </w:r>
    </w:p>
    <w:p>
      <w:r>
        <w:t>Examples:</w:t>
      </w:r>
    </w:p>
    <w:p>
      <w:r>
        <w:t xml:space="preserve">Immediately after a cell-creating token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&lt;ched/&gt;Description&lt;ched/&gt;Details&lt;nl/&gt;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&lt;uri&gt;assets/img/sample.png&lt;/uri&gt;</w:t>
        <w:br/>
        <w:t xml:space="preserve">    &lt;/picture&gt;</w:t>
        <w:br/>
        <w:t xml:space="preserve">    &lt;caption&gt;Example image inside a cell&lt;/caption&gt;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tokens up to </w:t>
      </w:r>
      <w:r>
        <w:rPr>
          <w:rFonts w:ascii="Consolas" w:hAnsi="Consolas"/>
          <w:shd w:val="clear" w:color="auto" w:fill="F2F2F2"/>
        </w:rPr>
        <w:t>&lt;nl/&gt;</w:t>
      </w:r>
      <w:r>
        <w:t>.</w:t>
      </w:r>
    </w:p>
    <w:p>
      <w:pPr>
        <w:pStyle w:val="ListBullet"/>
        <w:ind w:left="360" w:hanging="360"/>
      </w:pPr>
      <w:r>
        <w:t>A cell can include any valid DocLang semantic element sequence.</w:t>
      </w:r>
    </w:p>
    <w:p>
      <w:pPr>
        <w:pStyle w:val="Heading3"/>
      </w:pPr>
      <w:r>
        <w:t>Lists</w:t>
      </w:r>
    </w:p>
    <w:p>
      <w:r>
        <w:t xml:space="preserve">A list can in principle can contain as list items any semantic element sequence. Every list item is preceded by an </w:t>
      </w:r>
      <w:r>
        <w:rPr>
          <w:rFonts w:ascii="Consolas" w:hAnsi="Consolas"/>
          <w:shd w:val="clear" w:color="auto" w:fill="F2F2F2"/>
        </w:rPr>
        <w:t>&lt;ldiv&gt;</w:t>
      </w:r>
      <w:r>
        <w:t xml:space="preserve"> element which may optionally contain a marker.</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pPr>
        <w:pStyle w:val="Heading3"/>
      </w:pPr>
      <w:r>
        <w:t>Fields</w:t>
      </w:r>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Token</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pPr>
        <w:pStyle w:val="Heading4"/>
      </w:pPr>
      <w:r>
        <w:t>Field Structure Rules</w:t>
      </w:r>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pPr>
        <w:pStyle w:val="Heading4"/>
      </w:pPr>
      <w:r>
        <w:t>Field region examples</w:t>
      </w:r>
    </w:p>
    <w:p>
      <w:pPr>
        <w:pStyle w:val="Heading5"/>
      </w:pPr>
      <w:r>
        <w:t>Simple key-values</w:t>
      </w:r>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6"/>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pPr>
        <w:pStyle w:val="Heading5"/>
      </w:pPr>
      <w:r>
        <w:t>Nesting forms and using form headings</w:t>
      </w:r>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7"/>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pPr>
        <w:pStyle w:val="Heading5"/>
      </w:pPr>
      <w:r>
        <w:t>Fillable form</w:t>
      </w:r>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8"/>
                    <a:stretch>
                      <a:fillRect/>
                    </a:stretch>
                  </pic:blipFill>
                  <pic:spPr>
                    <a:xfrm>
                      <a:off x="0" y="0"/>
                      <a:ext cx="5486400" cy="5895191"/>
                    </a:xfrm>
                    <a:prstGeom prst="rect"/>
                  </pic:spPr>
                </pic:pic>
              </a:graphicData>
            </a:graphic>
          </wp:inline>
        </w:drawing>
      </w:r>
    </w:p>
    <w:p>
      <w:r>
        <w:t>&lt;/td&gt;&lt;/tr&gt;&lt;/table&gt;</w:t>
      </w:r>
    </w:p>
    <w:p>
      <w:pPr>
        <w:pStyle w:val="Heading5"/>
      </w:pPr>
      <w:r>
        <w:t>Use of form headings</w:t>
      </w:r>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9"/>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pPr>
        <w:pStyle w:val="Heading5"/>
      </w:pPr>
      <w:r>
        <w:t>High density form</w:t>
      </w:r>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20"/>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pPr>
        <w:pStyle w:val="Heading5"/>
      </w:pPr>
      <w:r>
        <w:t>Classical duality between tables and explicit key-values</w:t>
      </w:r>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21"/>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&lt;ched/&gt;IP Address&lt;ched/&gt;Port&lt;ched/&gt;Service&lt;ched/&gt;Version&lt;nl/&gt;</w:t>
        <w:br/>
        <w:t xml:space="preserve">      &lt;fcell/&gt;10.0.0.101&lt;fcell/&gt;80/tcp, 8088/tcp&lt;fcell/&gt;Werkzeug&lt;fcell/&gt;3.0.1&lt;nl/&gt;</w:t>
        <w:br/>
        <w:t xml:space="preserve">      &lt;fcell/&gt;10.0.0.102&lt;fcell/&gt;80/tcp, 8088/tcp&lt;fcell/&gt;Werkzeug&lt;fcell/&gt;3.0.1&lt;nl/&gt;</w:t>
        <w:br/>
        <w:t xml:space="preserve">      &lt;fcell/&gt;10.0.0.103&lt;fcell/&gt;80/tcp, 8088/tcp&lt;fcell/&gt;Werkzeug&lt;fcell/&gt;3.0.1&lt;nl/&gt;</w:t>
        <w:br/>
        <w:t xml:space="preserve">      &lt;/table&gt;</w:t>
        <w:br/>
        <w:t xml:space="preserve">  &lt;/field_region&gt;</w:t>
      </w:r>
    </w:p>
    <w:p>
      <w:pPr>
        <w:pStyle w:val="Heading5"/>
      </w:pPr>
      <w:r>
        <w:t>Values without Keys</w:t>
      </w:r>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2"/>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pPr>
        <w:pStyle w:val="Heading5"/>
      </w:pPr>
      <w:r>
        <w:t>Another complex form deconstructed into field items</w:t>
      </w:r>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3"/>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pPr>
        <w:pStyle w:val="Heading5"/>
      </w:pPr>
      <w:r>
        <w:t>Middle section of a form with A and B choices</w:t>
      </w:r>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4"/>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pPr>
        <w:pStyle w:val="Heading5"/>
      </w:pPr>
      <w:r>
        <w:t>Tabular form with strong 2D value relationship</w:t>
      </w:r>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5"/>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&lt;table&gt;</w:t>
        <w:br/>
        <w:t xml:space="preserve">  &lt;srow&gt;Beiträge zur Altersvorsorge&lt;srow&gt;52&lt;/lcel&gt;&lt;/srow&gt;&lt;nl&gt;</w:t>
        <w:br/>
        <w:t xml:space="preserve">  &lt;fcel/&gt;&lt;ched/&gt;Steuerpflichtige Person / Ehemann / Person A&lt;ched/&gt;Ehefrau / Person B&lt;fcel/&gt; &lt;nl&gt;</w:t>
        <w:br/>
        <w:t xml:space="preserve">  &lt;fcel/&gt;Arbeitnehmeranteil laut Nr. 23 a / b der Lohnsteuerbescheinigung&lt;fcel/&gt;*FORM1*,-&lt;fcel/&gt;*FORM2*,-&lt;fcel/&gt;@&lt;nl&gt;</w:t>
        <w:br/>
        <w:t xml:space="preserve">  &lt;fcel/&gt;Beiträge zur landwirtschaftlichen Alterskasse; zu berufsständ...&lt;fcel/&gt;*FORM3*,-&lt;fcel/&gt;*FORM4*,-&lt;fcel/&gt; &lt;nl&gt;</w:t>
        <w:br/>
        <w:t xml:space="preserve">  &lt;fcel/&gt;Beiträge zu gesetzlichen Rentenversicherungen...&lt;fcel/&gt;*FORM5*,-&lt;fcel/&gt;*FORM6*,-&lt;fcel/&gt; &lt;nl&gt;</w:t>
        <w:br/>
        <w:t xml:space="preserve">  &lt;fcel/&gt;Erstattete Beiträge und / oder steuerfreie Zuschüsse zu den...&lt;fcel/&gt;*FORM7*,-&lt;fcel/&gt;*FORM8*,-&lt;fcel/&gt;@&lt;nl&gt;</w:t>
        <w:br/>
        <w:t xml:space="preserve">  ...</w:t>
        <w:br/>
        <w:t xml:space="preserve">  &lt;/table&gt;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pPr>
        <w:pStyle w:val="Heading5"/>
      </w:pPr>
      <w:r>
        <w:t>Mix table and form elements</w:t>
      </w:r>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6"/>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&lt;ched/&gt;If you checked (in Part l):&lt;ched/&gt;Enter&lt;nl&gt;</w:t>
        <w:br/>
        <w:t xml:space="preserve">  &lt;fcel/&gt;Box 1, 2, 4, or 7&lt;fcel/&gt;$5,000&lt;nl&gt;</w:t>
        <w:br/>
        <w:t xml:space="preserve">  &lt;fcel/&gt;Box 3, 5, or 6&lt;fcel/&gt;$7,500&lt;nl&gt;</w:t>
        <w:br/>
        <w:t xml:space="preserve">  &lt;fcel/&gt;Box 8 or 9&lt;fcel/&gt;$3,750&lt;nl&gt;</w:t>
        <w:br/>
        <w:t xml:space="preserve">  &lt;/table&gt;</w:t>
        <w:br/>
        <w:t xml:space="preserve">  &lt;field_item&gt;&lt;key&gt;10&lt;/key&gt;&lt;value&gt;&lt;/value&gt;&lt;/field_item&gt;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&lt;field_item&gt;&lt;key&gt;11&lt;/key&gt;&lt;value&gt;.&lt;/value&gt;&lt;/field_item&gt;</w:t>
        <w:br/>
        <w:t xml:space="preserve">  &lt;picture&gt;&lt;class&gt;pictogram&lt;/class&gt;&lt;/picture&gt;</w:t>
        <w:br/>
        <w:t xml:space="preserve">  &lt;text&gt;For more details on what to include on line 11...&lt;/text&gt;</w:t>
        <w:br/>
        <w:t xml:space="preserve">  &lt;text&gt;12 If you completed line 11, enter the smaller...&lt;/text&gt;</w:t>
        <w:br/>
        <w:t xml:space="preserve">  &lt;field_item&gt;&lt;key&gt;12&lt;/key&gt;&lt;value&gt;74,992&lt;/value&gt;&lt;/field_item&gt;</w:t>
        <w:br/>
        <w:t xml:space="preserve">  ...</w:t>
      </w:r>
    </w:p>
    <w:p>
      <w:pPr>
        <w:pStyle w:val="Heading5"/>
      </w:pPr>
      <w:r>
        <w:t>Key-value pair in the wild</w:t>
      </w:r>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7"/>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8">
        <w:r>
          <w:rPr>
            <w:rStyle w:val="Hyperlink"/>
          </w:rPr>
          <w:t>Form Examples</w:t>
        </w:r>
      </w:hyperlink>
    </w:p>
    <w:p>
      <w:pPr>
        <w:pStyle w:val="Heading3"/>
      </w:pPr>
      <w:r>
        <w:t>Fields</w:t>
      </w:r>
    </w:p>
    <w:p>
      <w:r>
        <w:t>Fields can be used for representing key-value data in a flexible structure where keys and values may be separated by other content or organized in complex layouts.</w:t>
      </w:r>
    </w:p>
    <w:p>
      <w:pPr>
        <w:pStyle w:val="Heading4"/>
      </w:pPr>
      <w:r>
        <w:t>Field Elements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field_region</w:t>
            </w:r>
          </w:p>
        </w:tc>
        <w:tc>
          <w:tcPr>
            <w:tcW w:type="dxa" w:w="4320"/>
          </w:tcPr>
          <w:p>
            <w:r/>
            <w:r>
              <w:t>Container for a region containing field items and related content</w:t>
            </w:r>
          </w:p>
        </w:tc>
      </w:tr>
      <w:tr>
        <w:tc>
          <w:tcPr>
            <w:tcW w:type="dxa" w:w="4320"/>
          </w:tcPr>
          <w:p>
            <w:r/>
            <w:r>
              <w:rPr>
                <w:rFonts w:ascii="Consolas" w:hAnsi="Consolas"/>
                <w:shd w:val="clear" w:color="auto" w:fill="F2F2F2"/>
              </w:rPr>
              <w:t>field_item</w:t>
            </w:r>
          </w:p>
        </w:tc>
        <w:tc>
          <w:tcPr>
            <w:tcW w:type="dxa" w:w="4320"/>
          </w:tcPr>
          <w:p>
            <w:r/>
            <w:r>
              <w:t xml:space="preserve">Container that associates keys with values;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field_heading</w:t>
            </w:r>
          </w:p>
        </w:tc>
        <w:tc>
          <w:tcPr>
            <w:tcW w:type="dxa" w:w="4320"/>
          </w:tcPr>
          <w:p>
            <w:r/>
            <w:r>
              <w:t>Heading within a field region, with optional level N ≥ 1</w:t>
            </w:r>
          </w:p>
        </w:tc>
      </w:tr>
    </w:tbl>
    <w:p>
      <w:pPr>
        <w:pStyle w:val="Heading4"/>
      </w:pPr>
      <w:r>
        <w:t>Field Structure Rules</w:t>
      </w:r>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Heading4"/>
      </w:pPr>
      <w:r>
        <w:t>Field Examples</w:t>
      </w:r>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&lt;uri&gt;assets/product-diagram.png&lt;/uri&gt;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pPr>
        <w:pStyle w:val="Heading3"/>
      </w:pPr>
      <w:r>
        <w:t>Split structure</w:t>
      </w:r>
    </w:p>
    <w:p>
      <w:r>
        <w:t xml:space="preserve">We can capture content that is split (e.g. across columns or across pages) using the </w:t>
      </w:r>
      <w:r>
        <w:rPr>
          <w:rFonts w:ascii="Consolas" w:hAnsi="Consolas"/>
          <w:shd w:val="clear" w:color="auto" w:fill="F2F2F2"/>
        </w:rPr>
        <w:t>&lt;thread thread_id="N"/&gt;</w:t>
      </w:r>
      <w:r>
        <w:t xml:space="preserve"> token,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pPr>
        <w:pStyle w:val="Heading4"/>
      </w:pPr>
      <w:r>
        <w:t>Cross-column structure example</w:t>
      </w:r>
    </w:p>
    <w:p>
      <w:r>
        <w:drawing>
          <wp:inline xmlns:a="http://schemas.openxmlformats.org/drawingml/2006/main" xmlns:pic="http://schemas.openxmlformats.org/drawingml/2006/picture">
            <wp:extent cx="5486400" cy="7100047"/>
            <wp:docPr id="15" name="Picture 15"/>
            <wp:cNvGraphicFramePr>
              <a:graphicFrameLocks noChangeAspect="1"/>
            </wp:cNvGraphicFramePr>
            <a:graphic>
              <a:graphicData uri="http://schemas.openxmlformats.org/drawingml/2006/picture">
                <pic:pic>
                  <pic:nvPicPr>
                    <pic:cNvPr id="0" name="inline_00.png"/>
                    <pic:cNvPicPr/>
                  </pic:nvPicPr>
                  <pic:blipFill>
                    <a:blip r:embed="rId29"/>
                    <a:stretch>
                      <a:fillRect/>
                    </a:stretch>
                  </pic:blipFill>
                  <pic:spPr>
                    <a:xfrm>
                      <a:off x="0" y="0"/>
                      <a:ext cx="5486400" cy="7100047"/>
                    </a:xfrm>
                    <a:prstGeom prst="rect"/>
                  </pic:spPr>
                </pic:pic>
              </a:graphicData>
            </a:graphic>
          </wp:inline>
        </w:drawing>
      </w:r>
    </w:p>
    <w:p>
      <w:r>
        <w:t>Each block that has location information is a top-level tag of the corresponding label, e.g. "text".</w:t>
      </w:r>
    </w:p>
    <w:p>
      <w:r>
        <w:t>Top-level tags which belong to the same item should have the same thread token.</w:t>
      </w:r>
    </w:p>
    <w:p>
      <w:pPr>
        <w:shd w:val="clear" w:color="auto" w:fill="F2F2F2"/>
      </w:pPr>
      <w:r>
        <w:rPr>
          <w:rFonts w:ascii="Consolas" w:hAnsi="Consolas"/>
          <w:sz w:val="18"/>
        </w:rPr>
        <w:t>&lt;text&gt;</w:t>
        <w:br/>
        <w:t xml:space="preserve">    &lt;loc_10/&gt;&lt;loc_20/&gt;&lt;loc_30/&gt;&lt;loc_40/&gt;</w:t>
        <w:br/>
        <w:t xml:space="preserve">    &lt;thread thread_id="1"/&gt;</w:t>
        <w:br/>
        <w:t xml:space="preserve">    where τ&lt;subscript&gt;x,y,z&lt;/subscript&gt; are the Pauli matrices acting</w:t>
        <w:br/>
        <w:t xml:space="preserve">    on Nambu space. We consider a circular-shaped boundary, the nor-</w:t>
        <w:br/>
        <w:t>&lt;/text&gt;</w:t>
        <w:br/>
        <w:t/>
        <w:br/>
        <w:t>&lt;caption&gt;</w:t>
        <w:br/>
        <w:t xml:space="preserve">    &lt;loc_15/&gt;&lt;loc_25/&gt;&lt;loc_35/&gt;&lt;loc_45/&gt;</w:t>
        <w:br/>
        <w:t xml:space="preserve">    FIG. 3. The modules of the inner product of two MES spinors</w:t>
        <w:br/>
        <w:t xml:space="preserve">    &lt;formula&gt;...&lt;formula/&gt;</w:t>
        <w:br/>
        <w:t xml:space="preserve">    ...</w:t>
        <w:br/>
        <w:t>&lt;/caption&gt;</w:t>
        <w:br/>
        <w:t/>
        <w:br/>
        <w:t>&lt;text&gt;</w:t>
        <w:br/>
        <w:t xml:space="preserve">    &lt;loc_20/&gt;&lt;loc_30/&gt;&lt;loc_40/&gt;&lt;loc_50/&gt;</w:t>
        <w:br/>
        <w:t xml:space="preserve">    &lt;thread thread_id="1"/&gt;</w:t>
        <w:br/>
        <w:t xml:space="preserve">    mal direction of the boundary tangent for arbitrary angle θ is</w:t>
        <w:br/>
        <w:t xml:space="preserve">    &lt;formula&gt;ˆx⊥ = (cos θ, sin θ)&lt;/formula&gt;</w:t>
        <w:br/>
        <w:t xml:space="preserve">    . Next, we assume an ansatz for the edge state wave function at θ as</w:t>
        <w:br/>
        <w:t xml:space="preserve">	&lt;formula&gt;Ψu/l(x⊥) =eλx⊥ eik∥ x∥ ξu/l &lt;/formula&gt;</w:t>
        <w:br/>
        <w:t xml:space="preserve">	with</w:t>
        <w:br/>
        <w:t xml:space="preserve">	&lt;formula&gt;k∥ = sin θkx − cos θky&lt;/formula&gt;</w:t>
        <w:br/>
        <w:t xml:space="preserve">	Here, |ξu⟩ and |ξl⟩ represent the spinors ...  of the chiral MESs with</w:t>
        <w:br/>
        <w:t xml:space="preserve">	&lt;formula&gt;φu = 0&lt;/formula&gt;</w:t>
        <w:br/>
        <w:t xml:space="preserve">    and</w:t>
        <w:br/>
        <w:t xml:space="preserve">	&lt;formula&gt;φl = φ:&lt;/formula&gt;</w:t>
        <w:br/>
        <w:t>&lt;/text&gt;</w:t>
      </w:r>
    </w:p>
    <w:p>
      <w:pPr>
        <w:pStyle w:val="Heading4"/>
      </w:pPr>
      <w:r>
        <w:t>Cross-page structure example</w:t>
      </w:r>
    </w:p>
    <w:p>
      <w:r>
        <w:drawing>
          <wp:inline xmlns:a="http://schemas.openxmlformats.org/drawingml/2006/main" xmlns:pic="http://schemas.openxmlformats.org/drawingml/2006/picture">
            <wp:extent cx="5486400" cy="3086100"/>
            <wp:docPr id="16" name="Picture 16"/>
            <wp:cNvGraphicFramePr>
              <a:graphicFrameLocks noChangeAspect="1"/>
            </wp:cNvGraphicFramePr>
            <a:graphic>
              <a:graphicData uri="http://schemas.openxmlformats.org/drawingml/2006/picture">
                <pic:pic>
                  <pic:nvPicPr>
                    <pic:cNvPr id="0" name="cross_page_00.png"/>
                    <pic:cNvPicPr/>
                  </pic:nvPicPr>
                  <pic:blipFill>
                    <a:blip r:embed="rId30"/>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&lt;loc_10/&gt;&lt;loc_20/&gt;&lt;loc_30/&gt;&lt;loc_40/&gt;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&lt;loc_15/&gt;&lt;loc_25/&gt;&lt;loc_35/&gt;&lt;loc_45/&gt;</w:t>
        <w:br/>
        <w:t xml:space="preserve">        Mentorships and internship programs featuring diverse employees and students</w:t>
        <w:br/>
        <w:t xml:space="preserve">    &lt;/text&gt;</w:t>
        <w:br/>
        <w:t xml:space="preserve">    ...</w:t>
        <w:br/>
        <w:t xml:space="preserve">    &lt;ldiv/&gt;</w:t>
        <w:br/>
        <w:t xml:space="preserve">    &lt;text&gt;</w:t>
        <w:br/>
        <w:t xml:space="preserve">        &lt;loc_20/&gt;&lt;loc_30/&gt;&lt;loc_40/&gt;&lt;loc_50/&gt;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&lt;loc_25/&gt;&lt;loc_35/&gt;&lt;loc_45/&gt;&lt;loc_55/&gt;</w:t>
        <w:br/>
        <w:t xml:space="preserve">                Historically Black Colleges and Universities (HBCUs) site visits and career fairs</w:t>
        <w:br/>
        <w:t xml:space="preserve">            &lt;/text&gt;</w:t>
        <w:br/>
        <w:t xml:space="preserve">            ...</w:t>
        <w:br/>
        <w:t xml:space="preserve">            &lt;ldiv/&gt;</w:t>
        <w:br/>
        <w:t xml:space="preserve">            &lt;text&gt;</w:t>
        <w:br/>
        <w:t xml:space="preserve">                &lt;loc_30/&gt;&lt;loc_40/&gt;&lt;loc_50/&gt;&lt;loc_60/&gt;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&lt;page_footer&gt;&lt;loc_35/&gt;&lt;loc_45/&gt;&lt;loc_55/&gt;&lt;loc_65/&gt;16 Neurocrine Biosciences&lt;/page_footer&gt;</w:t>
        <w:br/>
        <w:t/>
        <w:br/>
        <w:t>&lt;page_break/&gt;</w:t>
        <w:br/>
        <w:t/>
        <w:br/>
        <w:t>&lt;list class="unordered"&gt;</w:t>
        <w:br/>
        <w:t xml:space="preserve">    &lt;thread thread_id="1"/&gt;</w:t>
        <w:br/>
        <w:t xml:space="preserve">    &lt;ldiv/&gt;</w:t>
        <w:br/>
        <w:t xml:space="preserve">    &lt;text&gt;</w:t>
        <w:br/>
        <w:t xml:space="preserve">        &lt;loc_40/&gt;&lt;loc_50/&gt;&lt;loc_60/&gt;&lt;loc_70/&gt;</w:t>
        <w:br/>
        <w:t xml:space="preserve">        &lt;![CDATA[Build upon DE&amp;I employee education initiatives including: ...]]&gt;</w:t>
        <w:br/>
        <w:t xml:space="preserve">    &lt;/text&gt;</w:t>
        <w:br/>
        <w:t xml:space="preserve">    ...</w:t>
        <w:br/>
        <w:t>&lt;list&gt;</w:t>
        <w:br/>
        <w:t>...</w:t>
      </w:r>
    </w:p>
    <w:p>
      <w:pPr>
        <w:pStyle w:val="Heading4"/>
      </w:pPr>
      <w:r>
        <w:t>Split table example</w:t>
      </w:r>
    </w:p>
    <w:p>
      <w:r>
        <w:t>The table shown on the left may be split across pages, e.g. as shown on the middle. The figure on the right visualizes the thread elements (more details further below):</w:t>
      </w:r>
    </w:p>
    <w:p>
      <w:r>
        <w:t>&lt;table style="min-width: 1800px"&gt; &lt;tr&gt; &lt;td&gt; Original table: &lt;br /&gt; &lt;img src="./examples/split_tables/original_table.png" height="900" width="644" /&gt; &lt;/td&gt; &lt;td&gt; Table split across pages: &lt;br /&gt; &lt;img src="./examples/split_tables/split_table.png" height="900" width="644" /&gt; &lt;/td&gt; &lt;td&gt; Table threads: &lt;br /&gt; &lt;img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token, </w:t>
      </w:r>
      <w:r>
        <w:rPr>
          <w:rFonts w:ascii="Consolas" w:hAnsi="Consolas"/>
          <w:shd w:val="clear" w:color="auto" w:fill="F2F2F2"/>
        </w:rPr>
        <w:t>h_thread</w:t>
      </w:r>
      <w:r>
        <w:t>, which is used to capture table content that spans pages sidewise,</w:t>
      </w:r>
    </w:p>
    <w:p>
      <w:r>
        <w:t xml:space="preserve">similarly to the usual thread tokens </w:t>
      </w:r>
      <w:r>
        <w:rPr>
          <w:rFonts w:ascii="Consolas" w:hAnsi="Consolas"/>
          <w:shd w:val="clear" w:color="auto" w:fill="F2F2F2"/>
        </w:rPr>
        <w:t>thread</w:t>
      </w:r>
      <w:r>
        <w:t>.</w:t>
      </w:r>
    </w:p>
    <w:p>
      <w:pPr>
        <w:pStyle w:val="ListBullet"/>
        <w:ind w:left="360" w:hanging="360"/>
      </w:pPr>
      <w:r>
        <w:t>Only the content that is visible within the page is included in the OTSL token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token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&lt;!-- page 1: --&gt;</w:t>
        <w:br/>
        <w:t>&lt;table&gt;</w:t>
        <w:br/>
        <w:t xml:space="preserve">    &lt;table&gt;&lt;loc_x0/&gt;&lt;loc_y0/&gt;&lt;loc_x1/&gt;&lt;loc_y1/&gt;</w:t>
        <w:br/>
        <w:t xml:space="preserve">        &lt;thread thread_id="1"/&gt;</w:t>
        <w:br/>
        <w:t xml:space="preserve">        &lt;h_thread h_thread_id="1"/&gt;</w:t>
        <w:br/>
        <w:t/>
        <w:br/>
        <w:t xml:space="preserve">        &lt;ecel/&gt;                             &lt;ecel/&gt;                      &lt;ecel/&gt;&lt;nl/&gt;</w:t>
        <w:br/>
        <w:t xml:space="preserve">        &lt;ecel/&gt;                             &lt;ched/&gt;Continent             &lt;ched/&gt;Country&lt;nl/&gt;</w:t>
        <w:br/>
        <w:t xml:space="preserve">        &lt;rhed/&gt;&lt;thread thread_id="2"/&gt;             &lt;rhed/&gt;Asia                  &lt;rhed/&gt;Japan&lt;nl/&gt;</w:t>
        <w:br/>
        <w:t xml:space="preserve">    &lt;/table&gt;</w:t>
        <w:br/>
        <w:t>&lt;/table&gt;</w:t>
        <w:br/>
        <w:t>&lt;page_break/&gt;</w:t>
        <w:br/>
        <w:t/>
        <w:br/>
        <w:t>&lt;!-- page 2: --&gt;</w:t>
        <w:br/>
        <w:t>&lt;table&gt;</w:t>
        <w:br/>
        <w:t xml:space="preserve">    &lt;table&gt;&lt;loc_x0/&gt;&lt;loc_y0/&gt;&lt;loc_x1/&gt;&lt;loc_y1/&gt;</w:t>
        <w:br/>
        <w:t xml:space="preserve">        &lt;thread thread_id="1"/&gt;</w:t>
        <w:br/>
        <w:t xml:space="preserve">        &lt;h_thread h_thread_id="2"/&gt;</w:t>
        <w:br/>
        <w:t/>
        <w:br/>
        <w:t xml:space="preserve">        &lt;rhed/&gt;&lt;thread thread_id="2"/&gt;G7 member    &lt;rhed/&gt;&lt;thread thread_id="3"/&gt;Europe        &lt;rhed/&gt;France&lt;nl/&gt;</w:t>
        <w:br/>
        <w:t xml:space="preserve">        &lt;ucel/&gt;                             &lt;ucel/&gt;                            &lt;rhed/&gt;Germany&lt;nl/&gt;</w:t>
        <w:br/>
        <w:t xml:space="preserve">        &lt;ucel/&gt;                             &lt;ucel/&gt;                            &lt;rhed/&gt;Italy&lt;nl/&gt;</w:t>
        <w:br/>
        <w:t xml:space="preserve">    &lt;/table&gt;</w:t>
        <w:br/>
        <w:t>&lt;/table&gt;</w:t>
        <w:br/>
        <w:t>&lt;page_break/&gt;</w:t>
        <w:br/>
        <w:t/>
        <w:br/>
        <w:t>&lt;!-- page 3: --&gt;</w:t>
        <w:br/>
        <w:t>&lt;table&gt;</w:t>
        <w:br/>
        <w:t xml:space="preserve">    &lt;table&gt;&lt;loc_x0/&gt;&lt;loc_y0/&gt;&lt;loc_x1/&gt;&lt;loc_y1/&gt;</w:t>
        <w:br/>
        <w:t xml:space="preserve">        &lt;thread thread_id="1"/&gt;</w:t>
        <w:br/>
        <w:t xml:space="preserve">        &lt;h_thread h_thread_id="3"/&gt;</w:t>
        <w:br/>
        <w:t/>
        <w:br/>
        <w:t xml:space="preserve">        &lt;rhed/&gt;&lt;thread thread_id="2"/&gt;             &lt;rhed/&gt;&lt;thread thread_id="3"/&gt;            &lt;rhed/&gt;United Kingdom&lt;nl/&gt;</w:t>
        <w:br/>
        <w:t xml:space="preserve">        &lt;ucel/&gt;                             &lt;rhed/&gt;North America               &lt;rhed/&gt;Canada&lt;nl/&gt;</w:t>
        <w:br/>
        <w:t xml:space="preserve">        &lt;ucel/&gt;                             &lt;ucel/&gt;                            &lt;rhed/&gt;United States&lt;nl/&gt;</w:t>
        <w:br/>
        <w:t xml:space="preserve">    &lt;/table&gt;</w:t>
        <w:br/>
        <w:t>&lt;/table&gt;</w:t>
        <w:br/>
        <w:t>&lt;page_break/&gt;</w:t>
        <w:br/>
        <w:t/>
        <w:br/>
        <w:t>&lt;!-- page 4: --&gt;</w:t>
        <w:br/>
        <w:t>&lt;table&gt;</w:t>
        <w:br/>
        <w:t xml:space="preserve">    &lt;table&gt;&lt;loc_x0/&gt;&lt;loc_y0/&gt;&lt;loc_x1/&gt;&lt;loc_y1/&gt;</w:t>
        <w:br/>
        <w:t xml:space="preserve">        &lt;h_thread h_thread_id="1"/&gt;</w:t>
        <w:br/>
        <w:t/>
        <w:br/>
        <w:t xml:space="preserve">        &lt;ched/&gt;&lt;h_thread h_thread_id="4"/&gt;2025 d     &lt;lcel/&gt;                            &lt;lcel/&gt;&lt;nl/&gt;</w:t>
        <w:br/>
        <w:t xml:space="preserve">        &lt;ched/&gt;GDP (PPP) per capita in USD  &lt;ched/&gt;Currency                    &lt;ched/&gt;&lt;h_thread h_thread_id="5"/&gt;Key l&lt;nl/&gt;</w:t>
        <w:br/>
        <w:t xml:space="preserve">        &lt;fcel/&gt;46,097                       &lt;fcel/&gt;Japanese yen (JPY)          &lt;fcel/&gt;Shigeru Ishiba&lt;nl/&gt;</w:t>
        <w:br/>
        <w:t xml:space="preserve">    &lt;/table&gt;</w:t>
        <w:br/>
        <w:t>&lt;/table&gt;</w:t>
        <w:br/>
        <w:t>&lt;page_break/&gt;</w:t>
        <w:br/>
        <w:t/>
        <w:br/>
        <w:t>&lt;!-- page 5: --&gt;</w:t>
        <w:br/>
        <w:t>&lt;table&gt;</w:t>
        <w:br/>
        <w:t xml:space="preserve">    &lt;table&gt;&lt;loc_x0/&gt;&lt;loc_y0/&gt;&lt;loc_x1/&gt;&lt;loc_y1/&gt;</w:t>
        <w:br/>
        <w:t xml:space="preserve">        &lt;h_thread h_thread_id="2"/&gt;</w:t>
        <w:br/>
        <w:t/>
        <w:br/>
        <w:t xml:space="preserve">        &lt;fcel/&gt;54,465                       &lt;fcel/&gt;Euro (EUR)                  &lt;fcel/&gt;Emmanuel Macron&lt;nl/&gt;</w:t>
        <w:br/>
        <w:t xml:space="preserve">        &lt;fcel/&gt;62,830                       &lt;fcel/&gt;Euro (EUR)                  &lt;fcel/&gt;Friedrich Merz&lt;nl/&gt;</w:t>
        <w:br/>
        <w:t xml:space="preserve">        &lt;fcel/&gt;53,115                       &lt;fcel/&gt;Euro (EUR)                  &lt;fcel/&gt;Giorgia Meloni&lt;nl/&gt;</w:t>
        <w:br/>
        <w:t xml:space="preserve">    &lt;/table&gt;</w:t>
        <w:br/>
        <w:t>&lt;/table&gt;</w:t>
        <w:br/>
        <w:t>&lt;page_break/&gt;</w:t>
        <w:br/>
        <w:t/>
        <w:br/>
        <w:t>&lt;!-- page 6: --&gt;</w:t>
        <w:br/>
        <w:t>&lt;table&gt;</w:t>
        <w:br/>
        <w:t xml:space="preserve">    &lt;table&gt;&lt;loc_x0/&gt;&lt;loc_y0/&gt;&lt;loc_x1/&gt;&lt;loc_y1/&gt;</w:t>
        <w:br/>
        <w:t xml:space="preserve">        &lt;h_thread h_thread_id="3"/&gt;</w:t>
        <w:br/>
        <w:t/>
        <w:br/>
        <w:t xml:space="preserve">        &lt;fcel/&gt;52,518                       &lt;fcel/&gt;Pound sterling (GBP)        &lt;fcel/&gt;Keir Starmer&lt;nl/&gt;</w:t>
        <w:br/>
        <w:t xml:space="preserve">        &lt;fcel/&gt;62,830                       &lt;fcel/&gt;Canadian dollar             &lt;fcel/&gt;Mark Carney&lt;nl/&gt;</w:t>
        <w:br/>
        <w:t xml:space="preserve">        &lt;fcel/&gt;53,115                       &lt;fcel/&gt;United States dollar (USD)  &lt;fcel/&gt;Donald Trump&lt;nl/&gt;</w:t>
        <w:br/>
        <w:t xml:space="preserve">    &lt;/table&gt;</w:t>
        <w:br/>
        <w:t>&lt;/table&gt;</w:t>
        <w:br/>
        <w:t>&lt;page_break/&gt;</w:t>
        <w:br/>
        <w:t/>
        <w:br/>
        <w:t>&lt;!-- page 7: --&gt;</w:t>
        <w:br/>
        <w:t>&lt;table&gt;</w:t>
        <w:br/>
        <w:t xml:space="preserve">    &lt;table&gt;&lt;loc_x0/&gt;&lt;loc_y0/&gt;&lt;loc_x1/&gt;&lt;loc_y1/&gt;</w:t>
        <w:br/>
        <w:t xml:space="preserve">        &lt;h_thread h_thread_id="1"/&gt;</w:t>
        <w:br/>
        <w:t/>
        <w:br/>
        <w:t xml:space="preserve">        &lt;ched/&gt;&lt;h_thread h_thread_id="4"/&gt;etails     &lt;lcel/&gt;                            &lt;lcel/&gt;&lt;nl/&gt;</w:t>
        <w:br/>
        <w:t xml:space="preserve">        &lt;ched/&gt;&lt;h_thread h_thread_id="5"/&gt;eader      &lt;ched/&gt;Population in millions      &lt;ched/&gt;Area in km2&lt;nl/&gt;</w:t>
        <w:br/>
        <w:t xml:space="preserve">        &lt;fcel/&gt;Prime Minister               &lt;fcel/&gt;125.1                       &lt;fcel/&gt;377,975&lt;nl/&gt;</w:t>
        <w:br/>
        <w:t xml:space="preserve">    &lt;/table&gt;</w:t>
        <w:br/>
        <w:t>&lt;/table&gt;</w:t>
        <w:br/>
        <w:t>&lt;page_break/&gt;</w:t>
        <w:br/>
        <w:t>...</w:t>
      </w:r>
    </w:p>
    <w:p>
      <w:pPr>
        <w:pStyle w:val="Heading3"/>
      </w:pPr>
      <w:r>
        <w:t>Formatting</w:t>
      </w:r>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Hyperlinks</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The formula for water is H&lt;subscript&gt;2&lt;/subscript&gt;O, and</w:t>
        <w:br/>
        <w:t xml:space="preserve">  Einstein's equation is E=mc&lt;superscript&gt;2&lt;/superscript&gt;.</w:t>
        <w:br/>
        <w:t>&lt;/text&gt;</w:t>
      </w:r>
    </w:p>
    <w:p>
      <w:r>
        <w:t>Hyperlinks with URI and optional formatted content:</w:t>
      </w:r>
    </w:p>
    <w:p>
      <w:pPr>
        <w:shd w:val="clear" w:color="auto" w:fill="F2F2F2"/>
      </w:pPr>
      <w:r>
        <w:rPr>
          <w:rFonts w:ascii="Consolas" w:hAnsi="Consolas"/>
          <w:sz w:val="18"/>
        </w:rPr>
        <w:t>&lt;text&gt;</w:t>
        <w:br/>
        <w:t xml:space="preserve">  Visit our &lt;hyperlink&gt;&lt;uri&gt;https://www.example.com&lt;/uri&gt;website&lt;/hyperlink&gt; for more information.</w:t>
        <w:br/>
        <w:t>&lt;/text&gt;</w:t>
        <w:br/>
        <w:t/>
        <w:br/>
        <w:t>&lt;text&gt;</w:t>
        <w:br/>
        <w:t xml:space="preserve">  For details, see the &lt;hyperlink&gt;&lt;uri&gt;https://docs.example.com/api&lt;/uri&gt;&lt;bold&gt;API documentation&lt;/bold&gt;&lt;/hyperlink&gt;.</w:t>
        <w:br/>
        <w:t>&lt;/text&gt;</w:t>
        <w:br/>
        <w:t/>
        <w:br/>
        <w:t>&lt;text&gt;</w:t>
        <w:br/>
        <w:t xml:space="preserve">  Email us at &lt;hyperlink&gt;&lt;uri&gt;mailto:info@example.com&lt;/uri&gt;info@example.com&lt;/hyperlink&gt;.</w:t>
        <w:br/>
        <w:t>&lt;/text&gt;</w:t>
      </w:r>
    </w:p>
    <w:p>
      <w:r>
        <w:t xml:space="preserve">The </w:t>
      </w:r>
      <w:r>
        <w:rPr>
          <w:rFonts w:ascii="Consolas" w:hAnsi="Consolas"/>
          <w:shd w:val="clear" w:color="auto" w:fill="F2F2F2"/>
        </w:rPr>
        <w:t>hyperlink</w:t>
      </w:r>
      <w:r>
        <w:t xml:space="preserve"> element contains:</w:t>
      </w:r>
    </w:p>
    <w:p>
      <w:pPr>
        <w:pStyle w:val="ListNumber"/>
        <w:ind w:left="360" w:hanging="360"/>
      </w:pPr>
      <w:r>
        <w:t xml:space="preserve">A required </w:t>
      </w:r>
      <w:r>
        <w:rPr>
          <w:rFonts w:ascii="Consolas" w:hAnsi="Consolas"/>
          <w:shd w:val="clear" w:color="auto" w:fill="F2F2F2"/>
        </w:rPr>
        <w:t>uri</w:t>
      </w:r>
      <w:r>
        <w:t xml:space="preserve"> child element with the link target</w:t>
      </w:r>
    </w:p>
    <w:p>
      <w:pPr>
        <w:pStyle w:val="ListNumber"/>
        <w:ind w:left="360" w:hanging="360"/>
      </w:pPr>
      <w:r>
        <w:t>Optional text content and/or formatting elements that represent the visible link text</w:t>
      </w:r>
    </w:p>
    <w:p>
      <w:r>
        <w:t xml:space="preserve">If no text content is provided after the </w:t>
      </w:r>
      <w:r>
        <w:rPr>
          <w:rFonts w:ascii="Consolas" w:hAnsi="Consolas"/>
          <w:shd w:val="clear" w:color="auto" w:fill="F2F2F2"/>
        </w:rPr>
        <w:t>uri</w:t>
      </w:r>
      <w:r>
        <w:t>, implementations should display the URI itself as the link text.</w:t>
      </w:r>
    </w:p>
    <w:p>
      <w:r>
        <w:t>Right-to-left text direction:</w:t>
      </w:r>
    </w:p>
    <w:p>
      <w:pPr>
        <w:shd w:val="clear" w:color="auto" w:fill="F2F2F2"/>
      </w:pPr>
      <w:r>
        <w:rPr>
          <w:rFonts w:ascii="Consolas" w:hAnsi="Consolas"/>
          <w:sz w:val="18"/>
        </w:rPr>
        <w:t>&lt;text&gt;</w:t>
        <w:br/>
        <w:t xml:space="preserve">  This sentence contains &lt;rtl&gt;نص عربي&lt;/rtl&gt; (Arabic text) within it.</w:t>
        <w:br/>
        <w:t>&lt;/text&gt;</w:t>
      </w:r>
    </w:p>
    <w:p>
      <w:pPr>
        <w:pStyle w:val="Heading4"/>
      </w:pPr>
      <w:r>
        <w:t>Page Break with Continuation</w:t>
      </w:r>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the item and reuse the same </w:t>
      </w:r>
      <w:r>
        <w:rPr>
          <w:rFonts w:ascii="Consolas" w:hAnsi="Consolas"/>
          <w:shd w:val="clear" w:color="auto" w:fill="F2F2F2"/>
        </w:rPr>
        <w:t>id</w:t>
      </w:r>
      <w:r>
        <w:t xml:space="preserve"> in the continuing item.</w:t>
      </w:r>
    </w:p>
    <w:p>
      <w:pPr>
        <w:pStyle w:val="ListNumber"/>
        <w:ind w:left="360" w:hanging="360"/>
      </w:pPr>
      <w:r>
        <w:t xml:space="preserve">For the follow up content of the page, we follow a reading order and close all open tokens before the </w:t>
      </w:r>
      <w:r>
        <w:rPr>
          <w:rFonts w:ascii="Consolas" w:hAnsi="Consolas"/>
          <w:shd w:val="clear" w:color="auto" w:fill="F2F2F2"/>
        </w:rPr>
        <w:t>&lt;page_break/&gt;</w:t>
      </w:r>
      <w:r>
        <w:t xml:space="preserve"> token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pPr>
        <w:pStyle w:val="Heading2"/>
      </w:pPr>
      <w:r>
        <w:t>Implementation Requirements</w:t>
      </w:r>
    </w:p>
    <w:p>
      <w:pPr>
        <w:pStyle w:val="Heading3"/>
      </w:pPr>
      <w:r>
        <w:t>Parser Requirements</w:t>
      </w:r>
    </w:p>
    <w:p>
      <w:r>
        <w:t>A conforming DocLang parser SHALL:</w:t>
      </w:r>
    </w:p>
    <w:p>
      <w:pPr>
        <w:pStyle w:val="ListNumber"/>
        <w:ind w:left="360" w:hanging="360"/>
      </w:pPr>
      <w:r>
        <w:rPr>
          <w:b/>
        </w:rPr>
        <w:t>Syntax Validation</w:t>
      </w:r>
      <w:r>
        <w:t>: Recognize all tokens defined in this standard</w:t>
      </w:r>
    </w:p>
    <w:p>
      <w:pPr>
        <w:pStyle w:val="ListNumber"/>
        <w:ind w:left="360" w:hanging="360"/>
      </w:pPr>
      <w:r>
        <w:rPr>
          <w:b/>
        </w:rPr>
        <w:t>Geometric Processing</w:t>
      </w:r>
      <w:r>
        <w:t>: Handle coordinate and bounding box elements correctly</w:t>
      </w:r>
    </w:p>
    <w:p>
      <w:pPr>
        <w:pStyle w:val="ListNumber"/>
        <w:ind w:left="360" w:hanging="360"/>
      </w:pPr>
      <w:r>
        <w:rPr>
          <w:b/>
        </w:rPr>
        <w:t>Version Support</w:t>
      </w:r>
      <w:r>
        <w:t>: Process version information and apply appropriate parsing rules</w:t>
      </w:r>
    </w:p>
    <w:p>
      <w:pPr>
        <w:pStyle w:val="ListNumber"/>
        <w:ind w:left="360" w:hanging="360"/>
      </w:pPr>
      <w:r>
        <w:rPr>
          <w:b/>
        </w:rPr>
        <w:t>Hierarchy Validation</w:t>
      </w:r>
      <w:r>
        <w:t>: Enforce parent-child relationship rules</w:t>
      </w:r>
    </w:p>
    <w:p>
      <w:pPr>
        <w:pStyle w:val="ListNumber"/>
        <w:ind w:left="360" w:hanging="360"/>
      </w:pPr>
      <w:r>
        <w:rPr>
          <w:b/>
        </w:rPr>
        <w:t>Continuation Handling</w:t>
      </w:r>
      <w:r>
        <w:t>: Correctly link continued content across page breaks</w:t>
      </w:r>
    </w:p>
    <w:p>
      <w:pPr>
        <w:pStyle w:val="ListNumber"/>
        <w:ind w:left="360" w:hanging="360"/>
      </w:pPr>
      <w:r>
        <w:rPr>
          <w:b/>
        </w:rPr>
        <w:t>Error Reporting</w:t>
      </w:r>
      <w:r>
        <w:t>: Provide meaningful error messages for invalid documents</w:t>
      </w:r>
    </w:p>
    <w:p>
      <w:pPr>
        <w:pStyle w:val="Heading3"/>
      </w:pPr>
      <w:r>
        <w:t>Serializer Requirements</w:t>
      </w:r>
    </w:p>
    <w:p>
      <w:r>
        <w:t>A conforming DocLang serializer SHALL:</w:t>
      </w:r>
    </w:p>
    <w:p>
      <w:pPr>
        <w:pStyle w:val="ListNumber"/>
        <w:ind w:left="360" w:hanging="360"/>
      </w:pPr>
      <w:r>
        <w:rPr>
          <w:b/>
        </w:rPr>
        <w:t>Valid Output</w:t>
      </w:r>
      <w:r>
        <w:t>: Generate syntactically correct DocLang documents</w:t>
      </w:r>
    </w:p>
    <w:p>
      <w:pPr>
        <w:pStyle w:val="ListNumber"/>
        <w:ind w:left="360" w:hanging="360"/>
      </w:pPr>
      <w:r>
        <w:rPr>
          <w:b/>
        </w:rPr>
        <w:t>Coordinate Normalization</w:t>
      </w:r>
      <w:r>
        <w:t>: Ensure coordinates fit within specified resolution</w:t>
      </w:r>
    </w:p>
    <w:p>
      <w:pPr>
        <w:pStyle w:val="ListNumber"/>
        <w:ind w:left="360" w:hanging="360"/>
      </w:pPr>
      <w:r>
        <w:rPr>
          <w:b/>
        </w:rPr>
        <w:t>Structure Preservation</w:t>
      </w:r>
      <w:r>
        <w:t>: Maintain element hierarchy and relationships</w:t>
      </w:r>
    </w:p>
    <w:p>
      <w:pPr>
        <w:pStyle w:val="ListNumber"/>
        <w:ind w:left="360" w:hanging="360"/>
      </w:pPr>
      <w:r>
        <w:rPr>
          <w:b/>
        </w:rPr>
        <w:t>Version Specification</w:t>
      </w:r>
      <w:r>
        <w:t>: Include appropriate version information</w:t>
      </w:r>
    </w:p>
    <w:p>
      <w:pPr>
        <w:pStyle w:val="ListNumber"/>
        <w:ind w:left="360" w:hanging="360"/>
      </w:pPr>
      <w:r>
        <w:rPr>
          <w:b/>
        </w:rPr>
        <w:t>Continuation Integrity</w:t>
      </w:r>
      <w:r>
        <w:t>: Ensure continuation tokens are properly paired</w:t>
      </w:r>
    </w:p>
    <w:p>
      <w:pPr>
        <w:pStyle w:val="Heading3"/>
      </w:pPr>
      <w:r>
        <w:t>Validation Rules</w:t>
      </w:r>
    </w:p>
    <w:p>
      <w:pPr>
        <w:pStyle w:val="Heading4"/>
      </w:pPr>
      <w:r>
        <w:t>Required Structure Validation</w:t>
      </w:r>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Continuation tokens must be properly paired</w:t>
      </w:r>
    </w:p>
    <w:p>
      <w:pPr>
        <w:pStyle w:val="Heading4"/>
      </w:pPr>
      <w:r>
        <w:t>Geometric Validation</w:t>
      </w:r>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per-token </w:t>
      </w:r>
      <w:r>
        <w:rPr>
          <w:rFonts w:ascii="Consolas" w:hAnsi="Consolas"/>
          <w:shd w:val="clear" w:color="auto" w:fill="F2F2F2"/>
        </w:rPr>
        <w:t>resolution</w:t>
      </w:r>
      <w:r>
        <w:t xml:space="preserve"> overrides </w:t>
      </w:r>
      <w:r>
        <w:rPr>
          <w:rFonts w:ascii="Consolas" w:hAnsi="Consolas"/>
          <w:shd w:val="clear" w:color="auto" w:fill="F2F2F2"/>
        </w:rPr>
        <w:t>metadata.default_resolution</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pPr>
        <w:pStyle w:val="Heading4"/>
      </w:pPr>
      <w:r>
        <w:t>Temporal Validation</w:t>
      </w:r>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w:t>
      </w:r>
    </w:p>
    <w:p>
      <w:pPr>
        <w:pStyle w:val="Heading4"/>
      </w:pPr>
      <w:r>
        <w:t>Content Validation</w:t>
      </w:r>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p>
      <w:pPr>
        <w:pStyle w:val="Heading2"/>
      </w:pPr>
      <w:r>
        <w:t>Extensibility</w:t>
      </w:r>
    </w:p>
    <w:p>
      <w:pPr>
        <w:pStyle w:val="Heading3"/>
      </w:pPr>
      <w:r>
        <w:t>Future Token Addition</w:t>
      </w:r>
    </w:p>
    <w:p>
      <w:r>
        <w:t>New tokens may be added in minor version updates following these rules:</w:t>
      </w:r>
    </w:p>
    <w:p>
      <w:pPr>
        <w:pStyle w:val="ListNumber"/>
        <w:ind w:left="360" w:hanging="360"/>
      </w:pPr>
      <w:r>
        <w:t>New semantic tokens must specify content type (text or structural)</w:t>
      </w:r>
    </w:p>
    <w:p>
      <w:pPr>
        <w:pStyle w:val="ListNumber"/>
        <w:ind w:left="360" w:hanging="360"/>
      </w:pPr>
      <w:r>
        <w:t>New grouping tokens must define allowed children</w:t>
      </w:r>
    </w:p>
    <w:p>
      <w:pPr>
        <w:pStyle w:val="ListNumber"/>
        <w:ind w:left="360" w:hanging="360"/>
      </w:pPr>
      <w:r>
        <w:t>New structural tokens must specify usage context</w:t>
      </w:r>
    </w:p>
    <w:p>
      <w:pPr>
        <w:pStyle w:val="ListNumber"/>
        <w:ind w:left="360" w:hanging="360"/>
      </w:pPr>
      <w:r>
        <w:t>Backward compatibility must be maintained</w:t>
      </w:r>
    </w:p>
    <w:p>
      <w:pPr>
        <w:pStyle w:val="Heading3"/>
      </w:pPr>
      <w:r>
        <w:t>Custom Classifications</w:t>
      </w:r>
    </w:p>
    <w:p>
      <w:r>
        <w:t xml:space="preserve">The </w:t>
      </w:r>
      <w:r>
        <w:rPr>
          <w:rFonts w:ascii="Consolas" w:hAnsi="Consolas"/>
          <w:shd w:val="clear" w:color="auto" w:fill="F2F2F2"/>
        </w:rPr>
        <w:t>&lt;class&gt;</w:t>
      </w:r>
      <w:r>
        <w:t xml:space="preserve"> token supports extensible vocabularies:</w:t>
      </w:r>
    </w:p>
    <w:p>
      <w:pPr>
        <w:pStyle w:val="ListBullet"/>
        <w:ind w:left="360" w:hanging="360"/>
      </w:pPr>
      <w:r>
        <w:rPr>
          <w:b/>
        </w:rPr>
        <w:t>Programming languages</w:t>
      </w:r>
      <w:r>
        <w:t>: Python, JavaScript, C++, etc.</w:t>
      </w:r>
    </w:p>
    <w:p>
      <w:pPr>
        <w:pStyle w:val="ListBullet"/>
        <w:ind w:left="360" w:hanging="360"/>
      </w:pPr>
      <w:r>
        <w:rPr>
          <w:b/>
        </w:rPr>
        <w:t>Chart types</w:t>
      </w:r>
      <w:r>
        <w:t>: bar_chart, pie_chart, line_chart, scatter_plot, etc.</w:t>
      </w:r>
    </w:p>
    <w:p>
      <w:pPr>
        <w:pStyle w:val="ListBullet"/>
        <w:ind w:left="360" w:hanging="360"/>
      </w:pPr>
      <w:r>
        <w:rPr>
          <w:b/>
        </w:rPr>
        <w:t>Image types</w:t>
      </w:r>
      <w:r>
        <w:t>: photograph, diagram, screenshot, icon, logo, etc.</w:t>
      </w:r>
    </w:p>
    <w:p>
      <w:pPr>
        <w:pStyle w:val="Heading2"/>
      </w:pPr>
      <w:r>
        <w:t>Bibliography</w:t>
      </w:r>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pPr>
        <w:pStyle w:val="Heading2"/>
      </w:pPr>
      <w:r>
        <w:t>Appendix A: Reference</w:t>
      </w:r>
    </w:p>
    <w:p>
      <w:pPr>
        <w:pStyle w:val="Heading3"/>
      </w:pPr>
      <w:r>
        <w:t>Special Elements</w:t>
      </w:r>
    </w:p>
    <w:p>
      <w:r>
        <w:t>This category comprises elements with specialized document-level function.</w:t>
      </w:r>
    </w:p>
    <w:p>
      <w:pPr>
        <w:pStyle w:val="Heading4"/>
      </w:pPr>
      <w:r>
        <w:t>`&lt;doclang&gt;`</w:t>
      </w:r>
    </w:p>
    <w:p>
      <w:r>
        <w:t>The document root element. Starts with an optional [</w:t>
      </w:r>
      <w:r>
        <w:rPr>
          <w:rFonts w:ascii="Consolas" w:hAnsi="Consolas"/>
          <w:shd w:val="clear" w:color="auto" w:fill="F2F2F2"/>
        </w:rPr>
        <w:t>&lt;head&gt;</w:t>
      </w:r>
      <w:r>
        <w:t>](#head) followed by a sequence of applicable elements.</w:t>
      </w:r>
    </w:p>
    <w:p>
      <w:pPr>
        <w:pStyle w:val="Heading5"/>
      </w:pPr>
      <w:r>
        <w:t>Allowed Context</w:t>
      </w:r>
    </w:p>
    <w:p>
      <w:r>
        <w:t>Exists exactly once, as root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31">
              <w:r>
                <w:rPr>
                  <w:rStyle w:val="Hyperlink"/>
                </w:rPr>
                <w:t>https://www.doclang.ai/ns/v0"</w:t>
              </w:r>
            </w:hyperlink>
          </w:p>
        </w:tc>
        <w:tc>
          <w:tcPr>
            <w:tcW w:type="dxa" w:w="2160"/>
          </w:tcPr>
          <w:p>
            <w:r/>
            <w:r>
              <w:t>{"</w:t>
            </w:r>
            <w:hyperlink r:id="rId32">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"0.1"</w:t>
            </w:r>
          </w:p>
        </w:tc>
        <w:tc>
          <w:tcPr>
            <w:tcW w:type="dxa" w:w="2160"/>
          </w:tcPr>
          <w:p>
            <w:r/>
            <w:r>
              <w:t>{"0.1"}</w:t>
            </w:r>
          </w:p>
        </w:tc>
        <w:tc>
          <w:tcPr>
            <w:tcW w:type="dxa" w:w="2160"/>
          </w:tcPr>
          <w:p>
            <w:r/>
            <w:r>
              <w:t>The DocLang specification version the document is supposed to validate against, in "MAJOR.MINOR" format, i.e. first two positions of Semantic Verisoning.</w:t>
            </w:r>
          </w:p>
        </w:tc>
      </w:tr>
    </w:tbl>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Not allowed</w:t>
            </w:r>
          </w:p>
        </w:tc>
        <w:tc>
          <w:tcPr>
            <w:tcW w:type="dxa" w:w="2880"/>
          </w:tcPr>
          <w:p>
            <w:r/>
            <w:r>
              <w:t>Not allowed</w:t>
            </w:r>
          </w:p>
        </w:tc>
      </w:tr>
    </w:tbl>
    <w:p>
      <w:pPr>
        <w:pStyle w:val="Heading5"/>
      </w:pPr>
      <w:r>
        <w:t>Example</w:t>
      </w:r>
    </w:p>
    <w:p>
      <w:pPr>
        <w:shd w:val="clear" w:color="auto" w:fill="F2F2F2"/>
      </w:pPr>
      <w:r>
        <w:rPr>
          <w:rFonts w:ascii="Consolas" w:hAnsi="Consolas"/>
          <w:sz w:val="18"/>
        </w:rPr>
        <w:t>&lt;doclang xmlns="https://www.doclang.ai/ns/v1"&gt;</w:t>
        <w:br/>
        <w:t xml:space="preserve">  &lt;!-- content --&gt;</w:t>
        <w:br/>
        <w:t>&lt;/doclang&gt;</w:t>
      </w:r>
    </w:p>
    <w:p>
      <w:pPr>
        <w:pStyle w:val="Heading4"/>
      </w:pPr>
      <w:r>
        <w:t>`&lt;head&gt;`</w:t>
      </w:r>
    </w:p>
    <w:p>
      <w:r>
        <w:t>Includes doc-level metadata.</w:t>
      </w:r>
    </w:p>
    <w:p>
      <w:pPr>
        <w:pStyle w:val="Heading5"/>
      </w:pPr>
      <w:r>
        <w:t>Allowed Context</w:t>
      </w:r>
    </w:p>
    <w:p>
      <w:r>
        <w:t>Can only be first child of [</w:t>
      </w:r>
      <w:r>
        <w:rPr>
          <w:rFonts w:ascii="Consolas" w:hAnsi="Consolas"/>
          <w:shd w:val="clear" w:color="auto" w:fill="F2F2F2"/>
        </w:rPr>
        <w:t>&lt;doclang&gt;</w:t>
      </w:r>
      <w:r>
        <w:t>](#doclang).</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Not allowed</w:t>
            </w:r>
          </w:p>
        </w:tc>
        <w:tc>
          <w:tcPr>
            <w:tcW w:type="dxa" w:w="2880"/>
          </w:tcPr>
          <w:p>
            <w:r/>
            <w:r>
              <w:t>Not allowed</w:t>
            </w:r>
          </w:p>
        </w:tc>
      </w:tr>
    </w:tbl>
    <w:p>
      <w:pPr>
        <w:pStyle w:val="Heading4"/>
      </w:pPr>
      <w:r>
        <w:t>`&lt;page_break&gt;`</w:t>
      </w:r>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r:id="rId33">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pPr>
        <w:pStyle w:val="Heading5"/>
      </w:pPr>
      <w:r>
        <w:t>Allowed Context</w:t>
      </w:r>
    </w:p>
    <w:p>
      <w:r>
        <w:t>Can only be child of [</w:t>
      </w:r>
      <w:r>
        <w:rPr>
          <w:rFonts w:ascii="Consolas" w:hAnsi="Consolas"/>
          <w:shd w:val="clear" w:color="auto" w:fill="F2F2F2"/>
        </w:rPr>
        <w:t>&lt;doclang&gt;</w:t>
      </w:r>
      <w:r>
        <w:t>](#doclang).</w:t>
      </w:r>
    </w:p>
    <w:p>
      <w:pPr>
        <w:pStyle w:val="Heading5"/>
      </w:pPr>
      <w:r>
        <w:t>Attributes</w:t>
      </w:r>
    </w:p>
    <w:p>
      <w:r>
        <w:t>None</w:t>
      </w:r>
    </w:p>
    <w:p>
      <w:pPr>
        <w:pStyle w:val="Heading5"/>
      </w:pPr>
      <w:r>
        <w:t>Allowed Content Types</w:t>
      </w:r>
    </w:p>
    <w:p>
      <w:r>
        <w:t>None (empty element).</w:t>
      </w:r>
    </w:p>
    <w:p>
      <w:pPr>
        <w:pStyle w:val="Heading5"/>
      </w:pPr>
      <w:r>
        <w:t>Example</w:t>
      </w:r>
    </w:p>
    <w:p>
      <w:pPr>
        <w:shd w:val="clear" w:color="auto" w:fill="F2F2F2"/>
      </w:pPr>
      <w:r>
        <w:rPr>
          <w:rFonts w:ascii="Consolas" w:hAnsi="Consolas"/>
          <w:sz w:val="18"/>
        </w:rPr>
        <w:t>&lt;doclang xmlns="https://www.doclang.ai/ns/v1"&gt;</w:t>
        <w:br/>
        <w:t xml:space="preserve">  &lt;!-- first page content --&gt;</w:t>
        <w:br/>
        <w:t xml:space="preserve">  &lt;page_break/&gt;</w:t>
        <w:br/>
        <w:t xml:space="preserve">  &lt;!-- second page content --&gt;</w:t>
        <w:br/>
        <w:t>&lt;/doclang&gt;</w:t>
      </w:r>
    </w:p>
    <w:p>
      <w:pPr>
        <w:pStyle w:val="Heading3"/>
      </w:pPr>
      <w:r>
        <w:t>Semantic Elements</w:t>
      </w:r>
    </w:p>
    <w:p>
      <w:r>
        <w:t xml:space="preserve">Semantic elements capture core components with specific meaning and functional role in the document, for example, a paragraph, a table, a list, and more. Any semantic element may optionally begin with a </w:t>
      </w:r>
      <w:hyperlink r:id="rId34">
        <w:r>
          <w:rPr>
            <w:rStyle w:val="Hyperlink"/>
          </w:rPr>
          <w:t>component head</w:t>
        </w:r>
      </w:hyperlink>
      <w:r>
        <w:t>. Semantic elements are generally meant to be interpreted as block-level elements (although they can also be inlined via nesting).</w:t>
      </w:r>
    </w:p>
    <w:p>
      <w:pPr>
        <w:pStyle w:val="Heading4"/>
      </w:pPr>
      <w:r>
        <w:t>`&lt;text&gt;`</w:t>
      </w:r>
    </w:p>
    <w:p>
      <w:r>
        <w:t>Represents a piece of cohesive text as that would appear in a paragraph.</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`&lt;heading&gt;`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`&lt;caption&gt;`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`&lt;footnote&gt;`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`&lt;page_header&gt;`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`&lt;page_footer&gt;`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`&lt;field_region&gt;`</w:t>
      </w:r>
    </w:p>
    <w:p>
      <w:r>
        <w:t>Serves for scoping of field items, for example encapsulating a whole form.</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Not allowed</w:t>
            </w:r>
          </w:p>
        </w:tc>
        <w:tc>
          <w:tcPr>
            <w:tcW w:type="dxa" w:w="2880"/>
          </w:tcPr>
          <w:p>
            <w:r/>
            <w:r>
              <w:t>Allowed</w:t>
            </w:r>
          </w:p>
        </w:tc>
      </w:tr>
    </w:tbl>
    <w:p>
      <w:pPr>
        <w:pStyle w:val="Heading4"/>
      </w:pPr>
      <w:r>
        <w:t>`&lt;table&gt;`</w:t>
      </w:r>
    </w:p>
    <w:p>
      <w:r>
        <w:t>Captures a table based on the OTSL format. Table cells are delimited by the respective structural elements.</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Not allowed</w:t>
            </w:r>
          </w:p>
        </w:tc>
        <w:tc>
          <w:tcPr>
            <w:tcW w:type="dxa" w:w="2880"/>
          </w:tcPr>
          <w:p>
            <w:r/>
            <w:r>
              <w:t>Allowed</w:t>
            </w:r>
          </w:p>
        </w:tc>
      </w:tr>
    </w:tbl>
    <w:p>
      <w:pPr>
        <w:pStyle w:val="Heading4"/>
      </w:pPr>
      <w:r>
        <w:t>`&lt;list&gt;`</w:t>
      </w:r>
    </w:p>
    <w:p>
      <w:r>
        <w:t>Captures a list. List items are delimited by the respective structural elements.</w:t>
      </w:r>
    </w:p>
    <w:p>
      <w:pPr>
        <w:pStyle w:val="Heading5"/>
      </w:pPr>
      <w:r>
        <w:t>Allowed Context</w:t>
      </w:r>
    </w:p>
    <w:p>
      <w:r>
        <w:t>Any context that allows semantic elements.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Not allowed</w:t>
            </w:r>
          </w:p>
        </w:tc>
        <w:tc>
          <w:tcPr>
            <w:tcW w:type="dxa" w:w="2880"/>
          </w:tcPr>
          <w:p>
            <w:r/>
            <w:r>
              <w:t>Allowed</w:t>
            </w:r>
          </w:p>
        </w:tc>
      </w:tr>
    </w:tbl>
    <w:p>
      <w:pPr>
        <w:pStyle w:val="Heading4"/>
      </w:pPr>
      <w:r>
        <w:t>`&lt;formula&gt;`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Not allowed</w:t>
            </w:r>
          </w:p>
        </w:tc>
      </w:tr>
    </w:tbl>
    <w:p>
      <w:pPr>
        <w:pStyle w:val="Heading4"/>
      </w:pPr>
      <w:r>
        <w:t>`&lt;code&gt;`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Not allowed</w:t>
            </w:r>
          </w:p>
        </w:tc>
      </w:tr>
    </w:tbl>
    <w:p>
      <w:pPr>
        <w:pStyle w:val="Heading4"/>
      </w:pPr>
      <w:r>
        <w:t>`&lt;picture&gt;`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Not allowed</w:t>
            </w:r>
          </w:p>
        </w:tc>
        <w:tc>
          <w:tcPr>
            <w:tcW w:type="dxa" w:w="2880"/>
          </w:tcPr>
          <w:p>
            <w:r/>
            <w:r>
              <w:t>Allowed</w:t>
            </w:r>
          </w:p>
        </w:tc>
      </w:tr>
    </w:tbl>
    <w:p>
      <w:pPr>
        <w:pStyle w:val="Heading4"/>
      </w:pPr>
      <w:r>
        <w:t>`&lt;marker&gt;`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`&lt;group&gt;`</w:t>
      </w:r>
    </w:p>
    <w:p>
      <w:r>
        <w:t>Container for encapsulating multiple semantic elements.</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Not allowed</w:t>
            </w:r>
          </w:p>
        </w:tc>
        <w:tc>
          <w:tcPr>
            <w:tcW w:type="dxa" w:w="2880"/>
          </w:tcPr>
          <w:p>
            <w:r/>
            <w:r>
              <w:t>Allowed</w:t>
            </w:r>
          </w:p>
        </w:tc>
      </w:tr>
    </w:tbl>
    <w:p>
      <w:pPr>
        <w:pStyle w:val="Heading4"/>
      </w:pPr>
      <w:r>
        <w:t>`&lt;field_heading&gt;`</w:t>
      </w:r>
    </w:p>
    <w:p>
      <w:pPr>
        <w:pStyle w:val="Heading5"/>
      </w:pPr>
      <w:r>
        <w:t>Allowed Context</w:t>
      </w:r>
    </w:p>
    <w:p>
      <w:r>
        <w:t>Can only be descendant of [</w:t>
      </w:r>
      <w:r>
        <w:rPr>
          <w:rFonts w:ascii="Consolas" w:hAnsi="Consolas"/>
          <w:shd w:val="clear" w:color="auto" w:fill="F2F2F2"/>
        </w:rPr>
        <w:t>&lt;field_region&gt;</w:t>
      </w:r>
      <w:r>
        <w:t>](#field_region).</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`&lt;field_item&gt;`</w:t>
      </w:r>
    </w:p>
    <w:p>
      <w:r>
        <w:t>Scoping of a field key (optional) and any corresponding values.</w:t>
      </w:r>
    </w:p>
    <w:p>
      <w:pPr>
        <w:pStyle w:val="Heading5"/>
      </w:pPr>
      <w:r>
        <w:t>Allowed Context</w:t>
      </w:r>
    </w:p>
    <w:p>
      <w:r>
        <w:t>Can only be descendant of [</w:t>
      </w:r>
      <w:r>
        <w:rPr>
          <w:rFonts w:ascii="Consolas" w:hAnsi="Consolas"/>
          <w:shd w:val="clear" w:color="auto" w:fill="F2F2F2"/>
        </w:rPr>
        <w:t>&lt;field_region&gt;</w:t>
      </w:r>
      <w:r>
        <w:t>](#field_region).</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Not allowed</w:t>
            </w:r>
          </w:p>
        </w:tc>
        <w:tc>
          <w:tcPr>
            <w:tcW w:type="dxa" w:w="2880"/>
          </w:tcPr>
          <w:p>
            <w:r/>
            <w:r>
              <w:t>Allowed</w:t>
            </w:r>
          </w:p>
        </w:tc>
      </w:tr>
    </w:tbl>
    <w:p>
      <w:pPr>
        <w:pStyle w:val="Heading4"/>
      </w:pPr>
      <w:r>
        <w:t>`&lt;key&gt;`</w:t>
      </w:r>
    </w:p>
    <w:p>
      <w:r>
        <w:t>The key of a field (may correspond to  0-N field values).</w:t>
      </w:r>
    </w:p>
    <w:p>
      <w:pPr>
        <w:pStyle w:val="Heading5"/>
      </w:pPr>
      <w:r>
        <w:t>Allowed Context</w:t>
      </w:r>
    </w:p>
    <w:p>
      <w:r>
        <w:t>Can only be descendant of [</w:t>
      </w:r>
      <w:r>
        <w:rPr>
          <w:rFonts w:ascii="Consolas" w:hAnsi="Consolas"/>
          <w:shd w:val="clear" w:color="auto" w:fill="F2F2F2"/>
        </w:rPr>
        <w:t>&lt;field_item&gt;</w:t>
      </w:r>
      <w:r>
        <w:t>](#field_item).</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`&lt;value&gt;`</w:t>
      </w:r>
    </w:p>
    <w:p>
      <w:r>
        <w:t>A value of a field (may correspond to 0 or 1 field key).</w:t>
      </w:r>
    </w:p>
    <w:p>
      <w:pPr>
        <w:pStyle w:val="Heading5"/>
      </w:pPr>
      <w:r>
        <w:t>Allowed Context</w:t>
      </w:r>
    </w:p>
    <w:p>
      <w:r>
        <w:t>Can only be descendant of [</w:t>
      </w:r>
      <w:r>
        <w:rPr>
          <w:rFonts w:ascii="Consolas" w:hAnsi="Consolas"/>
          <w:shd w:val="clear" w:color="auto" w:fill="F2F2F2"/>
        </w:rPr>
        <w:t>&lt;field_item&gt;</w:t>
      </w:r>
      <w:r>
        <w:t>](#field_item).</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`&lt;hint&gt;`</w:t>
      </w:r>
    </w:p>
    <w:p>
      <w:r>
        <w:t>A hint regarding a field.</w:t>
      </w:r>
    </w:p>
    <w:p>
      <w:pPr>
        <w:pStyle w:val="Heading5"/>
      </w:pPr>
      <w:r>
        <w:t>Allowed Context</w:t>
      </w:r>
    </w:p>
    <w:p>
      <w:r>
        <w:t>Can only be descendant of [</w:t>
      </w:r>
      <w:r>
        <w:rPr>
          <w:rFonts w:ascii="Consolas" w:hAnsi="Consolas"/>
          <w:shd w:val="clear" w:color="auto" w:fill="F2F2F2"/>
        </w:rPr>
        <w:t>&lt;field_region&gt;</w:t>
      </w:r>
      <w:r>
        <w:t>](#field_region).</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3"/>
      </w:pPr>
      <w:r>
        <w:t>Component Head Elements</w:t>
      </w:r>
    </w:p>
    <w:p>
      <w:r>
        <w:t>The component head is a sequence comprising the following elements in this order, whereby all elements are optional:&lt;br /&gt;&lt;ul&gt;&lt;li&gt;</w:t>
      </w:r>
      <w:r>
        <w:rPr>
          <w:rFonts w:ascii="Consolas" w:hAnsi="Consolas"/>
          <w:shd w:val="clear" w:color="auto" w:fill="F2F2F2"/>
        </w:rPr>
        <w:t>&lt;thread&gt;</w:t>
      </w:r>
      <w:r>
        <w:t>&lt;/li&gt;&lt;li&gt;</w:t>
      </w:r>
      <w:r>
        <w:rPr>
          <w:rFonts w:ascii="Consolas" w:hAnsi="Consolas"/>
          <w:shd w:val="clear" w:color="auto" w:fill="F2F2F2"/>
        </w:rPr>
        <w:t>&lt;h_thread&gt;</w:t>
      </w:r>
      <w:r>
        <w:t>&lt;/li&gt;&lt;li&gt;</w:t>
      </w:r>
      <w:r>
        <w:rPr>
          <w:rFonts w:ascii="Consolas" w:hAnsi="Consolas"/>
          <w:shd w:val="clear" w:color="auto" w:fill="F2F2F2"/>
        </w:rPr>
        <w:t>&lt;meta&gt;</w:t>
      </w:r>
      <w:r>
        <w:t xml:space="preserve">&lt;/li&gt;&lt;li&gt;sequence of 2*N </w:t>
      </w:r>
      <w:r>
        <w:rPr>
          <w:rFonts w:ascii="Consolas" w:hAnsi="Consolas"/>
          <w:shd w:val="clear" w:color="auto" w:fill="F2F2F2"/>
        </w:rPr>
        <w:t>&lt;location&gt;</w:t>
      </w:r>
      <w:r>
        <w:t xml:space="preserve">s (N&gt;1)&lt;/li&gt;&lt;li&gt;sequence of </w:t>
      </w:r>
      <w:r>
        <w:rPr>
          <w:rFonts w:ascii="Consolas" w:hAnsi="Consolas"/>
          <w:shd w:val="clear" w:color="auto" w:fill="F2F2F2"/>
        </w:rPr>
        <w:t>&lt;timestamp&gt;</w:t>
      </w:r>
      <w:r>
        <w:t>s&lt;/li&gt;&lt;li&gt;</w:t>
      </w:r>
      <w:r>
        <w:rPr>
          <w:rFonts w:ascii="Consolas" w:hAnsi="Consolas"/>
          <w:shd w:val="clear" w:color="auto" w:fill="F2F2F2"/>
        </w:rPr>
        <w:t>&lt;layer&gt;</w:t>
      </w:r>
      <w:r>
        <w:t xml:space="preserve">&lt;/li&gt;&lt;/ul&gt; A component head can only appear as the leading content of a semantic or grouping element, or also of </w:t>
      </w:r>
      <w:r>
        <w:rPr>
          <w:rFonts w:ascii="Consolas" w:hAnsi="Consolas"/>
          <w:shd w:val="clear" w:color="auto" w:fill="F2F2F2"/>
        </w:rPr>
        <w:t>&lt;otsl&gt;</w:t>
      </w:r>
      <w:r>
        <w:t xml:space="preserve"> in the context of "implicit </w:t>
      </w:r>
      <w:r>
        <w:rPr>
          <w:rFonts w:ascii="Consolas" w:hAnsi="Consolas"/>
          <w:shd w:val="clear" w:color="auto" w:fill="F2F2F2"/>
        </w:rPr>
        <w:t>&lt;text&gt;</w:t>
      </w:r>
      <w:r>
        <w:t>s".&lt;br/&gt; The various component head elements are further specified in the following subsections.</w:t>
      </w:r>
    </w:p>
    <w:p>
      <w:pPr>
        <w:pStyle w:val="Heading4"/>
      </w:pPr>
      <w:r>
        <w:t>`&lt;thread&gt;`</w:t>
      </w:r>
    </w:p>
    <w:p>
      <w:r>
        <w:t>Optional part of the component head; serves for capturing a component spanning multiple bounding boxes (e.g. cross-column) or pages.&lt;br/&gt;  To capture such a component, we define separate instances of the respective element and use a [</w:t>
      </w:r>
      <w:r>
        <w:rPr>
          <w:rFonts w:ascii="Consolas" w:hAnsi="Consolas"/>
          <w:shd w:val="clear" w:color="auto" w:fill="F2F2F2"/>
        </w:rPr>
        <w:t>&lt;thread&gt;</w:t>
      </w:r>
      <w:r>
        <w:t xml:space="preserve">](#thread) with the same </w:t>
      </w:r>
      <w:r>
        <w:rPr>
          <w:rFonts w:ascii="Consolas" w:hAnsi="Consolas"/>
          <w:shd w:val="clear" w:color="auto" w:fill="F2F2F2"/>
        </w:rPr>
        <w:t>thread_id</w:t>
      </w:r>
      <w:r>
        <w:t xml:space="preserve"> attribute for all of them.</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Postive integer</w:t>
            </w:r>
          </w:p>
        </w:tc>
        <w:tc>
          <w:tcPr>
            <w:tcW w:type="dxa" w:w="2160"/>
          </w:tcPr>
          <w:p>
            <w:r/>
            <w:r>
              <w:t>A string that identifies a thread.</w:t>
            </w:r>
          </w:p>
        </w:tc>
      </w:tr>
    </w:tbl>
    <w:p>
      <w:pPr>
        <w:pStyle w:val="Heading5"/>
      </w:pPr>
      <w:r>
        <w:t>Allowed Content Types</w:t>
      </w:r>
    </w:p>
    <w:p>
      <w:r>
        <w:t>None (empty element).</w:t>
      </w:r>
    </w:p>
    <w:p>
      <w:pPr>
        <w:pStyle w:val="Heading5"/>
      </w:pPr>
      <w:r>
        <w:t>Example</w:t>
      </w:r>
    </w:p>
    <w:p>
      <w:pPr>
        <w:pStyle w:val="Heading6"/>
      </w:pPr>
      <w:r>
        <w:t>Show document picture</w:t>
      </w:r>
    </w:p>
    <w:p>
      <w:r>
        <w:t>&lt;img src="reference/input/examples/thread.png" width="700"&gt;</w:t>
      </w:r>
    </w:p>
    <w:p>
      <w:pPr>
        <w:shd w:val="clear" w:color="auto" w:fill="F2F2F2"/>
      </w:pPr>
      <w:r>
        <w:rPr>
          <w:rFonts w:ascii="Consolas" w:hAnsi="Consolas"/>
          <w:sz w:val="18"/>
        </w:rPr>
        <w:t>&lt;doclang xmlns="https://www.doclang.ai/ns/v1"&gt;</w:t>
        <w:br/>
        <w:t xml:space="preserve">  &lt;!-- ... --&gt;</w:t>
        <w:br/>
        <w:t xml:space="preserve">  &lt;text&gt;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 xml:space="preserve">  &lt;/text&gt;</w:t>
        <w:br/>
        <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w:br/>
        <w:t xml:space="preserve">  &lt;text&gt;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 xml:space="preserve">  &lt;/text&gt;</w:t>
        <w:br/>
        <w:t>&lt;/doclang&gt;</w:t>
      </w:r>
    </w:p>
    <w:p>
      <w:pPr>
        <w:pStyle w:val="Heading4"/>
      </w:pPr>
      <w:r>
        <w:t>`&lt;h_thread&gt;`</w:t>
      </w:r>
    </w:p>
    <w:p>
      <w:r>
        <w:t>Optional part of the component head; serves for capturing a component crossing horizontal boundaries (e.g. table verically split between multiple pages).</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h_thread_id</w:t>
            </w:r>
          </w:p>
        </w:tc>
        <w:tc>
          <w:tcPr>
            <w:tcW w:type="dxa" w:w="2160"/>
          </w:tcPr>
          <w:p>
            <w:r/>
            <w:r>
              <w:t>Required</w:t>
            </w:r>
          </w:p>
        </w:tc>
        <w:tc>
          <w:tcPr>
            <w:tcW w:type="dxa" w:w="2160"/>
          </w:tcPr>
          <w:p>
            <w:r/>
            <w:r>
              <w:t>Postive integer</w:t>
            </w:r>
          </w:p>
        </w:tc>
        <w:tc>
          <w:tcPr>
            <w:tcW w:type="dxa" w:w="2160"/>
          </w:tcPr>
          <w:p>
            <w:r/>
          </w:p>
        </w:tc>
      </w:tr>
    </w:tbl>
    <w:p>
      <w:pPr>
        <w:pStyle w:val="Heading5"/>
      </w:pPr>
      <w:r>
        <w:t>Allowed Content Types</w:t>
      </w:r>
    </w:p>
    <w:p>
      <w:r>
        <w:t>None (empty element).</w:t>
      </w:r>
    </w:p>
    <w:p>
      <w:pPr>
        <w:pStyle w:val="Heading4"/>
      </w:pPr>
      <w:r>
        <w:t>`&lt;meta&gt;`</w:t>
      </w:r>
    </w:p>
    <w:p>
      <w:r>
        <w:t>Used to store additional or derived information regarding the respective component.</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Not allowed</w:t>
            </w:r>
          </w:p>
        </w:tc>
        <w:tc>
          <w:tcPr>
            <w:tcW w:type="dxa" w:w="2880"/>
          </w:tcPr>
          <w:p>
            <w:r/>
            <w:r>
              <w:t>Not allowed</w:t>
            </w:r>
          </w:p>
        </w:tc>
      </w:tr>
    </w:tbl>
    <w:p>
      <w:pPr>
        <w:pStyle w:val="Heading4"/>
      </w:pPr>
      <w:r>
        <w:t>`&lt;custom_meta&gt;`</w:t>
      </w:r>
    </w:p>
    <w:p>
      <w:r>
        <w:t>Custom metadata, e.g. for application-specific purposes.</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Not allowed</w:t>
            </w:r>
          </w:p>
        </w:tc>
        <w:tc>
          <w:tcPr>
            <w:tcW w:type="dxa" w:w="2880"/>
          </w:tcPr>
          <w:p>
            <w:r/>
            <w:r>
              <w:t>Not allowed</w:t>
            </w:r>
          </w:p>
        </w:tc>
      </w:tr>
    </w:tbl>
    <w:p>
      <w:pPr>
        <w:pStyle w:val="Heading4"/>
      </w:pPr>
      <w:r>
        <w:t>`&lt;location&gt;`</w:t>
      </w:r>
    </w:p>
    <w:p>
      <w:r>
        <w:t>Coordinate system is the bottom-left corner of the page.</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Integer within [0, resolution)</w:t>
            </w:r>
          </w:p>
        </w:tc>
        <w:tc>
          <w:tcPr>
            <w:tcW w:type="dxa" w:w="2160"/>
          </w:tcPr>
          <w:p>
            <w:r/>
          </w:p>
        </w:tc>
      </w:tr>
      <w:tr>
        <w:tc>
          <w:tcPr>
            <w:tcW w:type="dxa" w:w="2160"/>
          </w:tcPr>
          <w:p>
            <w:r/>
            <w:r>
              <w:rPr>
                <w:rFonts w:ascii="Consolas" w:hAnsi="Consolas"/>
                <w:shd w:val="clear" w:color="auto" w:fill="F2F2F2"/>
              </w:rPr>
              <w:t>resolution</w:t>
            </w:r>
          </w:p>
        </w:tc>
        <w:tc>
          <w:tcPr>
            <w:tcW w:type="dxa" w:w="2160"/>
          </w:tcPr>
          <w:p>
            <w:r/>
            <w:r>
              <w:t>Optional; defaults to head metadata [</w:t>
            </w:r>
            <w:r>
              <w:rPr>
                <w:rFonts w:ascii="Consolas" w:hAnsi="Consolas"/>
                <w:shd w:val="clear" w:color="auto" w:fill="F2F2F2"/>
              </w:rPr>
              <w:t>&lt;default_resolution&gt;</w:t>
            </w:r>
            <w:r>
              <w:t>](#default_resolution), otherwise "512"</w:t>
            </w:r>
          </w:p>
        </w:tc>
        <w:tc>
          <w:tcPr>
            <w:tcW w:type="dxa" w:w="2160"/>
          </w:tcPr>
          <w:p>
            <w:r/>
            <w:r>
              <w:t>Postive integer</w:t>
            </w:r>
          </w:p>
        </w:tc>
        <w:tc>
          <w:tcPr>
            <w:tcW w:type="dxa" w:w="2160"/>
          </w:tcPr>
          <w:p>
            <w:r/>
          </w:p>
        </w:tc>
      </w:tr>
    </w:tbl>
    <w:p>
      <w:pPr>
        <w:pStyle w:val="Heading5"/>
      </w:pPr>
      <w:r>
        <w:t>Allowed Content Types</w:t>
      </w:r>
    </w:p>
    <w:p>
      <w:r>
        <w:t>None (empty element).</w:t>
      </w:r>
    </w:p>
    <w:p>
      <w:pPr>
        <w:pStyle w:val="Heading4"/>
      </w:pPr>
      <w:r>
        <w:t>`&lt;timestamp&gt;`</w:t>
      </w:r>
    </w:p>
    <w:p>
      <w:r>
        <w:t xml:space="preserve">TBD. Needed, if the individual hour/minute/etc are not all required (else cannot unambiguously interpret </w:t>
      </w:r>
      <w:r>
        <w:rPr>
          <w:rFonts w:ascii="Consolas" w:hAnsi="Consolas"/>
          <w:shd w:val="clear" w:color="auto" w:fill="F2F2F2"/>
        </w:rPr>
        <w:t>&lt;hour&gt;0&lt;/hour&gt;&lt;minute&gt;2&lt;/minute&gt;&lt;second&gt;3&lt;/second&gt;</w:t>
      </w:r>
      <w:r>
        <w:t>)</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Not allowed</w:t>
            </w:r>
          </w:p>
        </w:tc>
        <w:tc>
          <w:tcPr>
            <w:tcW w:type="dxa" w:w="2880"/>
          </w:tcPr>
          <w:p>
            <w:r/>
            <w:r>
              <w:t>Not allowed</w:t>
            </w:r>
          </w:p>
        </w:tc>
      </w:tr>
    </w:tbl>
    <w:p>
      <w:pPr>
        <w:pStyle w:val="Heading4"/>
      </w:pPr>
      <w:r>
        <w:t>`&lt;hour&gt;`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`&lt;minute&gt;`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`&lt;second&gt;`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`&lt;centisecond&gt;`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`&lt;layer&gt;`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"body"</w:t>
            </w:r>
          </w:p>
        </w:tc>
        <w:tc>
          <w:tcPr>
            <w:tcW w:type="dxa" w:w="2160"/>
          </w:tcPr>
          <w:p>
            <w:r/>
            <w:r>
              <w:t>{"body", "furniture", "background", "invisible", "notes"}</w:t>
            </w:r>
          </w:p>
        </w:tc>
        <w:tc>
          <w:tcPr>
            <w:tcW w:type="dxa" w:w="2160"/>
          </w:tcPr>
          <w:p>
            <w:r/>
          </w:p>
        </w:tc>
      </w:tr>
    </w:tbl>
    <w:p>
      <w:pPr>
        <w:pStyle w:val="Heading5"/>
      </w:pPr>
      <w:r>
        <w:t>Allowed Content Types</w:t>
      </w:r>
    </w:p>
    <w:p>
      <w:r>
        <w:t>None (empty element).</w:t>
      </w:r>
    </w:p>
    <w:p>
      <w:pPr>
        <w:pStyle w:val="Heading4"/>
      </w:pPr>
      <w:r>
        <w:t>`&lt;summary&gt;`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`&lt;classification&gt;`</w:t>
      </w:r>
    </w:p>
    <w:p>
      <w:pPr>
        <w:pStyle w:val="Heading5"/>
      </w:pPr>
      <w:r>
        <w:t>Allowed Context</w:t>
      </w:r>
    </w:p>
    <w:p>
      <w:r>
        <w:t>Can only be child of [</w:t>
      </w:r>
      <w:r>
        <w:rPr>
          <w:rFonts w:ascii="Consolas" w:hAnsi="Consolas"/>
          <w:shd w:val="clear" w:color="auto" w:fill="F2F2F2"/>
        </w:rPr>
        <w:t>&lt;meta&gt;</w:t>
      </w:r>
      <w:r>
        <w:t>](#meta).</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3"/>
      </w:pPr>
      <w:r>
        <w:t>Payload Elements</w:t>
      </w:r>
    </w:p>
    <w:p>
      <w:r>
        <w:t>Payload elements are low-level elements that help define the effective content of another element.</w:t>
      </w:r>
    </w:p>
    <w:p>
      <w:pPr>
        <w:pStyle w:val="Heading4"/>
      </w:pPr>
      <w:r>
        <w:t>`&lt;uri&gt;`</w:t>
      </w:r>
    </w:p>
    <w:p>
      <w:r>
        <w:t>Textual content must be a URI.</w:t>
      </w:r>
    </w:p>
    <w:p>
      <w:pPr>
        <w:pStyle w:val="Heading5"/>
      </w:pPr>
      <w:r>
        <w:t>Allowed Context</w:t>
      </w:r>
    </w:p>
    <w:p>
      <w:r>
        <w:t>Can only be child of [</w:t>
      </w:r>
      <w:r>
        <w:rPr>
          <w:rFonts w:ascii="Consolas" w:hAnsi="Consolas"/>
          <w:shd w:val="clear" w:color="auto" w:fill="F2F2F2"/>
        </w:rPr>
        <w:t>&lt;picture&gt;</w:t>
      </w:r>
      <w:r>
        <w:t>](#picture) or first child of [</w:t>
      </w:r>
      <w:r>
        <w:rPr>
          <w:rFonts w:ascii="Consolas" w:hAnsi="Consolas"/>
          <w:shd w:val="clear" w:color="auto" w:fill="F2F2F2"/>
        </w:rPr>
        <w:t>&lt;hyperlink&gt;</w:t>
      </w:r>
      <w:r>
        <w:t>](#hyperlink).</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4"/>
      </w:pPr>
      <w:r>
        <w:t>`&lt;checkbox&gt;`</w:t>
      </w:r>
    </w:p>
    <w:p>
      <w:pPr>
        <w:pStyle w:val="Heading5"/>
      </w:pPr>
      <w:r>
        <w:t>Allowed Context</w:t>
      </w:r>
    </w:p>
    <w:p>
      <w:r>
        <w:t>Any context that allows raw text content.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selected</w:t>
            </w:r>
          </w:p>
        </w:tc>
        <w:tc>
          <w:tcPr>
            <w:tcW w:type="dxa" w:w="2160"/>
          </w:tcPr>
          <w:p>
            <w:r/>
            <w:r>
              <w:t>Optional;default: "false"</w:t>
            </w:r>
          </w:p>
        </w:tc>
        <w:tc>
          <w:tcPr>
            <w:tcW w:type="dxa" w:w="2160"/>
          </w:tcPr>
          <w:p>
            <w:r/>
            <w:r>
              <w:t>{"false", "true"}</w:t>
            </w:r>
          </w:p>
        </w:tc>
        <w:tc>
          <w:tcPr>
            <w:tcW w:type="dxa" w:w="2160"/>
          </w:tcPr>
          <w:p>
            <w:r/>
          </w:p>
        </w:tc>
      </w:tr>
    </w:tbl>
    <w:p>
      <w:pPr>
        <w:pStyle w:val="Heading5"/>
      </w:pPr>
      <w:r>
        <w:t>Allowed Content Types</w:t>
      </w:r>
    </w:p>
    <w:p>
      <w:r>
        <w:t>None (empty element).</w:t>
      </w:r>
    </w:p>
    <w:p>
      <w:pPr>
        <w:pStyle w:val="Heading4"/>
      </w:pPr>
      <w:r>
        <w:t>`&lt;content&gt;`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3"/>
      </w:pPr>
      <w:r>
        <w:t>Formatting Elements</w:t>
      </w:r>
    </w:p>
    <w:p>
      <w:r>
        <w:t>Formatting elements modify the styling and presentation within semantic or other formatting elements.</w:t>
      </w:r>
    </w:p>
    <w:p>
      <w:pPr>
        <w:pStyle w:val="Heading4"/>
      </w:pPr>
      <w:r>
        <w:t>`&lt;bold&gt;`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4"/>
      </w:pPr>
      <w:r>
        <w:t>`&lt;italic&gt;`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4"/>
      </w:pPr>
      <w:r>
        <w:t>`&lt;underline&gt;`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4"/>
      </w:pPr>
      <w:r>
        <w:t>`&lt;strikethrough&gt;`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4"/>
      </w:pPr>
      <w:r>
        <w:t>`&lt;superscript&gt;`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4"/>
      </w:pPr>
      <w:r>
        <w:t>`&lt;subscript&gt;`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4"/>
      </w:pPr>
      <w:r>
        <w:t>`&lt;handwriting&gt;`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4"/>
      </w:pPr>
      <w:r>
        <w:t>`&lt;rtl&gt;`</w:t>
      </w:r>
    </w:p>
    <w:p>
      <w:r>
        <w:t>Indicates right-to-left direction.</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4"/>
      </w:pPr>
      <w:r>
        <w:t>`&lt;hyperlink&gt;`</w:t>
      </w:r>
    </w:p>
    <w:p>
      <w:r>
        <w:t>Contains a [</w:t>
      </w:r>
      <w:r>
        <w:rPr>
          <w:rFonts w:ascii="Consolas" w:hAnsi="Consolas"/>
          <w:shd w:val="clear" w:color="auto" w:fill="F2F2F2"/>
        </w:rPr>
        <w:t>&lt;uri&gt;</w:t>
      </w:r>
      <w:r>
        <w:t>](#uri) and then optionally raw or formatted text data.</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3"/>
      </w:pPr>
      <w:r>
        <w:t>Structural Elements</w:t>
      </w:r>
    </w:p>
    <w:p>
      <w:r>
        <w:t>Structural elements define boundaries within tabular content (</w:t>
      </w:r>
      <w:r>
        <w:rPr>
          <w:rFonts w:ascii="Consolas" w:hAnsi="Consolas"/>
          <w:shd w:val="clear" w:color="auto" w:fill="F2F2F2"/>
        </w:rPr>
        <w:t>&lt;otsl&gt;</w:t>
      </w:r>
      <w:r>
        <w:t>).</w:t>
      </w:r>
    </w:p>
    <w:p>
      <w:pPr>
        <w:pStyle w:val="Heading4"/>
      </w:pPr>
      <w:r>
        <w:t>`&lt;fcel&gt;`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`&lt;ecel&gt;`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`&lt;ched&gt;`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`&lt;rhed&gt;`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`&lt;corn&gt;`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`&lt;srow&gt;`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`&lt;lcel&gt;`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`&lt;ucel&gt;`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`&lt;xcel&gt;`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`&lt;nl&gt;`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`&lt;ldiv&gt;`</w:t>
      </w:r>
    </w:p>
    <w:p>
      <w:r>
        <w:t>Delimiter defining the beginning of a list item. It can either be empty or contain a [</w:t>
      </w:r>
      <w:r>
        <w:rPr>
          <w:rFonts w:ascii="Consolas" w:hAnsi="Consolas"/>
          <w:shd w:val="clear" w:color="auto" w:fill="F2F2F2"/>
        </w:rPr>
        <w:t>&lt;marker&gt;</w:t>
      </w:r>
      <w:r>
        <w:t>](#marker).</w:t>
      </w:r>
    </w:p>
    <w:p>
      <w:pPr>
        <w:pStyle w:val="Heading5"/>
      </w:pPr>
      <w:r>
        <w:t>Allowed Context</w:t>
      </w:r>
    </w:p>
    <w:p>
      <w:r>
        <w:t>Can only be child of [</w:t>
      </w:r>
      <w:r>
        <w:rPr>
          <w:rFonts w:ascii="Consolas" w:hAnsi="Consolas"/>
          <w:shd w:val="clear" w:color="auto" w:fill="F2F2F2"/>
        </w:rPr>
        <w:t>&lt;list&gt;</w:t>
      </w:r>
      <w:r>
        <w:t>](#list).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Not allowed</w:t>
            </w:r>
          </w:p>
        </w:tc>
        <w:tc>
          <w:tcPr>
            <w:tcW w:type="dxa" w:w="2880"/>
          </w:tcPr>
          <w:p>
            <w:r/>
            <w:r>
              <w:t>Only [</w:t>
            </w:r>
            <w:r>
              <w:rPr>
                <w:rFonts w:ascii="Consolas" w:hAnsi="Consolas"/>
                <w:shd w:val="clear" w:color="auto" w:fill="F2F2F2"/>
              </w:rPr>
              <w:t>&lt;marker&gt;</w:t>
            </w:r>
            <w:r>
              <w:t>](#marker)</w:t>
            </w:r>
          </w:p>
        </w:tc>
      </w:tr>
    </w:tbl>
    <w:p>
      <w:pPr>
        <w:pStyle w:val="Heading3"/>
      </w:pPr>
      <w:r>
        <w:t>Document Head Elements</w:t>
      </w:r>
    </w:p>
    <w:p>
      <w:r>
        <w:t xml:space="preserve">This category comprises the document-level metadata elements that are the building blocks of </w:t>
      </w:r>
      <w:r>
        <w:rPr>
          <w:rFonts w:ascii="Consolas" w:hAnsi="Consolas"/>
          <w:shd w:val="clear" w:color="auto" w:fill="F2F2F2"/>
        </w:rPr>
        <w:t>&lt;head&gt;</w:t>
      </w:r>
      <w:r>
        <w:t>.</w:t>
      </w:r>
    </w:p>
    <w:p>
      <w:pPr>
        <w:pStyle w:val="Heading4"/>
      </w:pPr>
      <w:r>
        <w:t>`&lt;title&gt;`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`&lt;author&gt;`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`&lt;date&gt;`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`&lt;default_resolution&gt;`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`&lt;page_size&gt;`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`&lt;language&gt;`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`&lt;generated_by&gt;`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`&lt;topic&gt;`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`&lt;summary&gt;`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`&lt;document_hash&gt;`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`&lt;licenses&gt;`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`&lt;data_classification&gt;`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`&lt;acceptable_use&gt;`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`&lt;stewardship&gt;`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`&lt;access_policy&gt;`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`&lt;retention_policy&gt;`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`&lt;compliance_requirements&gt;`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82C54"/>
    <w:pPr>
      <w:tabs>
        <w:tab w:val="left" w:pos="403"/>
      </w:tabs>
      <w:spacing w:after="120" w:line="240" w:lineRule="atLeast"/>
      <w:jc w:val="both"/>
    </w:pPr>
    <w:rPr>
      <w:sz w:val="22"/>
      <w:szCs w:val="22"/>
      <w:lang w:val="en-GB"/>
    </w:rPr>
  </w:style>
  <w:style w:type="paragraph" w:styleId="Heading1">
    <w:name w:val="heading 1"/>
    <w:basedOn w:val="Normal"/>
    <w:next w:val="Normal"/>
    <w:link w:val="Heading1Char"/>
    <w:uiPriority w:val="1"/>
    <w:qFormat/>
    <w:rsid w:val="001B51CD"/>
    <w:pPr>
      <w:keepNext/>
      <w:numPr>
        <w:numId w:val="6"/>
      </w:numPr>
      <w:tabs>
        <w:tab w:val="clear" w:pos="403"/>
        <w:tab w:val="left" w:pos="400"/>
        <w:tab w:val="left" w:pos="560"/>
      </w:tabs>
      <w:suppressAutoHyphens/>
      <w:spacing w:before="270" w:line="270" w:lineRule="atLeast"/>
      <w:ind w:left="0" w:firstLine="0"/>
      <w:jc w:val="left"/>
      <w:outlineLvl w:val="0"/>
    </w:pPr>
    <w:rPr>
      <w:rFonts w:eastAsia="MS Mincho"/>
      <w:b/>
      <w:sz w:val="26"/>
      <w:lang w:eastAsia="ja-JP"/>
    </w:rPr>
  </w:style>
  <w:style w:type="paragraph" w:styleId="Heading2">
    <w:name w:val="heading 2"/>
    <w:basedOn w:val="Heading1"/>
    <w:next w:val="Normal"/>
    <w:link w:val="Heading2Char"/>
    <w:uiPriority w:val="2"/>
    <w:qFormat/>
    <w:rsid w:val="001B51CD"/>
    <w:pPr>
      <w:numPr>
        <w:ilvl w:val="1"/>
      </w:numPr>
      <w:tabs>
        <w:tab w:val="clear" w:pos="360"/>
        <w:tab w:val="clear" w:pos="400"/>
        <w:tab w:val="clear" w:pos="560"/>
        <w:tab w:val="left" w:pos="540"/>
        <w:tab w:val="left" w:pos="700"/>
      </w:tabs>
      <w:spacing w:before="60" w:line="250" w:lineRule="atLeast"/>
      <w:outlineLvl w:val="1"/>
    </w:pPr>
    <w:rPr>
      <w:sz w:val="24"/>
    </w:rPr>
  </w:style>
  <w:style w:type="paragraph" w:styleId="Heading3">
    <w:name w:val="heading 3"/>
    <w:basedOn w:val="Heading1"/>
    <w:next w:val="Normal"/>
    <w:link w:val="Heading3Char"/>
    <w:uiPriority w:val="3"/>
    <w:qFormat/>
    <w:rsid w:val="001B51CD"/>
    <w:pPr>
      <w:numPr>
        <w:ilvl w:val="2"/>
      </w:numPr>
      <w:tabs>
        <w:tab w:val="clear" w:pos="400"/>
        <w:tab w:val="clear" w:pos="560"/>
        <w:tab w:val="left" w:pos="880"/>
      </w:tabs>
      <w:spacing w:before="60" w:line="240" w:lineRule="atLeast"/>
      <w:outlineLvl w:val="2"/>
    </w:pPr>
    <w:rPr>
      <w:sz w:val="22"/>
    </w:rPr>
  </w:style>
  <w:style w:type="paragraph" w:styleId="Heading4">
    <w:name w:val="heading 4"/>
    <w:basedOn w:val="Heading3"/>
    <w:next w:val="Normal"/>
    <w:link w:val="Heading4Char"/>
    <w:uiPriority w:val="4"/>
    <w:qFormat/>
    <w:rsid w:val="00F828CA"/>
    <w:pPr>
      <w:numPr>
        <w:ilvl w:val="3"/>
      </w:numPr>
      <w:tabs>
        <w:tab w:val="clear" w:pos="880"/>
        <w:tab w:val="clear" w:pos="1080"/>
        <w:tab w:val="left" w:pos="1021"/>
        <w:tab w:val="left" w:pos="1140"/>
        <w:tab w:val="left" w:pos="1360"/>
      </w:tabs>
      <w:outlineLvl w:val="3"/>
    </w:pPr>
  </w:style>
  <w:style w:type="paragraph" w:styleId="Heading5">
    <w:name w:val="heading 5"/>
    <w:basedOn w:val="Heading4"/>
    <w:next w:val="Normal"/>
    <w:link w:val="Heading5Char"/>
    <w:uiPriority w:val="5"/>
    <w:qFormat/>
    <w:rsid w:val="001B51CD"/>
    <w:pPr>
      <w:numPr>
        <w:ilvl w:val="4"/>
      </w:numPr>
      <w:tabs>
        <w:tab w:val="clear" w:pos="1140"/>
        <w:tab w:val="clear" w:pos="1360"/>
      </w:tabs>
      <w:outlineLvl w:val="4"/>
    </w:pPr>
  </w:style>
  <w:style w:type="paragraph" w:styleId="Heading6">
    <w:name w:val="heading 6"/>
    <w:basedOn w:val="Heading5"/>
    <w:next w:val="Normal"/>
    <w:link w:val="Heading6Char"/>
    <w:uiPriority w:val="6"/>
    <w:qFormat/>
    <w:rsid w:val="001B51CD"/>
    <w:pPr>
      <w:numPr>
        <w:ilvl w:val="5"/>
      </w:num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1"/>
    <w:rsid w:val="001B51CD"/>
    <w:rPr>
      <w:rFonts w:ascii="Cambria" w:eastAsia="MS Mincho" w:hAnsi="Cambria"/>
      <w:b/>
      <w:sz w:val="26"/>
      <w:lang w:val="en-GB" w:eastAsia="ja-JP"/>
    </w:rPr>
  </w:style>
  <w:style w:type="character" w:customStyle="1" w:styleId="Heading2Char">
    <w:name w:val="Heading 2 Char"/>
    <w:link w:val="Heading2"/>
    <w:uiPriority w:val="2"/>
    <w:rsid w:val="001B51CD"/>
    <w:rPr>
      <w:rFonts w:ascii="Cambria" w:eastAsia="MS Mincho" w:hAnsi="Cambria"/>
      <w:b/>
      <w:sz w:val="24"/>
      <w:lang w:val="en-GB" w:eastAsia="ja-JP"/>
    </w:rPr>
  </w:style>
  <w:style w:type="character" w:customStyle="1" w:styleId="Heading3Char">
    <w:name w:val="Heading 3 Char"/>
    <w:link w:val="Heading3"/>
    <w:uiPriority w:val="3"/>
    <w:rsid w:val="001B51CD"/>
    <w:rPr>
      <w:rFonts w:ascii="Cambria" w:eastAsia="MS Mincho" w:hAnsi="Cambria"/>
      <w:b/>
      <w:sz w:val="22"/>
      <w:lang w:val="en-GB" w:eastAsia="ja-JP"/>
    </w:rPr>
  </w:style>
  <w:style w:type="character" w:customStyle="1" w:styleId="Heading4Char">
    <w:name w:val="Heading 4 Char"/>
    <w:link w:val="Heading4"/>
    <w:uiPriority w:val="4"/>
    <w:rsid w:val="00F828CA"/>
    <w:rPr>
      <w:rFonts w:ascii="Cambria" w:eastAsia="MS Mincho" w:hAnsi="Cambria"/>
      <w:b/>
      <w:sz w:val="22"/>
      <w:lang w:val="en-GB" w:eastAsia="ja-JP"/>
    </w:rPr>
  </w:style>
  <w:style w:type="character" w:customStyle="1" w:styleId="Heading5Char">
    <w:name w:val="Heading 5 Char"/>
    <w:link w:val="Heading5"/>
    <w:uiPriority w:val="5"/>
    <w:rsid w:val="001B51CD"/>
    <w:rPr>
      <w:rFonts w:ascii="Cambria" w:eastAsia="MS Mincho" w:hAnsi="Cambria"/>
      <w:b/>
      <w:sz w:val="22"/>
      <w:lang w:val="en-GB" w:eastAsia="ja-JP"/>
    </w:rPr>
  </w:style>
  <w:style w:type="character" w:customStyle="1" w:styleId="Heading6Char">
    <w:name w:val="Heading 6 Char"/>
    <w:link w:val="Heading6"/>
    <w:uiPriority w:val="6"/>
    <w:rsid w:val="001B51CD"/>
    <w:rPr>
      <w:rFonts w:ascii="Cambria" w:eastAsia="MS Mincho" w:hAnsi="Cambria"/>
      <w:b/>
      <w:sz w:val="22"/>
      <w:lang w:val="en-GB" w:eastAsia="ja-JP"/>
    </w:rPr>
  </w:style>
  <w:style w:type="paragraph" w:customStyle="1" w:styleId="a2">
    <w:name w:val="a2"/>
    <w:basedOn w:val="Normal"/>
    <w:next w:val="Normal"/>
    <w:uiPriority w:val="11"/>
    <w:rsid w:val="0054733A"/>
    <w:pPr>
      <w:keepNext/>
      <w:numPr>
        <w:ilvl w:val="1"/>
        <w:numId w:val="12"/>
      </w:numPr>
      <w:tabs>
        <w:tab w:val="clear" w:pos="360"/>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Normal"/>
    <w:next w:val="Normal"/>
    <w:uiPriority w:val="12"/>
    <w:rsid w:val="00F828CA"/>
    <w:pPr>
      <w:keepNext/>
      <w:numPr>
        <w:ilvl w:val="2"/>
        <w:numId w:val="12"/>
      </w:numPr>
      <w:spacing w:before="60" w:line="250" w:lineRule="atLeast"/>
      <w:jc w:val="left"/>
      <w:outlineLvl w:val="0"/>
    </w:pPr>
    <w:rPr>
      <w:rFonts w:eastAsia="MS Mincho"/>
      <w:b/>
      <w:sz w:val="24"/>
      <w:lang w:eastAsia="ja-JP"/>
    </w:rPr>
  </w:style>
  <w:style w:type="paragraph" w:customStyle="1" w:styleId="a4">
    <w:name w:val="a4"/>
    <w:basedOn w:val="Normal"/>
    <w:next w:val="Normal"/>
    <w:uiPriority w:val="13"/>
    <w:rsid w:val="001B51CD"/>
    <w:pPr>
      <w:keepNext/>
      <w:numPr>
        <w:ilvl w:val="3"/>
        <w:numId w:val="12"/>
      </w:numPr>
      <w:tabs>
        <w:tab w:val="left" w:pos="880"/>
      </w:tabs>
      <w:spacing w:before="60"/>
      <w:jc w:val="left"/>
      <w:outlineLvl w:val="0"/>
    </w:pPr>
    <w:rPr>
      <w:rFonts w:eastAsia="MS Mincho"/>
      <w:b/>
      <w:bCs/>
      <w:iCs/>
      <w:lang w:eastAsia="ja-JP"/>
    </w:rPr>
  </w:style>
  <w:style w:type="paragraph" w:customStyle="1" w:styleId="a5">
    <w:name w:val="a5"/>
    <w:basedOn w:val="Normal"/>
    <w:next w:val="Normal"/>
    <w:uiPriority w:val="14"/>
    <w:rsid w:val="00F828CA"/>
    <w:pPr>
      <w:keepNext/>
      <w:numPr>
        <w:ilvl w:val="4"/>
        <w:numId w:val="12"/>
      </w:numPr>
      <w:tabs>
        <w:tab w:val="left" w:pos="1247"/>
        <w:tab w:val="left" w:pos="1360"/>
      </w:tabs>
      <w:spacing w:before="60"/>
      <w:jc w:val="left"/>
      <w:outlineLvl w:val="0"/>
    </w:pPr>
    <w:rPr>
      <w:rFonts w:eastAsia="MS Mincho"/>
      <w:b/>
      <w:bCs/>
      <w:iCs/>
      <w:lang w:eastAsia="ja-JP"/>
    </w:rPr>
  </w:style>
  <w:style w:type="paragraph" w:customStyle="1" w:styleId="a6">
    <w:name w:val="a6"/>
    <w:basedOn w:val="Normal"/>
    <w:next w:val="Normal"/>
    <w:uiPriority w:val="15"/>
    <w:rsid w:val="00F828CA"/>
    <w:pPr>
      <w:keepNext/>
      <w:numPr>
        <w:ilvl w:val="5"/>
        <w:numId w:val="12"/>
      </w:numPr>
      <w:tabs>
        <w:tab w:val="left" w:pos="1247"/>
        <w:tab w:val="left" w:pos="1360"/>
      </w:tabs>
      <w:spacing w:before="60"/>
      <w:jc w:val="left"/>
      <w:outlineLvl w:val="0"/>
    </w:pPr>
    <w:rPr>
      <w:rFonts w:eastAsia="MS Mincho"/>
      <w:b/>
      <w:bCs/>
      <w:lang w:eastAsia="ja-JP"/>
    </w:rPr>
  </w:style>
  <w:style w:type="paragraph" w:customStyle="1" w:styleId="ANNEX">
    <w:name w:val="ANNEX"/>
    <w:basedOn w:val="Normal"/>
    <w:next w:val="Normal"/>
    <w:uiPriority w:val="10"/>
    <w:rsid w:val="00F77E4F"/>
    <w:pPr>
      <w:keepNext/>
      <w:pageBreakBefore/>
      <w:numPr>
        <w:numId w:val="12"/>
      </w:numPr>
      <w:spacing w:after="480" w:line="310" w:lineRule="exact"/>
      <w:jc w:val="center"/>
      <w:outlineLvl w:val="0"/>
    </w:pPr>
    <w:rPr>
      <w:rFonts w:eastAsia="MS Mincho"/>
      <w:b/>
      <w:sz w:val="28"/>
      <w:lang w:eastAsia="ja-JP"/>
    </w:rPr>
  </w:style>
  <w:style w:type="paragraph" w:customStyle="1" w:styleId="BiblioTitle">
    <w:name w:val="Biblio Title"/>
    <w:basedOn w:val="Normal"/>
    <w:uiPriority w:val="5"/>
    <w:rsid w:val="00264095"/>
    <w:pPr>
      <w:spacing w:after="310" w:line="310" w:lineRule="atLeast"/>
      <w:jc w:val="center"/>
      <w:outlineLvl w:val="0"/>
    </w:pPr>
    <w:rPr>
      <w:b/>
      <w:sz w:val="28"/>
    </w:rPr>
  </w:style>
  <w:style w:type="paragraph" w:customStyle="1" w:styleId="Definition">
    <w:name w:val="Definition"/>
    <w:basedOn w:val="Normal"/>
    <w:link w:val="DefinitionChar"/>
    <w:uiPriority w:val="9"/>
    <w:rsid w:val="00F77E4F"/>
  </w:style>
  <w:style w:type="paragraph" w:customStyle="1" w:styleId="ForewordTitle">
    <w:name w:val="Foreword Title"/>
    <w:basedOn w:val="Normal"/>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Normal"/>
    <w:next w:val="Definition"/>
    <w:uiPriority w:val="8"/>
    <w:rsid w:val="00F77E4F"/>
    <w:pPr>
      <w:keepNext/>
      <w:suppressAutoHyphens/>
      <w:spacing w:after="0"/>
      <w:jc w:val="left"/>
    </w:pPr>
    <w:rPr>
      <w:b/>
    </w:rPr>
  </w:style>
  <w:style w:type="paragraph" w:customStyle="1" w:styleId="TermNum">
    <w:name w:val="TermNum"/>
    <w:basedOn w:val="Normal"/>
    <w:next w:val="Terms"/>
    <w:uiPriority w:val="7"/>
    <w:rsid w:val="00F77E4F"/>
    <w:pPr>
      <w:keepNext/>
      <w:spacing w:after="0"/>
      <w:jc w:val="left"/>
    </w:pPr>
    <w:rPr>
      <w:b/>
    </w:rPr>
  </w:style>
  <w:style w:type="paragraph" w:styleId="TOC1">
    <w:name w:val="toc 1"/>
    <w:basedOn w:val="Normal"/>
    <w:next w:val="Normal"/>
    <w:uiPriority w:val="39"/>
    <w:rsid w:val="00264095"/>
    <w:pPr>
      <w:tabs>
        <w:tab w:val="left" w:pos="720"/>
        <w:tab w:val="right" w:leader="dot" w:pos="9752"/>
      </w:tabs>
      <w:suppressAutoHyphens/>
      <w:spacing w:before="120" w:after="0"/>
      <w:ind w:left="720" w:right="500" w:hanging="720"/>
      <w:jc w:val="left"/>
    </w:pPr>
    <w:rPr>
      <w:b/>
    </w:rPr>
  </w:style>
  <w:style w:type="paragraph" w:styleId="TOC2">
    <w:name w:val="toc 2"/>
    <w:basedOn w:val="TOC1"/>
    <w:next w:val="Normal"/>
    <w:uiPriority w:val="39"/>
    <w:rsid w:val="00264095"/>
    <w:pPr>
      <w:spacing w:before="0"/>
    </w:pPr>
  </w:style>
  <w:style w:type="paragraph" w:styleId="TOC3">
    <w:name w:val="toc 3"/>
    <w:basedOn w:val="TOC2"/>
    <w:next w:val="Normal"/>
    <w:uiPriority w:val="39"/>
    <w:rsid w:val="00264095"/>
  </w:style>
  <w:style w:type="paragraph" w:customStyle="1" w:styleId="zzContents">
    <w:name w:val="zzContents"/>
    <w:basedOn w:val="Normal"/>
    <w:next w:val="TOC1"/>
    <w:semiHidden/>
    <w:rsid w:val="00264095"/>
    <w:pPr>
      <w:keepNext/>
      <w:pageBreakBefore/>
      <w:suppressAutoHyphens/>
      <w:spacing w:before="960" w:after="310" w:line="310" w:lineRule="exact"/>
      <w:jc w:val="left"/>
    </w:pPr>
    <w:rPr>
      <w:b/>
      <w:sz w:val="28"/>
    </w:rPr>
  </w:style>
  <w:style w:type="paragraph" w:customStyle="1" w:styleId="zzCopyright">
    <w:name w:val="zzCopyright"/>
    <w:basedOn w:val="Normal"/>
    <w:next w:val="Normal"/>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Normal"/>
    <w:next w:val="Normal"/>
    <w:semiHidden/>
    <w:rsid w:val="00264095"/>
    <w:pPr>
      <w:suppressAutoHyphens/>
      <w:spacing w:before="400" w:after="760" w:line="350" w:lineRule="exact"/>
      <w:jc w:val="left"/>
    </w:pPr>
    <w:rPr>
      <w:b/>
      <w:color w:val="0000FF"/>
      <w:sz w:val="32"/>
    </w:rPr>
  </w:style>
  <w:style w:type="table" w:styleId="TableGrid">
    <w:name w:val="Table Grid"/>
    <w:basedOn w:val="TableNormal"/>
    <w:uiPriority w:val="39"/>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rsid w:val="00526284"/>
    <w:pPr>
      <w:tabs>
        <w:tab w:val="clear" w:pos="403"/>
        <w:tab w:val="right" w:pos="9752"/>
      </w:tabs>
      <w:spacing w:before="360" w:line="220" w:lineRule="exact"/>
    </w:pPr>
  </w:style>
  <w:style w:type="character" w:customStyle="1" w:styleId="FooterChar">
    <w:name w:val="Footer Char"/>
    <w:link w:val="Footer"/>
    <w:uiPriority w:val="99"/>
    <w:semiHidden/>
    <w:rsid w:val="00526284"/>
    <w:rPr>
      <w:sz w:val="22"/>
      <w:szCs w:val="22"/>
      <w:lang w:val="en-GB"/>
    </w:rPr>
  </w:style>
  <w:style w:type="paragraph" w:styleId="Header">
    <w:name w:val="header"/>
    <w:basedOn w:val="Normal"/>
    <w:link w:val="HeaderChar"/>
    <w:uiPriority w:val="99"/>
    <w:semiHidden/>
    <w:rsid w:val="00526284"/>
    <w:pPr>
      <w:spacing w:after="600" w:line="220" w:lineRule="exact"/>
    </w:pPr>
    <w:rPr>
      <w:b/>
    </w:rPr>
  </w:style>
  <w:style w:type="character" w:customStyle="1" w:styleId="HeaderChar">
    <w:name w:val="Header Char"/>
    <w:link w:val="Header"/>
    <w:uiPriority w:val="99"/>
    <w:semiHidden/>
    <w:rsid w:val="00526284"/>
    <w:rPr>
      <w:b/>
      <w:sz w:val="22"/>
      <w:szCs w:val="22"/>
      <w:lang w:val="en-GB"/>
    </w:rPr>
  </w:style>
  <w:style w:type="character" w:styleId="Hyperlink">
    <w:name w:val="Hyperlink"/>
    <w:uiPriority w:val="99"/>
    <w:rsid w:val="001A33D0"/>
    <w:rPr>
      <w:color w:val="0000FF"/>
      <w:u w:val="single"/>
      <w:lang w:val="fr-FR"/>
    </w:rPr>
  </w:style>
  <w:style w:type="paragraph" w:customStyle="1" w:styleId="Code">
    <w:name w:val="Code"/>
    <w:basedOn w:val="Normal"/>
    <w:uiPriority w:val="16"/>
    <w:qFormat/>
    <w:rsid w:val="00526284"/>
    <w:pPr>
      <w:spacing w:after="0" w:line="200" w:lineRule="atLeast"/>
      <w:jc w:val="left"/>
    </w:pPr>
    <w:rPr>
      <w:rFonts w:ascii="Courier New" w:hAnsi="Courier New"/>
      <w:sz w:val="18"/>
    </w:rPr>
  </w:style>
  <w:style w:type="paragraph" w:styleId="Caption">
    <w:name w:val="caption"/>
    <w:basedOn w:val="Normal"/>
    <w:next w:val="Normal"/>
    <w:uiPriority w:val="35"/>
    <w:unhideWhenUsed/>
    <w:qFormat/>
    <w:rsid w:val="00CB117B"/>
    <w:pPr>
      <w:spacing w:after="200" w:line="240" w:lineRule="auto"/>
    </w:pPr>
    <w:rPr>
      <w:i/>
      <w:iCs/>
      <w:color w:val="44546A" w:themeColor="text2"/>
      <w:sz w:val="18"/>
      <w:szCs w:val="18"/>
    </w:rPr>
  </w:style>
  <w:style w:type="paragraph" w:styleId="BodyText">
    <w:name w:val="Body Text"/>
    <w:basedOn w:val="Normal"/>
    <w:link w:val="BodyTextChar"/>
    <w:qFormat/>
    <w:rsid w:val="007B5DAA"/>
  </w:style>
  <w:style w:type="paragraph" w:customStyle="1" w:styleId="Formula">
    <w:name w:val="Formula"/>
    <w:basedOn w:val="Normal"/>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Normal"/>
    <w:rsid w:val="00652F34"/>
    <w:pPr>
      <w:spacing w:before="60" w:after="60"/>
      <w:jc w:val="center"/>
    </w:pPr>
    <w:rPr>
      <w:sz w:val="20"/>
    </w:rPr>
  </w:style>
  <w:style w:type="character" w:styleId="PlaceholderText">
    <w:name w:val="Placeholder Text"/>
    <w:basedOn w:val="DefaultParagraphFont"/>
    <w:uiPriority w:val="99"/>
    <w:semiHidden/>
    <w:rsid w:val="00610D56"/>
    <w:rPr>
      <w:color w:val="808080"/>
    </w:rPr>
  </w:style>
  <w:style w:type="paragraph" w:customStyle="1" w:styleId="ForewordText">
    <w:name w:val="Foreword Text"/>
    <w:basedOn w:val="Normal"/>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BalloonText">
    <w:name w:val="Balloon Text"/>
    <w:basedOn w:val="Normal"/>
    <w:link w:val="BalloonTextChar"/>
    <w:uiPriority w:val="99"/>
    <w:semiHidden/>
    <w:unhideWhenUsed/>
    <w:rsid w:val="000C03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033F"/>
    <w:rPr>
      <w:rFonts w:ascii="Segoe UI" w:hAnsi="Segoe UI" w:cs="Segoe UI"/>
      <w:sz w:val="18"/>
      <w:szCs w:val="18"/>
      <w:lang w:val="en-GB"/>
    </w:rPr>
  </w:style>
  <w:style w:type="character" w:styleId="FollowedHyperlink">
    <w:name w:val="FollowedHyperlink"/>
    <w:basedOn w:val="DefaultParagraphFont"/>
    <w:uiPriority w:val="99"/>
    <w:semiHidden/>
    <w:unhideWhenUsed/>
    <w:rsid w:val="00F81ACE"/>
    <w:rPr>
      <w:color w:val="954F72" w:themeColor="followedHyperlink"/>
      <w:u w:val="single"/>
    </w:rPr>
  </w:style>
  <w:style w:type="paragraph" w:styleId="NormalWeb">
    <w:name w:val="Normal (Web)"/>
    <w:basedOn w:val="Normal"/>
    <w:uiPriority w:val="99"/>
    <w:semiHidden/>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paragraph" w:styleId="List">
    <w:name w:val="List"/>
    <w:basedOn w:val="ListParagraph"/>
    <w:uiPriority w:val="4"/>
    <w:rsid w:val="00CB117B"/>
    <w:pPr>
      <w:keepNext/>
      <w:numPr>
        <w:numId w:val="20"/>
      </w:numPr>
      <w:tabs>
        <w:tab w:val="clear" w:pos="403"/>
      </w:tabs>
      <w:ind w:left="425" w:hanging="425"/>
    </w:pPr>
  </w:style>
  <w:style w:type="character" w:customStyle="1" w:styleId="DefinitionChar">
    <w:name w:val="Definition Char"/>
    <w:basedOn w:val="DefaultParagraphFont"/>
    <w:link w:val="Definition"/>
    <w:uiPriority w:val="9"/>
    <w:rsid w:val="00396685"/>
    <w:rPr>
      <w:sz w:val="22"/>
      <w:szCs w:val="22"/>
      <w:lang w:val="en-GB"/>
    </w:rPr>
  </w:style>
  <w:style w:type="character" w:customStyle="1" w:styleId="SourceChar">
    <w:name w:val="Source Char"/>
    <w:basedOn w:val="DefinitionChar"/>
    <w:link w:val="Source"/>
    <w:rsid w:val="00396685"/>
    <w:rPr>
      <w:sz w:val="22"/>
      <w:szCs w:val="22"/>
      <w:lang w:val="en-GB"/>
    </w:rPr>
  </w:style>
  <w:style w:type="paragraph" w:customStyle="1" w:styleId="Example">
    <w:name w:val="Example"/>
    <w:basedOn w:val="Normal"/>
    <w:link w:val="ExampleChar"/>
    <w:qFormat/>
    <w:rsid w:val="00396685"/>
    <w:rPr>
      <w:sz w:val="20"/>
      <w:szCs w:val="20"/>
    </w:rPr>
  </w:style>
  <w:style w:type="paragraph" w:customStyle="1" w:styleId="Note">
    <w:name w:val="Note"/>
    <w:basedOn w:val="Normal"/>
    <w:link w:val="NoteChar"/>
    <w:qFormat/>
    <w:rsid w:val="00E014A1"/>
    <w:pPr>
      <w:spacing w:after="240"/>
    </w:pPr>
    <w:rPr>
      <w:sz w:val="20"/>
      <w:szCs w:val="20"/>
    </w:rPr>
  </w:style>
  <w:style w:type="character" w:customStyle="1" w:styleId="ExampleChar">
    <w:name w:val="Example Char"/>
    <w:basedOn w:val="DefaultParagraphFont"/>
    <w:link w:val="Example"/>
    <w:rsid w:val="00396685"/>
    <w:rPr>
      <w:lang w:val="en-GB"/>
    </w:rPr>
  </w:style>
  <w:style w:type="paragraph" w:customStyle="1" w:styleId="FigureTitle">
    <w:name w:val="Figure Title"/>
    <w:basedOn w:val="ListParagraph"/>
    <w:link w:val="FigureTitleChar"/>
    <w:qFormat/>
    <w:rsid w:val="00151B6D"/>
    <w:pPr>
      <w:numPr>
        <w:numId w:val="17"/>
      </w:numPr>
      <w:jc w:val="center"/>
    </w:pPr>
    <w:rPr>
      <w:b/>
      <w:bCs/>
    </w:rPr>
  </w:style>
  <w:style w:type="character" w:customStyle="1" w:styleId="NoteChar">
    <w:name w:val="Note Char"/>
    <w:basedOn w:val="DefaultParagraphFont"/>
    <w:link w:val="Note"/>
    <w:rsid w:val="00E014A1"/>
    <w:rPr>
      <w:lang w:val="en-GB"/>
    </w:rPr>
  </w:style>
  <w:style w:type="paragraph" w:styleId="ListParagraph">
    <w:name w:val="List Paragraph"/>
    <w:basedOn w:val="Normal"/>
    <w:link w:val="ListParagraphChar"/>
    <w:uiPriority w:val="34"/>
    <w:semiHidden/>
    <w:qFormat/>
    <w:rsid w:val="00C878AB"/>
    <w:pPr>
      <w:ind w:left="720"/>
      <w:contextualSpacing/>
    </w:pPr>
  </w:style>
  <w:style w:type="paragraph" w:customStyle="1" w:styleId="AnnexFigureTitle">
    <w:name w:val="Annex Figure Title"/>
    <w:basedOn w:val="Normal"/>
    <w:link w:val="AnnexFigureTitleChar"/>
    <w:qFormat/>
    <w:rsid w:val="00151B6D"/>
    <w:pPr>
      <w:numPr>
        <w:numId w:val="13"/>
      </w:numPr>
      <w:jc w:val="center"/>
    </w:pPr>
    <w:rPr>
      <w:b/>
      <w:bCs/>
    </w:rPr>
  </w:style>
  <w:style w:type="paragraph" w:customStyle="1" w:styleId="AnnexTableTitle">
    <w:name w:val="Annex Table Title"/>
    <w:basedOn w:val="ListParagraph"/>
    <w:link w:val="AnnexTableTitleChar"/>
    <w:qFormat/>
    <w:rsid w:val="00C878AB"/>
    <w:pPr>
      <w:keepNext/>
      <w:pageBreakBefore/>
      <w:numPr>
        <w:numId w:val="15"/>
      </w:numPr>
      <w:jc w:val="center"/>
    </w:pPr>
    <w:rPr>
      <w:b/>
    </w:rPr>
  </w:style>
  <w:style w:type="character" w:customStyle="1" w:styleId="ListParagraphChar">
    <w:name w:val="List Paragraph Char"/>
    <w:basedOn w:val="DefaultParagraphFont"/>
    <w:link w:val="ListParagraph"/>
    <w:uiPriority w:val="34"/>
    <w:semiHidden/>
    <w:rsid w:val="00C878AB"/>
    <w:rPr>
      <w:sz w:val="22"/>
      <w:szCs w:val="22"/>
      <w:lang w:val="en-GB"/>
    </w:rPr>
  </w:style>
  <w:style w:type="character" w:customStyle="1" w:styleId="AnnexTableTitleChar">
    <w:name w:val="Annex Table Title Char"/>
    <w:basedOn w:val="ListParagraphChar"/>
    <w:link w:val="AnnexTableTitle"/>
    <w:rsid w:val="00C878AB"/>
    <w:rPr>
      <w:b/>
      <w:sz w:val="22"/>
      <w:szCs w:val="22"/>
      <w:lang w:val="en-GB"/>
    </w:rPr>
  </w:style>
  <w:style w:type="paragraph" w:customStyle="1" w:styleId="Tabletitle">
    <w:name w:val="Table title"/>
    <w:basedOn w:val="ListParagraph"/>
    <w:link w:val="TabletitleChar"/>
    <w:qFormat/>
    <w:rsid w:val="00426C8C"/>
    <w:pPr>
      <w:numPr>
        <w:numId w:val="16"/>
      </w:numPr>
      <w:jc w:val="center"/>
    </w:pPr>
    <w:rPr>
      <w:b/>
      <w:bCs/>
      <w:lang w:val="fr-CH"/>
    </w:rPr>
  </w:style>
  <w:style w:type="character" w:customStyle="1" w:styleId="FigureTitleChar">
    <w:name w:val="Figure Title Char"/>
    <w:basedOn w:val="ListParagraphChar"/>
    <w:link w:val="FigureTitle"/>
    <w:rsid w:val="00151B6D"/>
    <w:rPr>
      <w:b/>
      <w:bCs/>
      <w:sz w:val="22"/>
      <w:szCs w:val="22"/>
      <w:lang w:val="en-GB"/>
    </w:rPr>
  </w:style>
  <w:style w:type="character" w:customStyle="1" w:styleId="TabletitleChar">
    <w:name w:val="Table title Char"/>
    <w:basedOn w:val="ListParagraphChar"/>
    <w:link w:val="Tabletitle"/>
    <w:rsid w:val="00426C8C"/>
    <w:rPr>
      <w:b/>
      <w:bCs/>
      <w:sz w:val="22"/>
      <w:szCs w:val="22"/>
      <w:lang w:val="fr-CH"/>
    </w:rPr>
  </w:style>
  <w:style w:type="character" w:customStyle="1" w:styleId="AnnexFigureTitleChar">
    <w:name w:val="Annex Figure Title Char"/>
    <w:basedOn w:val="DefaultParagraphFont"/>
    <w:link w:val="AnnexFigureTitle"/>
    <w:rsid w:val="00151B6D"/>
    <w:rPr>
      <w:b/>
      <w:bCs/>
      <w:sz w:val="22"/>
      <w:szCs w:val="22"/>
      <w:lang w:val="en-GB"/>
    </w:rPr>
  </w:style>
  <w:style w:type="character" w:customStyle="1" w:styleId="BodyTextChar">
    <w:name w:val="Body Text Char"/>
    <w:basedOn w:val="DefaultParagraphFont"/>
    <w:link w:val="BodyText"/>
    <w:rsid w:val="007B5DAA"/>
    <w:rPr>
      <w:sz w:val="22"/>
      <w:szCs w:val="22"/>
      <w:lang w:val="en-GB"/>
    </w:rPr>
  </w:style>
  <w:style w:type="character" w:styleId="UnresolvedMention">
    <w:name w:val="Unresolved Mention"/>
    <w:basedOn w:val="DefaultParagraphFont"/>
    <w:uiPriority w:val="99"/>
    <w:semiHidden/>
    <w:unhideWhenUsed/>
    <w:rsid w:val="004D3DEB"/>
    <w:rPr>
      <w:color w:val="605E5C"/>
      <w:shd w:val="clear" w:color="auto" w:fill="E1DFDD"/>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hyperlink" Target="#appendix-a-reference" TargetMode="External"/><Relationship Id="rId15" Type="http://schemas.openxmlformats.org/officeDocument/2006/relationships/hyperlink" Target="https://iso639-3.sil.org/about" TargetMode="Externa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hyperlink" Target="/examples/form/form-examples.md" TargetMode="External"/><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hyperlink" Target="https://www.doclang.ai/ns/v0&quot;" TargetMode="External"/><Relationship Id="rId32" Type="http://schemas.openxmlformats.org/officeDocument/2006/relationships/hyperlink" Target="https://www.doclang.ai/ns/v0&quot;}" TargetMode="External"/><Relationship Id="rId33" Type="http://schemas.openxmlformats.org/officeDocument/2006/relationships/hyperlink" Target="#head-and-body-areas" TargetMode="External"/><Relationship Id="rId34" Type="http://schemas.openxmlformats.org/officeDocument/2006/relationships/hyperlink" Target="#component-head-ele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