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A5F3" w14:textId="77777777" w:rsidR="0062429D" w:rsidRDefault="00000000">
      <w:pPr>
        <w:spacing w:after="0" w:line="360" w:lineRule="auto"/>
      </w:pPr>
      <w:r>
        <w:rPr>
          <w:rFonts w:ascii="inter" w:eastAsia="inter" w:hAnsi="inter" w:cs="inter"/>
          <w:noProof/>
          <w:color w:val="000000"/>
        </w:rPr>
        <w:drawing>
          <wp:inline distT="0" distB="0" distL="0" distR="0" wp14:anchorId="05A32277" wp14:editId="5E6DEA6C">
            <wp:extent cx="2420112" cy="609600"/>
            <wp:effectExtent l="0" t="0" r="0" b="0"/>
            <wp:docPr id="1" name="image-f9de5ede18ede1f4d9cc6a69e0cedea95f867d7c.png"/>
            <wp:cNvGraphicFramePr/>
            <a:graphic xmlns:a="http://schemas.openxmlformats.org/drawingml/2006/main">
              <a:graphicData uri="http://schemas.openxmlformats.org/drawingml/2006/picture">
                <pic:pic xmlns:pic="http://schemas.openxmlformats.org/drawingml/2006/picture">
                  <pic:nvPicPr>
                    <pic:cNvPr id="1" name="image-f9de5ede18ede1f4d9cc6a69e0cedea95f867d7c.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54EC491F" w14:textId="77777777" w:rsidR="0062429D" w:rsidRDefault="00000000">
      <w:pPr>
        <w:spacing w:before="157" w:after="157" w:line="270" w:lineRule="auto"/>
      </w:pPr>
      <w:bookmarkStart w:id="0" w:name="i_am_building_a_behavioral_model_4c5ad5"/>
      <w:r>
        <w:rPr>
          <w:rFonts w:ascii="inter" w:eastAsia="inter" w:hAnsi="inter" w:cs="inter"/>
          <w:b/>
          <w:color w:val="000000"/>
          <w:sz w:val="39"/>
        </w:rPr>
        <w:t xml:space="preserve">I am building a behavioral model that distinguishes between two categories of constraints on goal-directed action: (A) INPUT CONSTRAINTS — where the constraint exists in the body or environment and persists regardless of the person's motivational or cognitive state (e.g., physical disability, resource absence, environmental barriers), and (B) PROCESSING CONSTRAINTS — where the constraint is a property of the brain's evaluative system itself and can be altered by changing what the brain computes (e.g., low self-efficacy, poor planning, weak commitment). The key test: if you hypothetically set motivation to maximum, input constraints still block action; processing constraints are removed by definition. Is there established neuroscience or behavioral science literature that supports this distinction? Specifically: (1) Does the neuroscience of basal ganglia gating (Frank 2005, 2025; Ging-Jehli et al. 2025) support a distinction between constraints on the INPUTS to the gating system vs. constraints in the COMPUTATION of the gating decision? (2) Does the COM-B model's Capability-Opportunity-Motivation framework map onto this </w:t>
      </w:r>
      <w:r>
        <w:rPr>
          <w:rFonts w:ascii="inter" w:eastAsia="inter" w:hAnsi="inter" w:cs="inter"/>
          <w:b/>
          <w:color w:val="000000"/>
          <w:sz w:val="39"/>
        </w:rPr>
        <w:lastRenderedPageBreak/>
        <w:t>input/processing distinction, and if so, how? (3) Are there established frameworks in philosophy of action (e.g., Frankfurt's hierarchy of desires, Bratman's planning theory) or cognitive neuroscience that formally separate "can't act because the world won't allow it" from "can't act because the evaluative system outputs 'don't'"? Cite primary sources.</w:t>
      </w:r>
      <w:bookmarkEnd w:id="0"/>
    </w:p>
    <w:p w14:paraId="07BE0F32" w14:textId="77777777" w:rsidR="0062429D" w:rsidRDefault="00000000">
      <w:pPr>
        <w:spacing w:after="210" w:line="360" w:lineRule="auto"/>
      </w:pPr>
      <w:r>
        <w:rPr>
          <w:rFonts w:ascii="inter" w:eastAsia="inter" w:hAnsi="inter" w:cs="inter"/>
          <w:color w:val="000000"/>
        </w:rPr>
        <w:t>There is substantial convergent support for the distinction you are drawing, but it is spread across several literatures rather than living under a single name. In very compact form:</w:t>
      </w:r>
    </w:p>
    <w:p w14:paraId="215997FB" w14:textId="77777777" w:rsidR="0062429D" w:rsidRDefault="00000000">
      <w:pPr>
        <w:numPr>
          <w:ilvl w:val="0"/>
          <w:numId w:val="1"/>
        </w:numPr>
        <w:spacing w:before="105" w:after="105" w:line="360" w:lineRule="auto"/>
      </w:pPr>
      <w:r>
        <w:rPr>
          <w:rFonts w:ascii="inter" w:eastAsia="inter" w:hAnsi="inter" w:cs="inter"/>
          <w:color w:val="000000"/>
        </w:rPr>
        <w:t xml:space="preserve">Cortico–basal ganglia models and diffusion decision models clearly separate constraints on </w:t>
      </w:r>
      <w:r>
        <w:rPr>
          <w:rFonts w:ascii="inter" w:eastAsia="inter" w:hAnsi="inter" w:cs="inter"/>
          <w:b/>
          <w:color w:val="000000"/>
        </w:rPr>
        <w:t>inputs/evidence</w:t>
      </w:r>
      <w:r>
        <w:rPr>
          <w:rFonts w:ascii="inter" w:eastAsia="inter" w:hAnsi="inter" w:cs="inter"/>
          <w:color w:val="000000"/>
        </w:rPr>
        <w:t xml:space="preserve"> from constraints in the </w:t>
      </w:r>
      <w:r>
        <w:rPr>
          <w:rFonts w:ascii="inter" w:eastAsia="inter" w:hAnsi="inter" w:cs="inter"/>
          <w:b/>
          <w:color w:val="000000"/>
        </w:rPr>
        <w:t>gating computation</w:t>
      </w:r>
      <w:r>
        <w:rPr>
          <w:rFonts w:ascii="inter" w:eastAsia="inter" w:hAnsi="inter" w:cs="inter"/>
          <w:color w:val="000000"/>
        </w:rPr>
        <w:t xml:space="preserve"> (e.g., decision threshold, urgency), and assign different neural mechanisms to each.</w:t>
      </w:r>
      <w:bookmarkStart w:id="1" w:name="fnref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 w:name="fnref2"/>
      <w:bookmarkEnd w:id="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 w:name="fnref3"/>
      <w:bookmarkEnd w:id="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 w:name="fnref4"/>
      <w:bookmarkEnd w:id="4"/>
      <w:r>
        <w:fldChar w:fldCharType="begin"/>
      </w:r>
      <w:r>
        <w:instrText>HYPERLINK \l "fn4" \h</w:instrText>
      </w:r>
      <w:r>
        <w:fldChar w:fldCharType="separate"/>
      </w:r>
      <w:r>
        <w:rPr>
          <w:rFonts w:ascii="inter" w:eastAsia="inter" w:hAnsi="inter" w:cs="inter"/>
          <w:u w:val="single"/>
          <w:vertAlign w:val="superscript"/>
        </w:rPr>
        <w:t>[4]</w:t>
      </w:r>
      <w:r>
        <w:fldChar w:fldCharType="end"/>
      </w:r>
    </w:p>
    <w:p w14:paraId="05282F1C" w14:textId="77777777" w:rsidR="0062429D" w:rsidRDefault="00000000">
      <w:pPr>
        <w:numPr>
          <w:ilvl w:val="0"/>
          <w:numId w:val="1"/>
        </w:numPr>
        <w:spacing w:before="105" w:after="105" w:line="360" w:lineRule="auto"/>
      </w:pPr>
      <w:r>
        <w:rPr>
          <w:rFonts w:ascii="inter" w:eastAsia="inter" w:hAnsi="inter" w:cs="inter"/>
          <w:color w:val="000000"/>
        </w:rPr>
        <w:t xml:space="preserve">The COM-B / Behaviour Change Wheel literature explicitly treats </w:t>
      </w:r>
      <w:r>
        <w:rPr>
          <w:rFonts w:ascii="inter" w:eastAsia="inter" w:hAnsi="inter" w:cs="inter"/>
          <w:b/>
          <w:color w:val="000000"/>
        </w:rPr>
        <w:t>capability</w:t>
      </w:r>
      <w:r>
        <w:rPr>
          <w:rFonts w:ascii="inter" w:eastAsia="inter" w:hAnsi="inter" w:cs="inter"/>
          <w:color w:val="000000"/>
        </w:rPr>
        <w:t xml:space="preserve"> and </w:t>
      </w:r>
      <w:r>
        <w:rPr>
          <w:rFonts w:ascii="inter" w:eastAsia="inter" w:hAnsi="inter" w:cs="inter"/>
          <w:b/>
          <w:color w:val="000000"/>
        </w:rPr>
        <w:t>opportunity</w:t>
      </w:r>
      <w:r>
        <w:rPr>
          <w:rFonts w:ascii="inter" w:eastAsia="inter" w:hAnsi="inter" w:cs="inter"/>
          <w:color w:val="000000"/>
        </w:rPr>
        <w:t xml:space="preserve"> as “logic gates” on behaviour that are distinct from </w:t>
      </w:r>
      <w:r>
        <w:rPr>
          <w:rFonts w:ascii="inter" w:eastAsia="inter" w:hAnsi="inter" w:cs="inter"/>
          <w:b/>
          <w:color w:val="000000"/>
        </w:rPr>
        <w:t>motivation</w:t>
      </w:r>
      <w:r>
        <w:rPr>
          <w:rFonts w:ascii="inter" w:eastAsia="inter" w:hAnsi="inter" w:cs="inter"/>
          <w:color w:val="000000"/>
        </w:rPr>
        <w:t>, which it defines as the brain’s evaluative/motivational processes.</w:t>
      </w:r>
      <w:bookmarkStart w:id="5" w:name="fnref5"/>
      <w:bookmarkEnd w:id="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 w:name="fnref6"/>
      <w:bookmarkEnd w:id="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7" w:name="fnref7"/>
      <w:bookmarkEnd w:id="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71A3FE1D" w14:textId="77777777" w:rsidR="0062429D" w:rsidRDefault="00000000">
      <w:pPr>
        <w:numPr>
          <w:ilvl w:val="0"/>
          <w:numId w:val="1"/>
        </w:numPr>
        <w:spacing w:before="105" w:after="105" w:line="360" w:lineRule="auto"/>
      </w:pPr>
      <w:r>
        <w:rPr>
          <w:rFonts w:ascii="inter" w:eastAsia="inter" w:hAnsi="inter" w:cs="inter"/>
          <w:color w:val="000000"/>
        </w:rPr>
        <w:t xml:space="preserve">Philosophy of action, rational choice theory, and some comparative cognition work all distinguish between </w:t>
      </w:r>
      <w:r>
        <w:rPr>
          <w:rFonts w:ascii="inter" w:eastAsia="inter" w:hAnsi="inter" w:cs="inter"/>
          <w:b/>
          <w:color w:val="000000"/>
        </w:rPr>
        <w:t>constraints on what is feasible</w:t>
      </w:r>
      <w:r>
        <w:rPr>
          <w:rFonts w:ascii="inter" w:eastAsia="inter" w:hAnsi="inter" w:cs="inter"/>
          <w:color w:val="000000"/>
        </w:rPr>
        <w:t xml:space="preserve"> (“can’t”) and </w:t>
      </w:r>
      <w:r>
        <w:rPr>
          <w:rFonts w:ascii="inter" w:eastAsia="inter" w:hAnsi="inter" w:cs="inter"/>
          <w:b/>
          <w:color w:val="000000"/>
        </w:rPr>
        <w:t>constraints in the will or evaluative system</w:t>
      </w:r>
      <w:r>
        <w:rPr>
          <w:rFonts w:ascii="inter" w:eastAsia="inter" w:hAnsi="inter" w:cs="inter"/>
          <w:color w:val="000000"/>
        </w:rPr>
        <w:t xml:space="preserve"> (“won’t”).</w:t>
      </w:r>
      <w:bookmarkStart w:id="8" w:name="fnref8"/>
      <w:bookmarkEnd w:id="8"/>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9" w:name="fnref9"/>
      <w:bookmarkEnd w:id="9"/>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0" w:name="fnref10"/>
      <w:bookmarkEnd w:id="10"/>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1" w:name="fnref11"/>
      <w:bookmarkEnd w:id="1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3B58A089" w14:textId="77777777" w:rsidR="0062429D" w:rsidRDefault="00000000">
      <w:pPr>
        <w:spacing w:after="210" w:line="360" w:lineRule="auto"/>
      </w:pPr>
      <w:r>
        <w:rPr>
          <w:rFonts w:ascii="inter" w:eastAsia="inter" w:hAnsi="inter" w:cs="inter"/>
          <w:color w:val="000000"/>
        </w:rPr>
        <w:t>So your input vs processing constraint distinction is well-aligned with how these fields already carve things up, even if the terminology differs.</w:t>
      </w:r>
    </w:p>
    <w:p w14:paraId="5213874D" w14:textId="77777777" w:rsidR="0062429D" w:rsidRDefault="00000000">
      <w:pPr>
        <w:spacing w:before="210" w:after="0" w:line="360" w:lineRule="auto"/>
      </w:pPr>
      <w:r>
        <w:rPr>
          <w:noProof/>
        </w:rPr>
      </w:r>
      <w:r>
        <w:rPr>
          <w:noProof/>
        </w:rPr>
        <w:pict w14:anchorId="26DAC8B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3A8584" w14:textId="77777777" w:rsidR="0062429D" w:rsidRDefault="00000000">
      <w:pPr>
        <w:spacing w:before="315" w:after="105" w:line="360" w:lineRule="auto"/>
        <w:ind w:left="-30"/>
      </w:pPr>
      <w:bookmarkStart w:id="12" w:name="bm_1_basal_ganglia_gating_inputs_359134"/>
      <w:r>
        <w:rPr>
          <w:rFonts w:ascii="inter" w:eastAsia="inter" w:hAnsi="inter" w:cs="inter"/>
          <w:b/>
          <w:color w:val="000000"/>
          <w:sz w:val="24"/>
        </w:rPr>
        <w:t>(1) Basal ganglia gating: inputs vs computation</w:t>
      </w:r>
      <w:bookmarkEnd w:id="12"/>
    </w:p>
    <w:p w14:paraId="2A20EC0D" w14:textId="77777777" w:rsidR="0062429D" w:rsidRDefault="00000000">
      <w:pPr>
        <w:spacing w:before="315" w:after="105" w:line="360" w:lineRule="auto"/>
        <w:ind w:left="-30"/>
      </w:pPr>
      <w:bookmarkStart w:id="13" w:name="frank_style_cortico_basal_ganglia_models"/>
      <w:r>
        <w:rPr>
          <w:rFonts w:ascii="inter" w:eastAsia="inter" w:hAnsi="inter" w:cs="inter"/>
          <w:b/>
          <w:color w:val="000000"/>
          <w:sz w:val="24"/>
        </w:rPr>
        <w:t>Frank-style cortico–basal ganglia models</w:t>
      </w:r>
      <w:bookmarkEnd w:id="13"/>
    </w:p>
    <w:p w14:paraId="4C0C730F" w14:textId="77777777" w:rsidR="0062429D" w:rsidRDefault="00000000">
      <w:pPr>
        <w:spacing w:after="210" w:line="360" w:lineRule="auto"/>
      </w:pPr>
      <w:r>
        <w:rPr>
          <w:rFonts w:ascii="inter" w:eastAsia="inter" w:hAnsi="inter" w:cs="inter"/>
          <w:color w:val="000000"/>
        </w:rPr>
        <w:t>Frank’s 2005 model and related work explicitly separates:</w:t>
      </w:r>
    </w:p>
    <w:p w14:paraId="14A6D31B" w14:textId="77777777" w:rsidR="0062429D" w:rsidRDefault="00000000">
      <w:pPr>
        <w:numPr>
          <w:ilvl w:val="0"/>
          <w:numId w:val="2"/>
        </w:numPr>
        <w:spacing w:before="105" w:after="105" w:line="360" w:lineRule="auto"/>
      </w:pPr>
      <w:r>
        <w:rPr>
          <w:rFonts w:ascii="inter" w:eastAsia="inter" w:hAnsi="inter" w:cs="inter"/>
          <w:b/>
          <w:color w:val="000000"/>
        </w:rPr>
        <w:t>Inputs into the basal ganglia gate</w:t>
      </w:r>
    </w:p>
    <w:p w14:paraId="5EFD5F50" w14:textId="77777777" w:rsidR="0062429D" w:rsidRDefault="00000000">
      <w:pPr>
        <w:numPr>
          <w:ilvl w:val="1"/>
          <w:numId w:val="2"/>
        </w:numPr>
        <w:spacing w:before="105" w:after="105" w:line="360" w:lineRule="auto"/>
      </w:pPr>
      <w:r>
        <w:rPr>
          <w:rFonts w:ascii="inter" w:eastAsia="inter" w:hAnsi="inter" w:cs="inter"/>
          <w:color w:val="000000"/>
        </w:rPr>
        <w:t>Cortical representations of states, actions, and their learned values.</w:t>
      </w:r>
    </w:p>
    <w:p w14:paraId="393E7C38" w14:textId="77777777" w:rsidR="0062429D" w:rsidRDefault="00000000">
      <w:pPr>
        <w:numPr>
          <w:ilvl w:val="1"/>
          <w:numId w:val="2"/>
        </w:numPr>
        <w:spacing w:before="105" w:after="105" w:line="360" w:lineRule="auto"/>
      </w:pPr>
      <w:r>
        <w:rPr>
          <w:rFonts w:ascii="inter" w:eastAsia="inter" w:hAnsi="inter" w:cs="inter"/>
          <w:color w:val="000000"/>
        </w:rPr>
        <w:t>Dopamine-coded reward prediction errors that train striatal Go/NoGo weights via reinforcement learning.</w:t>
      </w:r>
      <w:bookmarkStart w:id="14" w:name="fnref12"/>
      <w:bookmarkEnd w:id="14"/>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5" w:name="fnref2_1"/>
      <w:bookmarkEnd w:id="1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6" w:name="fnref13"/>
      <w:bookmarkEnd w:id="16"/>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2D30495C" w14:textId="77777777" w:rsidR="0062429D" w:rsidRDefault="00000000">
      <w:pPr>
        <w:numPr>
          <w:ilvl w:val="0"/>
          <w:numId w:val="2"/>
        </w:numPr>
        <w:spacing w:before="105" w:after="105" w:line="360" w:lineRule="auto"/>
      </w:pPr>
      <w:r>
        <w:rPr>
          <w:rFonts w:ascii="inter" w:eastAsia="inter" w:hAnsi="inter" w:cs="inter"/>
          <w:b/>
          <w:color w:val="000000"/>
        </w:rPr>
        <w:t>Gating computation itself</w:t>
      </w:r>
    </w:p>
    <w:p w14:paraId="307B202B" w14:textId="77777777" w:rsidR="0062429D" w:rsidRDefault="00000000">
      <w:pPr>
        <w:numPr>
          <w:ilvl w:val="1"/>
          <w:numId w:val="2"/>
        </w:numPr>
        <w:spacing w:before="105" w:after="105" w:line="360" w:lineRule="auto"/>
      </w:pPr>
      <w:r>
        <w:rPr>
          <w:rFonts w:ascii="inter" w:eastAsia="inter" w:hAnsi="inter" w:cs="inter"/>
          <w:color w:val="000000"/>
        </w:rPr>
        <w:t>Competitive dynamics between striatal “Go” (direct pathway) and “NoGo” (indirect pathway) populations, whose net effect on GPi disinhibits or inhibits thalamo–cortical loops (i.e., opens or keeps closed the gate to an action).</w:t>
      </w:r>
      <w:bookmarkStart w:id="17" w:name="fnref14"/>
      <w:bookmarkEnd w:id="17"/>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8" w:name="fnref2_2"/>
      <w:bookmarkEnd w:id="18"/>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9" w:name="fnref13_1"/>
      <w:bookmarkEnd w:id="19"/>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7E8DF1FA" w14:textId="77777777" w:rsidR="0062429D" w:rsidRDefault="00000000">
      <w:pPr>
        <w:numPr>
          <w:ilvl w:val="1"/>
          <w:numId w:val="2"/>
        </w:numPr>
        <w:spacing w:before="105" w:after="105" w:line="360" w:lineRule="auto"/>
      </w:pPr>
      <w:r>
        <w:rPr>
          <w:rFonts w:ascii="inter" w:eastAsia="inter" w:hAnsi="inter" w:cs="inter"/>
          <w:color w:val="000000"/>
        </w:rPr>
        <w:t>Additional control from STN, which can dynamically raise the effective decision threshold under conflict.</w:t>
      </w:r>
      <w:bookmarkStart w:id="20" w:name="fnref4_1"/>
      <w:bookmarkEnd w:id="20"/>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1" w:name="fnref15"/>
      <w:bookmarkEnd w:id="21"/>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2688F44A" w14:textId="77777777" w:rsidR="0062429D" w:rsidRDefault="00000000">
      <w:pPr>
        <w:spacing w:after="210" w:line="360" w:lineRule="auto"/>
      </w:pPr>
      <w:r>
        <w:rPr>
          <w:rFonts w:ascii="inter" w:eastAsia="inter" w:hAnsi="inter" w:cs="inter"/>
          <w:color w:val="000000"/>
        </w:rPr>
        <w:t>Conceptually, these are two separable levels:</w:t>
      </w:r>
    </w:p>
    <w:p w14:paraId="6F108715" w14:textId="77777777" w:rsidR="0062429D" w:rsidRDefault="00000000">
      <w:pPr>
        <w:numPr>
          <w:ilvl w:val="0"/>
          <w:numId w:val="3"/>
        </w:numPr>
        <w:spacing w:before="105" w:after="105" w:line="360" w:lineRule="auto"/>
      </w:pPr>
      <w:r>
        <w:rPr>
          <w:rFonts w:ascii="inter" w:eastAsia="inter" w:hAnsi="inter" w:cs="inter"/>
          <w:color w:val="000000"/>
        </w:rPr>
        <w:t xml:space="preserve">If cortical representations lack an action, the sensory evidence is too weak, or values are mislearned, then </w:t>
      </w:r>
      <w:r>
        <w:rPr>
          <w:rFonts w:ascii="inter" w:eastAsia="inter" w:hAnsi="inter" w:cs="inter"/>
          <w:b/>
          <w:color w:val="000000"/>
        </w:rPr>
        <w:t>the inputs to the gating system are constrained</w:t>
      </w:r>
      <w:r>
        <w:rPr>
          <w:rFonts w:ascii="inter" w:eastAsia="inter" w:hAnsi="inter" w:cs="inter"/>
          <w:color w:val="000000"/>
        </w:rPr>
        <w:t xml:space="preserve"> (no candidate to gate, or poor evidence for it), even if the gate itself is functioning normally.</w:t>
      </w:r>
    </w:p>
    <w:p w14:paraId="681B266A" w14:textId="77777777" w:rsidR="0062429D" w:rsidRDefault="00000000">
      <w:pPr>
        <w:numPr>
          <w:ilvl w:val="0"/>
          <w:numId w:val="3"/>
        </w:numPr>
        <w:spacing w:before="105" w:after="105" w:line="360" w:lineRule="auto"/>
      </w:pPr>
      <w:r>
        <w:rPr>
          <w:rFonts w:ascii="inter" w:eastAsia="inter" w:hAnsi="inter" w:cs="inter"/>
          <w:color w:val="000000"/>
        </w:rPr>
        <w:t>Conversely, with intact inputs, changes in tonic or phasic dopamine, STN activity, or GPi output can alter how readily the system commits to an action—</w:t>
      </w:r>
      <w:r>
        <w:rPr>
          <w:rFonts w:ascii="inter" w:eastAsia="inter" w:hAnsi="inter" w:cs="inter"/>
          <w:b/>
          <w:color w:val="000000"/>
        </w:rPr>
        <w:t>a constraint in the computation of the gate</w:t>
      </w:r>
      <w:r>
        <w:rPr>
          <w:rFonts w:ascii="inter" w:eastAsia="inter" w:hAnsi="inter" w:cs="inter"/>
          <w:color w:val="000000"/>
        </w:rPr>
        <w:t>.</w:t>
      </w:r>
      <w:bookmarkStart w:id="22" w:name="fnref2_3"/>
      <w:bookmarkEnd w:id="2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3" w:name="fnref13_2"/>
      <w:bookmarkEnd w:id="23"/>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24" w:name="fnref15_1"/>
      <w:bookmarkEnd w:id="24"/>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25" w:name="fnref4_2"/>
      <w:bookmarkEnd w:id="2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49D9F06" w14:textId="77777777" w:rsidR="0062429D" w:rsidRDefault="00000000">
      <w:pPr>
        <w:spacing w:after="210" w:line="360" w:lineRule="auto"/>
      </w:pPr>
      <w:r>
        <w:rPr>
          <w:rFonts w:ascii="inter" w:eastAsia="inter" w:hAnsi="inter" w:cs="inter"/>
          <w:color w:val="000000"/>
        </w:rPr>
        <w:t>That is very close to your input vs processing distinction: the BG gate is a modulatory decision device that operates on whatever representations it receives.</w:t>
      </w:r>
    </w:p>
    <w:p w14:paraId="5DEAA64F" w14:textId="77777777" w:rsidR="0062429D" w:rsidRDefault="00000000">
      <w:pPr>
        <w:spacing w:before="315" w:after="105" w:line="360" w:lineRule="auto"/>
        <w:ind w:left="-30"/>
      </w:pPr>
      <w:bookmarkStart w:id="26" w:name="drift_vs_threshold_in_diffusion_m_394900"/>
      <w:r>
        <w:rPr>
          <w:rFonts w:ascii="inter" w:eastAsia="inter" w:hAnsi="inter" w:cs="inter"/>
          <w:b/>
          <w:color w:val="000000"/>
          <w:sz w:val="24"/>
        </w:rPr>
        <w:t>Drift vs threshold in diffusion models mapped to BG circuitry</w:t>
      </w:r>
      <w:bookmarkEnd w:id="26"/>
    </w:p>
    <w:p w14:paraId="0DFB0BBB" w14:textId="77777777" w:rsidR="0062429D" w:rsidRDefault="00000000">
      <w:pPr>
        <w:spacing w:after="210" w:line="360" w:lineRule="auto"/>
      </w:pPr>
      <w:r>
        <w:rPr>
          <w:rFonts w:ascii="inter" w:eastAsia="inter" w:hAnsi="inter" w:cs="inter"/>
          <w:color w:val="000000"/>
        </w:rPr>
        <w:t>Newer work explicitly decomposes decision behaviour into:</w:t>
      </w:r>
    </w:p>
    <w:p w14:paraId="72FDAF0A" w14:textId="77777777" w:rsidR="0062429D" w:rsidRDefault="00000000">
      <w:pPr>
        <w:numPr>
          <w:ilvl w:val="0"/>
          <w:numId w:val="4"/>
        </w:numPr>
        <w:spacing w:before="105" w:after="105" w:line="360" w:lineRule="auto"/>
      </w:pPr>
      <w:r>
        <w:rPr>
          <w:rFonts w:ascii="inter" w:eastAsia="inter" w:hAnsi="inter" w:cs="inter"/>
          <w:b/>
          <w:color w:val="000000"/>
        </w:rPr>
        <w:t>Drift rate:</w:t>
      </w:r>
      <w:r>
        <w:rPr>
          <w:rFonts w:ascii="inter" w:eastAsia="inter" w:hAnsi="inter" w:cs="inter"/>
          <w:color w:val="000000"/>
        </w:rPr>
        <w:t xml:space="preserve"> quality/strength of incoming evidence (often tied to sensory and value inputs).</w:t>
      </w:r>
    </w:p>
    <w:p w14:paraId="093115FC" w14:textId="77777777" w:rsidR="0062429D" w:rsidRDefault="00000000">
      <w:pPr>
        <w:numPr>
          <w:ilvl w:val="0"/>
          <w:numId w:val="4"/>
        </w:numPr>
        <w:spacing w:before="105" w:after="105" w:line="360" w:lineRule="auto"/>
      </w:pPr>
      <w:r>
        <w:rPr>
          <w:rFonts w:ascii="inter" w:eastAsia="inter" w:hAnsi="inter" w:cs="inter"/>
          <w:b/>
          <w:color w:val="000000"/>
        </w:rPr>
        <w:t>Decision threshold (boundary):</w:t>
      </w:r>
      <w:r>
        <w:rPr>
          <w:rFonts w:ascii="inter" w:eastAsia="inter" w:hAnsi="inter" w:cs="inter"/>
          <w:color w:val="000000"/>
        </w:rPr>
        <w:t xml:space="preserve"> the amount of evidence the system requires before committing to a choice (a policy of caution vs urgency).</w:t>
      </w:r>
      <w:bookmarkStart w:id="27" w:name="fnref16"/>
      <w:bookmarkEnd w:id="27"/>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3B25280F" w14:textId="77777777" w:rsidR="0062429D" w:rsidRDefault="00000000">
      <w:pPr>
        <w:spacing w:after="210" w:line="360" w:lineRule="auto"/>
      </w:pPr>
      <w:r>
        <w:rPr>
          <w:rFonts w:ascii="inter" w:eastAsia="inter" w:hAnsi="inter" w:cs="inter"/>
          <w:color w:val="000000"/>
        </w:rPr>
        <w:t>The key BG results:</w:t>
      </w:r>
    </w:p>
    <w:p w14:paraId="1B7E942E" w14:textId="77777777" w:rsidR="0062429D" w:rsidRDefault="00000000">
      <w:pPr>
        <w:numPr>
          <w:ilvl w:val="0"/>
          <w:numId w:val="5"/>
        </w:numPr>
        <w:spacing w:before="105" w:after="105" w:line="360" w:lineRule="auto"/>
      </w:pPr>
      <w:r>
        <w:rPr>
          <w:rFonts w:ascii="inter" w:eastAsia="inter" w:hAnsi="inter" w:cs="inter"/>
          <w:color w:val="000000"/>
        </w:rPr>
        <w:t xml:space="preserve">Dunovan et al. (2015) model reactive stopping vs intrinsic “no-go” decisions using a nested diffusion model grounded in BG anatomy. Hyperdirect STN activity supports fast cancellation of a pending action; “no-go” decisions are better captured as a </w:t>
      </w:r>
      <w:r>
        <w:rPr>
          <w:rFonts w:ascii="inter" w:eastAsia="inter" w:hAnsi="inter" w:cs="inter"/>
          <w:b/>
          <w:color w:val="000000"/>
        </w:rPr>
        <w:t>failure of evidence accumulation to reach threshold</w:t>
      </w:r>
      <w:r>
        <w:rPr>
          <w:rFonts w:ascii="inter" w:eastAsia="inter" w:hAnsi="inter" w:cs="inter"/>
          <w:color w:val="000000"/>
        </w:rPr>
        <w:t xml:space="preserve"> due to constraints on drift rate.</w:t>
      </w:r>
      <w:bookmarkStart w:id="28" w:name="fnref17"/>
      <w:bookmarkEnd w:id="28"/>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29" w:name="fnref18"/>
      <w:bookmarkEnd w:id="29"/>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62075C2F" w14:textId="77777777" w:rsidR="0062429D" w:rsidRDefault="00000000">
      <w:pPr>
        <w:numPr>
          <w:ilvl w:val="0"/>
          <w:numId w:val="5"/>
        </w:numPr>
        <w:spacing w:before="105" w:after="105" w:line="360" w:lineRule="auto"/>
      </w:pPr>
      <w:r>
        <w:rPr>
          <w:rFonts w:ascii="inter" w:eastAsia="inter" w:hAnsi="inter" w:cs="inter"/>
          <w:color w:val="000000"/>
        </w:rPr>
        <w:t xml:space="preserve">Ging-Jehli et al. (2025) and related work record from STN, GPe, GPi in humans and fit diffusion models with </w:t>
      </w:r>
      <w:r>
        <w:rPr>
          <w:rFonts w:ascii="inter" w:eastAsia="inter" w:hAnsi="inter" w:cs="inter"/>
          <w:i/>
          <w:color w:val="000000"/>
        </w:rPr>
        <w:t>collapsing</w:t>
      </w:r>
      <w:r>
        <w:rPr>
          <w:rFonts w:ascii="inter" w:eastAsia="inter" w:hAnsi="inter" w:cs="inter"/>
          <w:color w:val="000000"/>
        </w:rPr>
        <w:t xml:space="preserve"> decision boundaries. They show:</w:t>
      </w:r>
      <w:bookmarkStart w:id="30" w:name="fnref19"/>
      <w:bookmarkEnd w:id="30"/>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31" w:name="fnref3_1"/>
      <w:bookmarkEnd w:id="31"/>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32" w:name="fnref20"/>
      <w:bookmarkEnd w:id="32"/>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33" w:name="fnref1_1"/>
      <w:bookmarkEnd w:id="3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F686F1C" w14:textId="77777777" w:rsidR="0062429D" w:rsidRDefault="00000000">
      <w:pPr>
        <w:numPr>
          <w:ilvl w:val="1"/>
          <w:numId w:val="5"/>
        </w:numPr>
        <w:spacing w:before="105" w:after="105" w:line="360" w:lineRule="auto"/>
      </w:pPr>
      <w:r>
        <w:rPr>
          <w:rFonts w:ascii="inter" w:eastAsia="inter" w:hAnsi="inter" w:cs="inter"/>
          <w:color w:val="000000"/>
        </w:rPr>
        <w:t>Stimulus discriminability modulates drift rate (input quality).</w:t>
      </w:r>
    </w:p>
    <w:p w14:paraId="747B5E8F" w14:textId="77777777" w:rsidR="0062429D" w:rsidRDefault="00000000">
      <w:pPr>
        <w:numPr>
          <w:ilvl w:val="1"/>
          <w:numId w:val="5"/>
        </w:numPr>
        <w:spacing w:before="105" w:after="105" w:line="360" w:lineRule="auto"/>
      </w:pPr>
      <w:r>
        <w:rPr>
          <w:rFonts w:ascii="inter" w:eastAsia="inter" w:hAnsi="inter" w:cs="inter"/>
          <w:color w:val="000000"/>
        </w:rPr>
        <w:t xml:space="preserve">Theta-band dynamics in STN and GPe modulate </w:t>
      </w:r>
      <w:r>
        <w:rPr>
          <w:rFonts w:ascii="inter" w:eastAsia="inter" w:hAnsi="inter" w:cs="inter"/>
          <w:b/>
          <w:color w:val="000000"/>
        </w:rPr>
        <w:t>the onset and shape of the collapsing decision boundary</w:t>
      </w:r>
      <w:r>
        <w:rPr>
          <w:rFonts w:ascii="inter" w:eastAsia="inter" w:hAnsi="inter" w:cs="inter"/>
          <w:color w:val="000000"/>
        </w:rPr>
        <w:t>, i.e., how high the required evidence starts and how fast it relaxes.</w:t>
      </w:r>
      <w:bookmarkStart w:id="34" w:name="fnref3_2"/>
      <w:bookmarkEnd w:id="34"/>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35" w:name="fnref21"/>
      <w:bookmarkEnd w:id="35"/>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3BE7888A" w14:textId="77777777" w:rsidR="0062429D" w:rsidRDefault="00000000">
      <w:pPr>
        <w:numPr>
          <w:ilvl w:val="1"/>
          <w:numId w:val="5"/>
        </w:numPr>
        <w:spacing w:before="105" w:after="105" w:line="360" w:lineRule="auto"/>
      </w:pPr>
      <w:r>
        <w:rPr>
          <w:rFonts w:ascii="inter" w:eastAsia="inter" w:hAnsi="inter" w:cs="inter"/>
          <w:color w:val="000000"/>
        </w:rPr>
        <w:t>STN theta prolongs high boundaries under conflict (more cautious, slower but more accurate); GPe theta reductions under low conflict expedite boundary collapse (less cautious, faster choices); GPi theta uniformly delays boundary collapse as final output gate.</w:t>
      </w:r>
      <w:bookmarkStart w:id="36" w:name="fnref20_1"/>
      <w:bookmarkEnd w:id="36"/>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37" w:name="fnref1_2"/>
      <w:bookmarkEnd w:id="37"/>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8" w:name="fnref3_3"/>
      <w:bookmarkEnd w:id="38"/>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C6DE1E3" w14:textId="77777777" w:rsidR="0062429D" w:rsidRDefault="00000000">
      <w:pPr>
        <w:spacing w:after="210" w:line="360" w:lineRule="auto"/>
      </w:pPr>
      <w:r>
        <w:rPr>
          <w:rFonts w:ascii="inter" w:eastAsia="inter" w:hAnsi="inter" w:cs="inter"/>
          <w:color w:val="000000"/>
        </w:rPr>
        <w:t>Here the mapping is almost literal:</w:t>
      </w:r>
    </w:p>
    <w:p w14:paraId="5E7F8D71" w14:textId="77777777" w:rsidR="0062429D" w:rsidRDefault="00000000">
      <w:pPr>
        <w:numPr>
          <w:ilvl w:val="0"/>
          <w:numId w:val="6"/>
        </w:numPr>
        <w:spacing w:before="105" w:after="105" w:line="360" w:lineRule="auto"/>
      </w:pPr>
      <w:r>
        <w:rPr>
          <w:rFonts w:ascii="inter" w:eastAsia="inter" w:hAnsi="inter" w:cs="inter"/>
          <w:b/>
          <w:color w:val="000000"/>
        </w:rPr>
        <w:t>Input constraints (in your sense):</w:t>
      </w:r>
      <w:r>
        <w:rPr>
          <w:rFonts w:ascii="inter" w:eastAsia="inter" w:hAnsi="inter" w:cs="inter"/>
          <w:color w:val="000000"/>
        </w:rPr>
        <w:t xml:space="preserve"> low discriminability, weak or noisy cortical evidence, or mislearned value signals reduce the drift rate. Even with a normal decision threshold, the system may rarely trigger a Go because evidence never accumulates enough.</w:t>
      </w:r>
      <w:bookmarkStart w:id="39" w:name="fnref18_1"/>
      <w:bookmarkEnd w:id="39"/>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40" w:name="fnref17_1"/>
      <w:bookmarkEnd w:id="40"/>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41" w:name="fnref16_1"/>
      <w:bookmarkEnd w:id="41"/>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5E6208EE" w14:textId="77777777" w:rsidR="0062429D" w:rsidRDefault="00000000">
      <w:pPr>
        <w:numPr>
          <w:ilvl w:val="0"/>
          <w:numId w:val="6"/>
        </w:numPr>
        <w:spacing w:before="105" w:after="105" w:line="360" w:lineRule="auto"/>
      </w:pPr>
      <w:r>
        <w:rPr>
          <w:rFonts w:ascii="inter" w:eastAsia="inter" w:hAnsi="inter" w:cs="inter"/>
          <w:b/>
          <w:color w:val="000000"/>
        </w:rPr>
        <w:t>Processing constraints:</w:t>
      </w:r>
      <w:r>
        <w:rPr>
          <w:rFonts w:ascii="inter" w:eastAsia="inter" w:hAnsi="inter" w:cs="inter"/>
          <w:color w:val="000000"/>
        </w:rPr>
        <w:t xml:space="preserve"> increasing STN-driven threshold, prolonging the collapsing boundary, or pathology in GPi output increases the evidence required for gating. Behaviour is suppressed or slowed, even when inputs (drift) are unchanged and “motivation” in the value signals is high.</w:t>
      </w:r>
      <w:bookmarkStart w:id="42" w:name="fnref22"/>
      <w:bookmarkEnd w:id="42"/>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43" w:name="fnref23"/>
      <w:bookmarkEnd w:id="43"/>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44" w:name="fnref3_4"/>
      <w:bookmarkEnd w:id="44"/>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5" w:name="fnref4_3"/>
      <w:bookmarkEnd w:id="4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1FD8D57" w14:textId="77777777" w:rsidR="0062429D" w:rsidRDefault="00000000">
      <w:pPr>
        <w:spacing w:after="210" w:line="360" w:lineRule="auto"/>
      </w:pPr>
      <w:r>
        <w:rPr>
          <w:rFonts w:ascii="inter" w:eastAsia="inter" w:hAnsi="inter" w:cs="inter"/>
          <w:color w:val="000000"/>
        </w:rPr>
        <w:t>In the “set motivation to maximum” thought experiment:</w:t>
      </w:r>
    </w:p>
    <w:p w14:paraId="27243E9D" w14:textId="77777777" w:rsidR="0062429D" w:rsidRDefault="00000000">
      <w:pPr>
        <w:numPr>
          <w:ilvl w:val="0"/>
          <w:numId w:val="7"/>
        </w:numPr>
        <w:spacing w:before="105" w:after="105" w:line="360" w:lineRule="auto"/>
      </w:pPr>
      <w:r>
        <w:rPr>
          <w:rFonts w:ascii="inter" w:eastAsia="inter" w:hAnsi="inter" w:cs="inter"/>
          <w:color w:val="000000"/>
        </w:rPr>
        <w:t>Raising motivation through value signals would typically be modelled as increasing drift in favour of the action (e.g., larger value difference between options).</w:t>
      </w:r>
    </w:p>
    <w:p w14:paraId="3482D830" w14:textId="77777777" w:rsidR="0062429D" w:rsidRDefault="00000000">
      <w:pPr>
        <w:numPr>
          <w:ilvl w:val="0"/>
          <w:numId w:val="7"/>
        </w:numPr>
        <w:spacing w:before="105" w:after="105" w:line="360" w:lineRule="auto"/>
      </w:pPr>
      <w:r>
        <w:rPr>
          <w:rFonts w:ascii="inter" w:eastAsia="inter" w:hAnsi="inter" w:cs="inter"/>
          <w:color w:val="000000"/>
        </w:rPr>
        <w:t xml:space="preserve">If the gate still does not open because threshold remains pathologically high or GPi output cannot be sufficiently inhibited, the failure is squarely in </w:t>
      </w:r>
      <w:r>
        <w:rPr>
          <w:rFonts w:ascii="inter" w:eastAsia="inter" w:hAnsi="inter" w:cs="inter"/>
          <w:b/>
          <w:color w:val="000000"/>
        </w:rPr>
        <w:t>the gating computation</w:t>
      </w:r>
      <w:r>
        <w:rPr>
          <w:rFonts w:ascii="inter" w:eastAsia="inter" w:hAnsi="inter" w:cs="inter"/>
          <w:color w:val="000000"/>
        </w:rPr>
        <w:t>, not the inputs—matching your processing constraint category.</w:t>
      </w:r>
    </w:p>
    <w:p w14:paraId="1AAC8A66" w14:textId="77777777" w:rsidR="0062429D" w:rsidRDefault="00000000">
      <w:pPr>
        <w:spacing w:before="315" w:after="105" w:line="360" w:lineRule="auto"/>
        <w:ind w:left="-30"/>
      </w:pPr>
      <w:bookmarkStart w:id="46" w:name="bg_as_a_gate_on_thalamo_cortical_loops"/>
      <w:r>
        <w:rPr>
          <w:rFonts w:ascii="inter" w:eastAsia="inter" w:hAnsi="inter" w:cs="inter"/>
          <w:b/>
          <w:color w:val="000000"/>
          <w:sz w:val="24"/>
        </w:rPr>
        <w:t>BG as a gate on thalamo–cortical loops</w:t>
      </w:r>
      <w:bookmarkEnd w:id="46"/>
    </w:p>
    <w:p w14:paraId="6846202D" w14:textId="77777777" w:rsidR="0062429D" w:rsidRDefault="00000000">
      <w:pPr>
        <w:spacing w:after="210" w:line="360" w:lineRule="auto"/>
      </w:pPr>
      <w:r>
        <w:rPr>
          <w:rFonts w:ascii="inter" w:eastAsia="inter" w:hAnsi="inter" w:cs="inter"/>
          <w:color w:val="000000"/>
        </w:rPr>
        <w:t xml:space="preserve">The O’Reilly &amp; Munakata text summarizes the basal ganglia as a </w:t>
      </w:r>
      <w:r>
        <w:rPr>
          <w:rFonts w:ascii="inter" w:eastAsia="inter" w:hAnsi="inter" w:cs="inter"/>
          <w:b/>
          <w:color w:val="000000"/>
        </w:rPr>
        <w:t>gate</w:t>
      </w:r>
      <w:r>
        <w:rPr>
          <w:rFonts w:ascii="inter" w:eastAsia="inter" w:hAnsi="inter" w:cs="inter"/>
          <w:color w:val="000000"/>
        </w:rPr>
        <w:t xml:space="preserve"> on thalamo–cortical loops, with Go firing opening the gate and NoGo firing closing it across motor and prefrontal circuits. Inputs include:</w:t>
      </w:r>
      <w:bookmarkStart w:id="47" w:name="fnref14_1"/>
      <w:bookmarkEnd w:id="47"/>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54D563B" w14:textId="77777777" w:rsidR="0062429D" w:rsidRDefault="00000000">
      <w:pPr>
        <w:numPr>
          <w:ilvl w:val="0"/>
          <w:numId w:val="8"/>
        </w:numPr>
        <w:spacing w:before="105" w:after="105" w:line="360" w:lineRule="auto"/>
      </w:pPr>
      <w:r>
        <w:rPr>
          <w:rFonts w:ascii="inter" w:eastAsia="inter" w:hAnsi="inter" w:cs="inter"/>
          <w:color w:val="000000"/>
        </w:rPr>
        <w:t>Cortical representations of current state, potential actions, stimulus identity, reward value, and action costs from areas like OFC and ACC.</w:t>
      </w:r>
      <w:bookmarkStart w:id="48" w:name="fnref14_2"/>
      <w:bookmarkEnd w:id="4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2F2073F" w14:textId="77777777" w:rsidR="0062429D" w:rsidRDefault="00000000">
      <w:pPr>
        <w:spacing w:after="210" w:line="360" w:lineRule="auto"/>
      </w:pPr>
      <w:r>
        <w:rPr>
          <w:rFonts w:ascii="inter" w:eastAsia="inter" w:hAnsi="inter" w:cs="inter"/>
          <w:color w:val="000000"/>
        </w:rPr>
        <w:t>Gating dynamics—Go/NoGo balance, STN-mediated threshold control, GPi output—then determine whether a given loop is updated (cognitive or motor “action selection”).</w:t>
      </w:r>
      <w:bookmarkStart w:id="49" w:name="fnref13_3"/>
      <w:bookmarkEnd w:id="49"/>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50" w:name="fnref15_2"/>
      <w:bookmarkEnd w:id="50"/>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51" w:name="fnref14_3"/>
      <w:bookmarkEnd w:id="51"/>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A0CF8B7" w14:textId="77777777" w:rsidR="0062429D" w:rsidRDefault="00000000">
      <w:pPr>
        <w:spacing w:after="210" w:line="360" w:lineRule="auto"/>
      </w:pPr>
      <w:r>
        <w:rPr>
          <w:rFonts w:ascii="inter" w:eastAsia="inter" w:hAnsi="inter" w:cs="inter"/>
          <w:color w:val="000000"/>
        </w:rPr>
        <w:t>Again, the theory already treats:</w:t>
      </w:r>
    </w:p>
    <w:p w14:paraId="5EAE75D8" w14:textId="77777777" w:rsidR="0062429D" w:rsidRDefault="00000000">
      <w:pPr>
        <w:numPr>
          <w:ilvl w:val="0"/>
          <w:numId w:val="9"/>
        </w:numPr>
        <w:spacing w:before="105" w:after="105" w:line="360" w:lineRule="auto"/>
      </w:pPr>
      <w:r>
        <w:rPr>
          <w:rFonts w:ascii="inter" w:eastAsia="inter" w:hAnsi="inter" w:cs="inter"/>
          <w:b/>
          <w:color w:val="000000"/>
        </w:rPr>
        <w:t>“The world and body” at the representational level</w:t>
      </w:r>
      <w:r>
        <w:rPr>
          <w:rFonts w:ascii="inter" w:eastAsia="inter" w:hAnsi="inter" w:cs="inter"/>
          <w:color w:val="000000"/>
        </w:rPr>
        <w:t xml:space="preserve"> (what states/actions/values get into cortex and striatum) as distinct from</w:t>
      </w:r>
    </w:p>
    <w:p w14:paraId="65EBD8ED" w14:textId="77777777" w:rsidR="0062429D" w:rsidRDefault="00000000">
      <w:pPr>
        <w:numPr>
          <w:ilvl w:val="0"/>
          <w:numId w:val="9"/>
        </w:numPr>
        <w:spacing w:before="105" w:after="105" w:line="360" w:lineRule="auto"/>
      </w:pPr>
      <w:r>
        <w:rPr>
          <w:rFonts w:ascii="inter" w:eastAsia="inter" w:hAnsi="inter" w:cs="inter"/>
          <w:b/>
          <w:color w:val="000000"/>
        </w:rPr>
        <w:t>“The decision policy” in the gate</w:t>
      </w:r>
      <w:r>
        <w:rPr>
          <w:rFonts w:ascii="inter" w:eastAsia="inter" w:hAnsi="inter" w:cs="inter"/>
          <w:color w:val="000000"/>
        </w:rPr>
        <w:t xml:space="preserve"> (learning rules and state of BG circuitry that determine when those representations drive behaviour).</w:t>
      </w:r>
    </w:p>
    <w:p w14:paraId="23EDE6CC" w14:textId="77777777" w:rsidR="0062429D" w:rsidRDefault="00000000">
      <w:pPr>
        <w:spacing w:after="210" w:line="360" w:lineRule="auto"/>
      </w:pPr>
      <w:r>
        <w:rPr>
          <w:rFonts w:ascii="inter" w:eastAsia="inter" w:hAnsi="inter" w:cs="inter"/>
          <w:color w:val="000000"/>
        </w:rPr>
        <w:t xml:space="preserve">So, while Frank or Ging-Jehli do not use your exact terminology, their models strongly support a clean analytic distinction between constraints on </w:t>
      </w:r>
      <w:r>
        <w:rPr>
          <w:rFonts w:ascii="inter" w:eastAsia="inter" w:hAnsi="inter" w:cs="inter"/>
          <w:b/>
          <w:color w:val="000000"/>
        </w:rPr>
        <w:t>inputs to the gating system</w:t>
      </w:r>
      <w:r>
        <w:rPr>
          <w:rFonts w:ascii="inter" w:eastAsia="inter" w:hAnsi="inter" w:cs="inter"/>
          <w:color w:val="000000"/>
        </w:rPr>
        <w:t xml:space="preserve"> and constraints in the </w:t>
      </w:r>
      <w:r>
        <w:rPr>
          <w:rFonts w:ascii="inter" w:eastAsia="inter" w:hAnsi="inter" w:cs="inter"/>
          <w:b/>
          <w:color w:val="000000"/>
        </w:rPr>
        <w:t>computation of the gating decision</w:t>
      </w:r>
      <w:r>
        <w:rPr>
          <w:rFonts w:ascii="inter" w:eastAsia="inter" w:hAnsi="inter" w:cs="inter"/>
          <w:color w:val="000000"/>
        </w:rPr>
        <w:t>.</w:t>
      </w:r>
    </w:p>
    <w:p w14:paraId="78BBECC2" w14:textId="77777777" w:rsidR="0062429D" w:rsidRDefault="00000000">
      <w:pPr>
        <w:spacing w:before="210" w:after="0" w:line="360" w:lineRule="auto"/>
      </w:pPr>
      <w:r>
        <w:rPr>
          <w:noProof/>
        </w:rPr>
      </w:r>
      <w:r>
        <w:rPr>
          <w:noProof/>
        </w:rPr>
        <w:pict w14:anchorId="4217DE79">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76C7B6" w14:textId="77777777" w:rsidR="0062429D" w:rsidRDefault="00000000">
      <w:pPr>
        <w:spacing w:before="315" w:after="105" w:line="360" w:lineRule="auto"/>
        <w:ind w:left="-30"/>
      </w:pPr>
      <w:bookmarkStart w:id="52" w:name="bm_2_mapping_com_b_to_input_vs_pr_d2a174"/>
      <w:r>
        <w:rPr>
          <w:rFonts w:ascii="inter" w:eastAsia="inter" w:hAnsi="inter" w:cs="inter"/>
          <w:b/>
          <w:color w:val="000000"/>
          <w:sz w:val="24"/>
        </w:rPr>
        <w:t>(2) Mapping COM-B to input vs processing constraints</w:t>
      </w:r>
      <w:bookmarkEnd w:id="52"/>
    </w:p>
    <w:p w14:paraId="53D8670F" w14:textId="77777777" w:rsidR="0062429D" w:rsidRDefault="00000000">
      <w:pPr>
        <w:spacing w:after="210" w:line="360" w:lineRule="auto"/>
      </w:pPr>
      <w:r>
        <w:rPr>
          <w:rFonts w:ascii="inter" w:eastAsia="inter" w:hAnsi="inter" w:cs="inter"/>
          <w:color w:val="000000"/>
        </w:rPr>
        <w:t>The original Behaviour Change Wheel / COM-B paper by Michie et al. defines:</w:t>
      </w:r>
    </w:p>
    <w:p w14:paraId="2FF69167" w14:textId="77777777" w:rsidR="0062429D" w:rsidRDefault="00000000">
      <w:pPr>
        <w:numPr>
          <w:ilvl w:val="0"/>
          <w:numId w:val="10"/>
        </w:numPr>
        <w:spacing w:before="105" w:after="105" w:line="360" w:lineRule="auto"/>
      </w:pPr>
      <w:r>
        <w:rPr>
          <w:rFonts w:ascii="inter" w:eastAsia="inter" w:hAnsi="inter" w:cs="inter"/>
          <w:b/>
          <w:color w:val="000000"/>
        </w:rPr>
        <w:t>Capability:</w:t>
      </w:r>
      <w:r>
        <w:rPr>
          <w:rFonts w:ascii="inter" w:eastAsia="inter" w:hAnsi="inter" w:cs="inter"/>
          <w:color w:val="000000"/>
        </w:rPr>
        <w:t xml:space="preserve"> “the individual’s psychological and physical capacity to engage in the activity concerned… having the necessary knowledge and skills.”</w:t>
      </w:r>
      <w:bookmarkStart w:id="53" w:name="fnref5_1"/>
      <w:bookmarkEnd w:id="53"/>
      <w:r>
        <w:fldChar w:fldCharType="begin"/>
      </w:r>
      <w:r>
        <w:instrText>HYPERLINK \l "fn5" \h</w:instrText>
      </w:r>
      <w:r>
        <w:fldChar w:fldCharType="separate"/>
      </w:r>
      <w:r>
        <w:rPr>
          <w:rFonts w:ascii="inter" w:eastAsia="inter" w:hAnsi="inter" w:cs="inter"/>
          <w:u w:val="single"/>
          <w:vertAlign w:val="superscript"/>
        </w:rPr>
        <w:t>[5]</w:t>
      </w:r>
      <w:r>
        <w:fldChar w:fldCharType="end"/>
      </w:r>
    </w:p>
    <w:p w14:paraId="2134E5ED" w14:textId="77777777" w:rsidR="0062429D" w:rsidRDefault="00000000">
      <w:pPr>
        <w:numPr>
          <w:ilvl w:val="0"/>
          <w:numId w:val="10"/>
        </w:numPr>
        <w:spacing w:before="105" w:after="105" w:line="360" w:lineRule="auto"/>
      </w:pPr>
      <w:r>
        <w:rPr>
          <w:rFonts w:ascii="inter" w:eastAsia="inter" w:hAnsi="inter" w:cs="inter"/>
          <w:b/>
          <w:color w:val="000000"/>
        </w:rPr>
        <w:t>Opportunity:</w:t>
      </w:r>
      <w:r>
        <w:rPr>
          <w:rFonts w:ascii="inter" w:eastAsia="inter" w:hAnsi="inter" w:cs="inter"/>
          <w:color w:val="000000"/>
        </w:rPr>
        <w:t xml:space="preserve"> “all the factors that lie outside the individual that make the behaviour possible or prompt it.”</w:t>
      </w:r>
      <w:bookmarkStart w:id="54" w:name="fnref5_2"/>
      <w:bookmarkEnd w:id="54"/>
      <w:r>
        <w:fldChar w:fldCharType="begin"/>
      </w:r>
      <w:r>
        <w:instrText>HYPERLINK \l "fn5" \h</w:instrText>
      </w:r>
      <w:r>
        <w:fldChar w:fldCharType="separate"/>
      </w:r>
      <w:r>
        <w:rPr>
          <w:rFonts w:ascii="inter" w:eastAsia="inter" w:hAnsi="inter" w:cs="inter"/>
          <w:u w:val="single"/>
          <w:vertAlign w:val="superscript"/>
        </w:rPr>
        <w:t>[5]</w:t>
      </w:r>
      <w:r>
        <w:fldChar w:fldCharType="end"/>
      </w:r>
    </w:p>
    <w:p w14:paraId="05656FD8" w14:textId="77777777" w:rsidR="0062429D" w:rsidRDefault="00000000">
      <w:pPr>
        <w:numPr>
          <w:ilvl w:val="0"/>
          <w:numId w:val="10"/>
        </w:numPr>
        <w:spacing w:before="105" w:after="105" w:line="360" w:lineRule="auto"/>
      </w:pPr>
      <w:r>
        <w:rPr>
          <w:rFonts w:ascii="inter" w:eastAsia="inter" w:hAnsi="inter" w:cs="inter"/>
          <w:b/>
          <w:color w:val="000000"/>
        </w:rPr>
        <w:t>Motivation:</w:t>
      </w:r>
      <w:r>
        <w:rPr>
          <w:rFonts w:ascii="inter" w:eastAsia="inter" w:hAnsi="inter" w:cs="inter"/>
          <w:color w:val="000000"/>
        </w:rPr>
        <w:t xml:space="preserve"> “all those brain processes that energize and direct behaviour, not just goals and conscious decision-making… habitual processes, emotional responding, as well as analytical decision-making.”</w:t>
      </w:r>
      <w:bookmarkStart w:id="55" w:name="fnref5_3"/>
      <w:bookmarkEnd w:id="55"/>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F807488" w14:textId="77777777" w:rsidR="0062429D" w:rsidRDefault="00000000">
      <w:pPr>
        <w:spacing w:after="210" w:line="360" w:lineRule="auto"/>
      </w:pPr>
      <w:r>
        <w:rPr>
          <w:rFonts w:ascii="inter" w:eastAsia="inter" w:hAnsi="inter" w:cs="inter"/>
          <w:color w:val="000000"/>
        </w:rPr>
        <w:t>West’s short COM-B/PRIME introduction goes further and makes the “logic gate” idea explicit:</w:t>
      </w:r>
    </w:p>
    <w:p w14:paraId="1E034EB0" w14:textId="77777777" w:rsidR="0062429D" w:rsidRDefault="00000000">
      <w:pPr>
        <w:numPr>
          <w:ilvl w:val="0"/>
          <w:numId w:val="11"/>
        </w:numPr>
        <w:spacing w:before="105" w:after="105" w:line="360" w:lineRule="auto"/>
      </w:pPr>
      <w:r>
        <w:rPr>
          <w:rFonts w:ascii="inter" w:eastAsia="inter" w:hAnsi="inter" w:cs="inter"/>
          <w:color w:val="000000"/>
        </w:rPr>
        <w:t xml:space="preserve">At a moment-to-moment level, </w:t>
      </w:r>
      <w:r>
        <w:rPr>
          <w:rFonts w:ascii="inter" w:eastAsia="inter" w:hAnsi="inter" w:cs="inter"/>
          <w:b/>
          <w:color w:val="000000"/>
        </w:rPr>
        <w:t>capability and opportunity “act like logic gates”</w:t>
      </w:r>
      <w:r>
        <w:rPr>
          <w:rFonts w:ascii="inter" w:eastAsia="inter" w:hAnsi="inter" w:cs="inter"/>
          <w:color w:val="000000"/>
        </w:rPr>
        <w:t>: both must be open for motivation to generate behaviour.</w:t>
      </w:r>
      <w:bookmarkStart w:id="56" w:name="fnref6_1"/>
      <w:bookmarkEnd w:id="5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FEE8223" w14:textId="77777777" w:rsidR="0062429D" w:rsidRDefault="00000000">
      <w:pPr>
        <w:numPr>
          <w:ilvl w:val="0"/>
          <w:numId w:val="11"/>
        </w:numPr>
        <w:spacing w:before="105" w:after="105" w:line="360" w:lineRule="auto"/>
      </w:pPr>
      <w:r>
        <w:rPr>
          <w:rFonts w:ascii="inter" w:eastAsia="inter" w:hAnsi="inter" w:cs="inter"/>
          <w:color w:val="000000"/>
        </w:rPr>
        <w:t>Aggregated over time, greater capability and opportunity increase the probability that when motivation is present, the gates are open and behaviour can occur.</w:t>
      </w:r>
      <w:bookmarkStart w:id="57" w:name="fnref6_2"/>
      <w:bookmarkEnd w:id="5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C036E80" w14:textId="77777777" w:rsidR="0062429D" w:rsidRDefault="00000000">
      <w:pPr>
        <w:spacing w:after="210" w:line="360" w:lineRule="auto"/>
      </w:pPr>
      <w:r>
        <w:rPr>
          <w:rFonts w:ascii="inter" w:eastAsia="inter" w:hAnsi="inter" w:cs="inter"/>
          <w:color w:val="000000"/>
        </w:rPr>
        <w:t>Other expositions (e.g., Habit Weekly, Social Change UK) emphasize similar structure:</w:t>
      </w:r>
    </w:p>
    <w:p w14:paraId="2AB31305" w14:textId="77777777" w:rsidR="0062429D" w:rsidRDefault="00000000">
      <w:pPr>
        <w:numPr>
          <w:ilvl w:val="0"/>
          <w:numId w:val="12"/>
        </w:numPr>
        <w:spacing w:before="105" w:after="105" w:line="360" w:lineRule="auto"/>
      </w:pPr>
      <w:r>
        <w:rPr>
          <w:rFonts w:ascii="inter" w:eastAsia="inter" w:hAnsi="inter" w:cs="inter"/>
          <w:color w:val="000000"/>
        </w:rPr>
        <w:t>Physical capability = bodily skills/strength; psychological capability = knowledge and cognitive skills such as attention and memory.</w:t>
      </w:r>
      <w:bookmarkStart w:id="58" w:name="fnref7_1"/>
      <w:bookmarkEnd w:id="58"/>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59" w:name="fnref24"/>
      <w:bookmarkEnd w:id="59"/>
      <w:r>
        <w:fldChar w:fldCharType="begin"/>
      </w:r>
      <w:r>
        <w:instrText>HYPERLINK \l "fn24" \h</w:instrText>
      </w:r>
      <w:r>
        <w:fldChar w:fldCharType="separate"/>
      </w:r>
      <w:r>
        <w:rPr>
          <w:rFonts w:ascii="inter" w:eastAsia="inter" w:hAnsi="inter" w:cs="inter"/>
          <w:u w:val="single"/>
          <w:vertAlign w:val="superscript"/>
        </w:rPr>
        <w:t>[24]</w:t>
      </w:r>
      <w:r>
        <w:fldChar w:fldCharType="end"/>
      </w:r>
    </w:p>
    <w:p w14:paraId="32ED7DA9" w14:textId="77777777" w:rsidR="0062429D" w:rsidRDefault="00000000">
      <w:pPr>
        <w:numPr>
          <w:ilvl w:val="0"/>
          <w:numId w:val="12"/>
        </w:numPr>
        <w:spacing w:before="105" w:after="105" w:line="360" w:lineRule="auto"/>
      </w:pPr>
      <w:r>
        <w:rPr>
          <w:rFonts w:ascii="inter" w:eastAsia="inter" w:hAnsi="inter" w:cs="inter"/>
          <w:color w:val="000000"/>
        </w:rPr>
        <w:t>Physical opportunity = time, money, physical resources, environmental layout; social opportunity = norms, social support.</w:t>
      </w:r>
      <w:bookmarkStart w:id="60" w:name="fnref25"/>
      <w:bookmarkEnd w:id="60"/>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61" w:name="fnref7_2"/>
      <w:bookmarkEnd w:id="61"/>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62" w:name="fnref5_4"/>
      <w:bookmarkEnd w:id="62"/>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BFA83E0" w14:textId="77777777" w:rsidR="0062429D" w:rsidRDefault="00000000">
      <w:pPr>
        <w:numPr>
          <w:ilvl w:val="0"/>
          <w:numId w:val="12"/>
        </w:numPr>
        <w:spacing w:before="105" w:after="105" w:line="360" w:lineRule="auto"/>
      </w:pPr>
      <w:r>
        <w:rPr>
          <w:rFonts w:ascii="inter" w:eastAsia="inter" w:hAnsi="inter" w:cs="inter"/>
          <w:color w:val="000000"/>
        </w:rPr>
        <w:t>Motivation is subdivided into reflective (beliefs, evaluations, intentions) and automatic (emotions, habits).</w:t>
      </w:r>
      <w:bookmarkStart w:id="63" w:name="fnref26"/>
      <w:bookmarkEnd w:id="63"/>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64" w:name="fnref7_3"/>
      <w:bookmarkEnd w:id="64"/>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4A20D28" w14:textId="77777777" w:rsidR="0062429D" w:rsidRDefault="00000000">
      <w:pPr>
        <w:spacing w:before="315" w:after="105" w:line="360" w:lineRule="auto"/>
        <w:ind w:left="-30"/>
      </w:pPr>
      <w:bookmarkStart w:id="65" w:name="direct_mapping"/>
      <w:r>
        <w:rPr>
          <w:rFonts w:ascii="inter" w:eastAsia="inter" w:hAnsi="inter" w:cs="inter"/>
          <w:b/>
          <w:color w:val="000000"/>
          <w:sz w:val="24"/>
        </w:rPr>
        <w:t>Direct mapping</w:t>
      </w:r>
      <w:bookmarkEnd w:id="65"/>
    </w:p>
    <w:p w14:paraId="47DF76C5" w14:textId="77777777" w:rsidR="0062429D" w:rsidRDefault="00000000">
      <w:pPr>
        <w:spacing w:after="210" w:line="360" w:lineRule="auto"/>
      </w:pPr>
      <w:r>
        <w:rPr>
          <w:rFonts w:ascii="inter" w:eastAsia="inter" w:hAnsi="inter" w:cs="inter"/>
          <w:color w:val="000000"/>
        </w:rPr>
        <w:t>With your categories, COM-B maps naturally as:</w:t>
      </w:r>
    </w:p>
    <w:p w14:paraId="62DC4918" w14:textId="77777777" w:rsidR="0062429D" w:rsidRDefault="00000000">
      <w:pPr>
        <w:numPr>
          <w:ilvl w:val="0"/>
          <w:numId w:val="13"/>
        </w:numPr>
        <w:spacing w:after="210" w:line="360" w:lineRule="auto"/>
      </w:pPr>
      <w:r>
        <w:rPr>
          <w:rFonts w:ascii="inter" w:eastAsia="inter" w:hAnsi="inter" w:cs="inter"/>
          <w:b/>
          <w:color w:val="000000"/>
        </w:rPr>
        <w:t>Input constraints (A)</w:t>
      </w:r>
    </w:p>
    <w:p w14:paraId="37ECFC47" w14:textId="77777777" w:rsidR="0062429D" w:rsidRDefault="00000000">
      <w:pPr>
        <w:numPr>
          <w:ilvl w:val="1"/>
          <w:numId w:val="13"/>
        </w:numPr>
        <w:spacing w:before="105" w:after="105" w:line="360" w:lineRule="auto"/>
      </w:pPr>
      <w:r>
        <w:rPr>
          <w:rFonts w:ascii="inter" w:eastAsia="inter" w:hAnsi="inter" w:cs="inter"/>
          <w:b/>
          <w:color w:val="000000"/>
        </w:rPr>
        <w:t>Physical capability:</w:t>
      </w:r>
      <w:r>
        <w:rPr>
          <w:rFonts w:ascii="inter" w:eastAsia="inter" w:hAnsi="inter" w:cs="inter"/>
          <w:color w:val="000000"/>
        </w:rPr>
        <w:t xml:space="preserve"> physical disability, strength, stamina constraints, motor skill deficits—these are constraints in the body that persist regardless of motivation.</w:t>
      </w:r>
    </w:p>
    <w:p w14:paraId="1997127A" w14:textId="77777777" w:rsidR="0062429D" w:rsidRDefault="00000000">
      <w:pPr>
        <w:numPr>
          <w:ilvl w:val="1"/>
          <w:numId w:val="13"/>
        </w:numPr>
        <w:spacing w:before="105" w:after="105" w:line="360" w:lineRule="auto"/>
      </w:pPr>
      <w:r>
        <w:rPr>
          <w:rFonts w:ascii="inter" w:eastAsia="inter" w:hAnsi="inter" w:cs="inter"/>
          <w:b/>
          <w:color w:val="000000"/>
        </w:rPr>
        <w:t>Psychological capability:</w:t>
      </w:r>
      <w:r>
        <w:rPr>
          <w:rFonts w:ascii="inter" w:eastAsia="inter" w:hAnsi="inter" w:cs="inter"/>
          <w:color w:val="000000"/>
        </w:rPr>
        <w:t xml:space="preserve"> lacking necessary knowledge or cognitive skills; even with maximal motivation, a person cannot perform a complex procedure if they literally do not know how. COM-B treats this as </w:t>
      </w:r>
      <w:r>
        <w:rPr>
          <w:rFonts w:ascii="inter" w:eastAsia="inter" w:hAnsi="inter" w:cs="inter"/>
          <w:i/>
          <w:color w:val="000000"/>
        </w:rPr>
        <w:t>capability</w:t>
      </w:r>
      <w:r>
        <w:rPr>
          <w:rFonts w:ascii="inter" w:eastAsia="inter" w:hAnsi="inter" w:cs="inter"/>
          <w:color w:val="000000"/>
        </w:rPr>
        <w:t>, not motivation.</w:t>
      </w:r>
      <w:bookmarkStart w:id="66" w:name="fnref7_4"/>
      <w:bookmarkEnd w:id="66"/>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67" w:name="fnref5_5"/>
      <w:bookmarkEnd w:id="6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3AC8E43" w14:textId="77777777" w:rsidR="0062429D" w:rsidRDefault="00000000">
      <w:pPr>
        <w:numPr>
          <w:ilvl w:val="1"/>
          <w:numId w:val="13"/>
        </w:numPr>
        <w:spacing w:before="105" w:after="105" w:line="360" w:lineRule="auto"/>
      </w:pPr>
      <w:r>
        <w:rPr>
          <w:rFonts w:ascii="inter" w:eastAsia="inter" w:hAnsi="inter" w:cs="inter"/>
          <w:b/>
          <w:color w:val="000000"/>
        </w:rPr>
        <w:t>Physical opportunity:</w:t>
      </w:r>
      <w:r>
        <w:rPr>
          <w:rFonts w:ascii="inter" w:eastAsia="inter" w:hAnsi="inter" w:cs="inter"/>
          <w:color w:val="000000"/>
        </w:rPr>
        <w:t xml:space="preserve"> absence of resources, time, or environmental access; structural barriers (no bike, unsafe neighbourhood for running, no clinic nearby).</w:t>
      </w:r>
      <w:bookmarkStart w:id="68" w:name="fnref27"/>
      <w:bookmarkEnd w:id="68"/>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69" w:name="fnref25_1"/>
      <w:bookmarkEnd w:id="69"/>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1DDA862B" w14:textId="77777777" w:rsidR="0062429D" w:rsidRDefault="00000000">
      <w:pPr>
        <w:numPr>
          <w:ilvl w:val="1"/>
          <w:numId w:val="13"/>
        </w:numPr>
        <w:spacing w:before="105" w:after="105" w:line="360" w:lineRule="auto"/>
      </w:pPr>
      <w:r>
        <w:rPr>
          <w:rFonts w:ascii="inter" w:eastAsia="inter" w:hAnsi="inter" w:cs="inter"/>
          <w:b/>
          <w:color w:val="000000"/>
        </w:rPr>
        <w:t>Social opportunity:</w:t>
      </w:r>
      <w:r>
        <w:rPr>
          <w:rFonts w:ascii="inter" w:eastAsia="inter" w:hAnsi="inter" w:cs="inter"/>
          <w:color w:val="000000"/>
        </w:rPr>
        <w:t xml:space="preserve"> absence of supportive norms or presence of prohibitive norms (legal bans, ostracism); these are constraints in the social environment.</w:t>
      </w:r>
      <w:bookmarkStart w:id="70" w:name="fnref7_5"/>
      <w:bookmarkEnd w:id="70"/>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71" w:name="fnref5_6"/>
      <w:bookmarkEnd w:id="7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359F3B0" w14:textId="77777777" w:rsidR="0062429D" w:rsidRDefault="00000000">
      <w:pPr>
        <w:numPr>
          <w:ilvl w:val="0"/>
          <w:numId w:val="13"/>
        </w:numPr>
        <w:spacing w:after="210" w:line="360" w:lineRule="auto"/>
      </w:pPr>
      <w:r>
        <w:rPr>
          <w:rFonts w:ascii="inter" w:eastAsia="inter" w:hAnsi="inter" w:cs="inter"/>
          <w:color w:val="000000"/>
        </w:rPr>
        <w:t xml:space="preserve">All of these are, in COM-B terms, </w:t>
      </w:r>
      <w:r>
        <w:rPr>
          <w:rFonts w:ascii="inter" w:eastAsia="inter" w:hAnsi="inter" w:cs="inter"/>
          <w:b/>
          <w:color w:val="000000"/>
        </w:rPr>
        <w:t>conditions that must be satisfied before motivation can “pass through” to action</w:t>
      </w:r>
      <w:r>
        <w:rPr>
          <w:rFonts w:ascii="inter" w:eastAsia="inter" w:hAnsi="inter" w:cs="inter"/>
          <w:color w:val="000000"/>
        </w:rPr>
        <w:t>, matching your notion that “if motivation were set to maximum, input constraints still block action.”</w:t>
      </w:r>
      <w:bookmarkStart w:id="72" w:name="fnref6_3"/>
      <w:bookmarkEnd w:id="72"/>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CE69F80" w14:textId="77777777" w:rsidR="0062429D" w:rsidRDefault="00000000">
      <w:pPr>
        <w:numPr>
          <w:ilvl w:val="0"/>
          <w:numId w:val="13"/>
        </w:numPr>
        <w:spacing w:after="210" w:line="360" w:lineRule="auto"/>
      </w:pPr>
      <w:r>
        <w:rPr>
          <w:rFonts w:ascii="inter" w:eastAsia="inter" w:hAnsi="inter" w:cs="inter"/>
          <w:b/>
          <w:color w:val="000000"/>
        </w:rPr>
        <w:t>Processing constraints (B)</w:t>
      </w:r>
    </w:p>
    <w:p w14:paraId="0681AEF2" w14:textId="77777777" w:rsidR="0062429D" w:rsidRDefault="00000000">
      <w:pPr>
        <w:numPr>
          <w:ilvl w:val="1"/>
          <w:numId w:val="13"/>
        </w:numPr>
        <w:spacing w:before="105" w:after="105" w:line="360" w:lineRule="auto"/>
      </w:pPr>
      <w:r>
        <w:rPr>
          <w:rFonts w:ascii="inter" w:eastAsia="inter" w:hAnsi="inter" w:cs="inter"/>
          <w:b/>
          <w:color w:val="000000"/>
        </w:rPr>
        <w:t>Motivation (reflective + automatic):</w:t>
      </w:r>
      <w:r>
        <w:rPr>
          <w:rFonts w:ascii="inter" w:eastAsia="inter" w:hAnsi="inter" w:cs="inter"/>
          <w:color w:val="000000"/>
        </w:rPr>
        <w:t xml:space="preserve"> beliefs about outcomes and one’s own capabilities, goals, values, habits, emotional responses, and impulses—all “brain processes that energise and direct behaviour.”</w:t>
      </w:r>
      <w:bookmarkStart w:id="73" w:name="fnref7_6"/>
      <w:bookmarkEnd w:id="73"/>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74" w:name="fnref5_7"/>
      <w:bookmarkEnd w:id="74"/>
      <w:r>
        <w:fldChar w:fldCharType="begin"/>
      </w:r>
      <w:r>
        <w:instrText>HYPERLINK \l "fn5" \h</w:instrText>
      </w:r>
      <w:r>
        <w:fldChar w:fldCharType="separate"/>
      </w:r>
      <w:r>
        <w:rPr>
          <w:rFonts w:ascii="inter" w:eastAsia="inter" w:hAnsi="inter" w:cs="inter"/>
          <w:u w:val="single"/>
          <w:vertAlign w:val="superscript"/>
        </w:rPr>
        <w:t>[5]</w:t>
      </w:r>
      <w:r>
        <w:fldChar w:fldCharType="end"/>
      </w:r>
    </w:p>
    <w:p w14:paraId="38212B4B" w14:textId="77777777" w:rsidR="0062429D" w:rsidRDefault="00000000">
      <w:pPr>
        <w:numPr>
          <w:ilvl w:val="1"/>
          <w:numId w:val="13"/>
        </w:numPr>
        <w:spacing w:before="105" w:after="105" w:line="360" w:lineRule="auto"/>
      </w:pPr>
      <w:r>
        <w:rPr>
          <w:rFonts w:ascii="inter" w:eastAsia="inter" w:hAnsi="inter" w:cs="inter"/>
          <w:color w:val="000000"/>
        </w:rPr>
        <w:t xml:space="preserve">Low self-efficacy, weak intentions, poor commitment, competing habits, or maladaptive emotional responses are explicitly classified here as </w:t>
      </w:r>
      <w:r>
        <w:rPr>
          <w:rFonts w:ascii="inter" w:eastAsia="inter" w:hAnsi="inter" w:cs="inter"/>
          <w:b/>
          <w:color w:val="000000"/>
        </w:rPr>
        <w:t>motivational</w:t>
      </w:r>
      <w:r>
        <w:rPr>
          <w:rFonts w:ascii="inter" w:eastAsia="inter" w:hAnsi="inter" w:cs="inter"/>
          <w:color w:val="000000"/>
        </w:rPr>
        <w:t>, not capability or opportunity.</w:t>
      </w:r>
      <w:bookmarkStart w:id="75" w:name="fnref25_2"/>
      <w:bookmarkEnd w:id="75"/>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76" w:name="fnref5_8"/>
      <w:bookmarkEnd w:id="76"/>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B86AA9E" w14:textId="77777777" w:rsidR="0062429D" w:rsidRDefault="00000000">
      <w:pPr>
        <w:numPr>
          <w:ilvl w:val="0"/>
          <w:numId w:val="13"/>
        </w:numPr>
        <w:spacing w:after="210" w:line="360" w:lineRule="auto"/>
      </w:pPr>
      <w:r>
        <w:rPr>
          <w:rFonts w:ascii="inter" w:eastAsia="inter" w:hAnsi="inter" w:cs="inter"/>
          <w:color w:val="000000"/>
        </w:rPr>
        <w:t>These can be altered by changing what the evaluative/motivational system computes (e.g., reframing outcomes, strengthening identity congruence, habit formation). Under your test, raising motivation to maximum removes these constraints by definition.</w:t>
      </w:r>
    </w:p>
    <w:p w14:paraId="284C6F74" w14:textId="77777777" w:rsidR="0062429D" w:rsidRDefault="00000000">
      <w:pPr>
        <w:spacing w:before="315" w:after="105" w:line="360" w:lineRule="auto"/>
        <w:ind w:left="-30"/>
      </w:pPr>
      <w:bookmarkStart w:id="77" w:name="a_nuance_about_psychological_capability"/>
      <w:r>
        <w:rPr>
          <w:rFonts w:ascii="inter" w:eastAsia="inter" w:hAnsi="inter" w:cs="inter"/>
          <w:b/>
          <w:color w:val="000000"/>
          <w:sz w:val="24"/>
        </w:rPr>
        <w:t>A nuance about “psychological capability”</w:t>
      </w:r>
      <w:bookmarkEnd w:id="77"/>
    </w:p>
    <w:p w14:paraId="175C78F4" w14:textId="77777777" w:rsidR="0062429D" w:rsidRDefault="00000000">
      <w:pPr>
        <w:spacing w:after="210" w:line="360" w:lineRule="auto"/>
      </w:pPr>
      <w:r>
        <w:rPr>
          <w:rFonts w:ascii="inter" w:eastAsia="inter" w:hAnsi="inter" w:cs="inter"/>
          <w:color w:val="000000"/>
        </w:rPr>
        <w:t xml:space="preserve">One subtlety: COM-B’s “psychological capability” includes not only declarative knowledge but </w:t>
      </w:r>
      <w:r>
        <w:rPr>
          <w:rFonts w:ascii="inter" w:eastAsia="inter" w:hAnsi="inter" w:cs="inter"/>
          <w:i/>
          <w:color w:val="000000"/>
        </w:rPr>
        <w:t>mental skills such as attention, memory, and decision-making skills</w:t>
      </w:r>
      <w:r>
        <w:rPr>
          <w:rFonts w:ascii="inter" w:eastAsia="inter" w:hAnsi="inter" w:cs="inter"/>
          <w:color w:val="000000"/>
        </w:rPr>
        <w:t>. Some of these border on what you might wish to treat as processing capacities rather than static inputs.</w:t>
      </w:r>
      <w:bookmarkStart w:id="78" w:name="fnref7_7"/>
      <w:bookmarkEnd w:id="78"/>
      <w:r>
        <w:fldChar w:fldCharType="begin"/>
      </w:r>
      <w:r>
        <w:instrText>HYPERLINK \l "fn7" \h</w:instrText>
      </w:r>
      <w:r>
        <w:fldChar w:fldCharType="separate"/>
      </w:r>
      <w:r>
        <w:rPr>
          <w:rFonts w:ascii="inter" w:eastAsia="inter" w:hAnsi="inter" w:cs="inter"/>
          <w:u w:val="single"/>
          <w:vertAlign w:val="superscript"/>
        </w:rPr>
        <w:t>[7]</w:t>
      </w:r>
      <w:r>
        <w:fldChar w:fldCharType="end"/>
      </w:r>
    </w:p>
    <w:p w14:paraId="5198EAE0" w14:textId="77777777" w:rsidR="0062429D" w:rsidRDefault="00000000">
      <w:pPr>
        <w:spacing w:after="210" w:line="360" w:lineRule="auto"/>
      </w:pPr>
      <w:r>
        <w:rPr>
          <w:rFonts w:ascii="inter" w:eastAsia="inter" w:hAnsi="inter" w:cs="inter"/>
          <w:color w:val="000000"/>
        </w:rPr>
        <w:t>For your purposes, you could:</w:t>
      </w:r>
    </w:p>
    <w:p w14:paraId="72778317" w14:textId="77777777" w:rsidR="0062429D" w:rsidRDefault="00000000">
      <w:pPr>
        <w:numPr>
          <w:ilvl w:val="0"/>
          <w:numId w:val="14"/>
        </w:numPr>
        <w:spacing w:before="105" w:after="105" w:line="360" w:lineRule="auto"/>
      </w:pPr>
      <w:r>
        <w:rPr>
          <w:rFonts w:ascii="inter" w:eastAsia="inter" w:hAnsi="inter" w:cs="inter"/>
          <w:color w:val="000000"/>
        </w:rPr>
        <w:t xml:space="preserve">Classify </w:t>
      </w:r>
      <w:r>
        <w:rPr>
          <w:rFonts w:ascii="inter" w:eastAsia="inter" w:hAnsi="inter" w:cs="inter"/>
          <w:b/>
          <w:color w:val="000000"/>
        </w:rPr>
        <w:t>stable cognitive resources</w:t>
      </w:r>
      <w:r>
        <w:rPr>
          <w:rFonts w:ascii="inter" w:eastAsia="inter" w:hAnsi="inter" w:cs="inter"/>
          <w:color w:val="000000"/>
        </w:rPr>
        <w:t xml:space="preserve"> (working memory capacity, attentional control limits, acquired procedural skills) as </w:t>
      </w:r>
      <w:r>
        <w:rPr>
          <w:rFonts w:ascii="inter" w:eastAsia="inter" w:hAnsi="inter" w:cs="inter"/>
          <w:i/>
          <w:color w:val="000000"/>
        </w:rPr>
        <w:t>input-like</w:t>
      </w:r>
      <w:r>
        <w:rPr>
          <w:rFonts w:ascii="inter" w:eastAsia="inter" w:hAnsi="inter" w:cs="inter"/>
          <w:color w:val="000000"/>
        </w:rPr>
        <w:t xml:space="preserve"> constraints: even maximal motivation cannot conjure skills or capacity that are not present.</w:t>
      </w:r>
    </w:p>
    <w:p w14:paraId="6DED02E3" w14:textId="77777777" w:rsidR="0062429D" w:rsidRDefault="00000000">
      <w:pPr>
        <w:numPr>
          <w:ilvl w:val="0"/>
          <w:numId w:val="14"/>
        </w:numPr>
        <w:spacing w:before="105" w:after="105" w:line="360" w:lineRule="auto"/>
      </w:pPr>
      <w:r>
        <w:rPr>
          <w:rFonts w:ascii="inter" w:eastAsia="inter" w:hAnsi="inter" w:cs="inter"/>
          <w:color w:val="000000"/>
        </w:rPr>
        <w:t xml:space="preserve">Reserve </w:t>
      </w:r>
      <w:r>
        <w:rPr>
          <w:rFonts w:ascii="inter" w:eastAsia="inter" w:hAnsi="inter" w:cs="inter"/>
          <w:b/>
          <w:color w:val="000000"/>
        </w:rPr>
        <w:t>strategic misallocation and evaluation</w:t>
      </w:r>
      <w:r>
        <w:rPr>
          <w:rFonts w:ascii="inter" w:eastAsia="inter" w:hAnsi="inter" w:cs="inter"/>
          <w:color w:val="000000"/>
        </w:rPr>
        <w:t xml:space="preserve"> (e.g., poor planning because the agent does not deploy existing skills, or distorted evaluation of consequences) for </w:t>
      </w:r>
      <w:r>
        <w:rPr>
          <w:rFonts w:ascii="inter" w:eastAsia="inter" w:hAnsi="inter" w:cs="inter"/>
          <w:i/>
          <w:color w:val="000000"/>
        </w:rPr>
        <w:t>processing</w:t>
      </w:r>
      <w:r>
        <w:rPr>
          <w:rFonts w:ascii="inter" w:eastAsia="inter" w:hAnsi="inter" w:cs="inter"/>
          <w:color w:val="000000"/>
        </w:rPr>
        <w:t xml:space="preserve"> constraints.</w:t>
      </w:r>
    </w:p>
    <w:p w14:paraId="3894B048" w14:textId="77777777" w:rsidR="0062429D" w:rsidRDefault="00000000">
      <w:pPr>
        <w:spacing w:after="210" w:line="360" w:lineRule="auto"/>
      </w:pPr>
      <w:r>
        <w:rPr>
          <w:rFonts w:ascii="inter" w:eastAsia="inter" w:hAnsi="inter" w:cs="inter"/>
          <w:color w:val="000000"/>
        </w:rPr>
        <w:t xml:space="preserve">The COM-B and BCW papers are agnostic about that fine-grained split; they primarily want a tripartite decomposition in which </w:t>
      </w:r>
      <w:r>
        <w:rPr>
          <w:rFonts w:ascii="inter" w:eastAsia="inter" w:hAnsi="inter" w:cs="inter"/>
          <w:b/>
          <w:color w:val="000000"/>
        </w:rPr>
        <w:t>capability and opportunity are constraints on whether motivation can express itself</w:t>
      </w:r>
      <w:r>
        <w:rPr>
          <w:rFonts w:ascii="inter" w:eastAsia="inter" w:hAnsi="inter" w:cs="inter"/>
          <w:color w:val="000000"/>
        </w:rPr>
        <w:t xml:space="preserve">, and </w:t>
      </w:r>
      <w:r>
        <w:rPr>
          <w:rFonts w:ascii="inter" w:eastAsia="inter" w:hAnsi="inter" w:cs="inter"/>
          <w:b/>
          <w:color w:val="000000"/>
        </w:rPr>
        <w:t>motivation is the evaluative/energizing machinery</w:t>
      </w:r>
      <w:r>
        <w:rPr>
          <w:rFonts w:ascii="inter" w:eastAsia="inter" w:hAnsi="inter" w:cs="inter"/>
          <w:color w:val="000000"/>
        </w:rPr>
        <w:t>. That is exactly the structure you are using.</w:t>
      </w:r>
      <w:bookmarkStart w:id="79" w:name="fnref6_4"/>
      <w:bookmarkEnd w:id="79"/>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80" w:name="fnref5_9"/>
      <w:bookmarkEnd w:id="80"/>
      <w:r>
        <w:fldChar w:fldCharType="begin"/>
      </w:r>
      <w:r>
        <w:instrText>HYPERLINK \l "fn5" \h</w:instrText>
      </w:r>
      <w:r>
        <w:fldChar w:fldCharType="separate"/>
      </w:r>
      <w:r>
        <w:rPr>
          <w:rFonts w:ascii="inter" w:eastAsia="inter" w:hAnsi="inter" w:cs="inter"/>
          <w:u w:val="single"/>
          <w:vertAlign w:val="superscript"/>
        </w:rPr>
        <w:t>[5]</w:t>
      </w:r>
      <w:r>
        <w:fldChar w:fldCharType="end"/>
      </w:r>
    </w:p>
    <w:p w14:paraId="3B3B90B3" w14:textId="77777777" w:rsidR="0062429D" w:rsidRDefault="00000000">
      <w:pPr>
        <w:spacing w:before="210" w:after="0" w:line="360" w:lineRule="auto"/>
      </w:pPr>
      <w:r>
        <w:rPr>
          <w:noProof/>
        </w:rPr>
      </w:r>
      <w:r>
        <w:rPr>
          <w:noProof/>
        </w:rPr>
        <w:pict w14:anchorId="36238BD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2AF4FF" w14:textId="77777777" w:rsidR="0062429D" w:rsidRDefault="00000000">
      <w:pPr>
        <w:spacing w:before="315" w:after="105" w:line="360" w:lineRule="auto"/>
        <w:ind w:left="-30"/>
      </w:pPr>
      <w:bookmarkStart w:id="81" w:name="bm_3_can_t_because_the_world_won_b03311"/>
      <w:r>
        <w:rPr>
          <w:rFonts w:ascii="inter" w:eastAsia="inter" w:hAnsi="inter" w:cs="inter"/>
          <w:b/>
          <w:color w:val="000000"/>
          <w:sz w:val="24"/>
        </w:rPr>
        <w:t>(3) “Can’t because the world won’t allow it” vs “can’t because the evaluative system says don’t”</w:t>
      </w:r>
      <w:bookmarkEnd w:id="81"/>
    </w:p>
    <w:p w14:paraId="4605CFE6" w14:textId="77777777" w:rsidR="0062429D" w:rsidRDefault="00000000">
      <w:pPr>
        <w:spacing w:after="210" w:line="360" w:lineRule="auto"/>
      </w:pPr>
      <w:r>
        <w:rPr>
          <w:rFonts w:ascii="inter" w:eastAsia="inter" w:hAnsi="inter" w:cs="inter"/>
          <w:color w:val="000000"/>
        </w:rPr>
        <w:t>Several established frameworks make essentially your distinction, again with different labels.</w:t>
      </w:r>
    </w:p>
    <w:p w14:paraId="68058EBB" w14:textId="77777777" w:rsidR="0062429D" w:rsidRDefault="00000000">
      <w:pPr>
        <w:spacing w:before="315" w:after="105" w:line="360" w:lineRule="auto"/>
        <w:ind w:left="-30"/>
      </w:pPr>
      <w:bookmarkStart w:id="82" w:name="compatibilist_tradition_and_frank_5d7cc4"/>
      <w:r>
        <w:rPr>
          <w:rFonts w:ascii="inter" w:eastAsia="inter" w:hAnsi="inter" w:cs="inter"/>
          <w:b/>
          <w:color w:val="000000"/>
          <w:sz w:val="24"/>
        </w:rPr>
        <w:t>Compatibilist tradition and Frankfurt’s hierarchy</w:t>
      </w:r>
      <w:bookmarkEnd w:id="82"/>
    </w:p>
    <w:p w14:paraId="38419684" w14:textId="77777777" w:rsidR="0062429D" w:rsidRDefault="00000000">
      <w:pPr>
        <w:spacing w:after="210" w:line="360" w:lineRule="auto"/>
      </w:pPr>
      <w:r>
        <w:rPr>
          <w:rFonts w:ascii="inter" w:eastAsia="inter" w:hAnsi="inter" w:cs="inter"/>
          <w:color w:val="000000"/>
        </w:rPr>
        <w:t>The compatibilist tradition, as summarized in the SEP entry, decomposes free action into:</w:t>
      </w:r>
    </w:p>
    <w:p w14:paraId="47382616" w14:textId="77777777" w:rsidR="0062429D" w:rsidRDefault="00000000">
      <w:pPr>
        <w:numPr>
          <w:ilvl w:val="0"/>
          <w:numId w:val="15"/>
        </w:numPr>
        <w:spacing w:before="105" w:after="105" w:line="360" w:lineRule="auto"/>
      </w:pPr>
      <w:r>
        <w:rPr>
          <w:rFonts w:ascii="inter" w:eastAsia="inter" w:hAnsi="inter" w:cs="inter"/>
          <w:color w:val="000000"/>
        </w:rPr>
        <w:t xml:space="preserve">A </w:t>
      </w:r>
      <w:r>
        <w:rPr>
          <w:rFonts w:ascii="inter" w:eastAsia="inter" w:hAnsi="inter" w:cs="inter"/>
          <w:b/>
          <w:color w:val="000000"/>
        </w:rPr>
        <w:t>positive component</w:t>
      </w:r>
      <w:r>
        <w:rPr>
          <w:rFonts w:ascii="inter" w:eastAsia="inter" w:hAnsi="inter" w:cs="inter"/>
          <w:color w:val="000000"/>
        </w:rPr>
        <w:t>: “doing what one wills, desires, or inclines to do.”</w:t>
      </w:r>
    </w:p>
    <w:p w14:paraId="5019F58E" w14:textId="77777777" w:rsidR="0062429D" w:rsidRDefault="00000000">
      <w:pPr>
        <w:numPr>
          <w:ilvl w:val="0"/>
          <w:numId w:val="15"/>
        </w:numPr>
        <w:spacing w:before="105" w:after="105" w:line="360" w:lineRule="auto"/>
      </w:pPr>
      <w:r>
        <w:rPr>
          <w:rFonts w:ascii="inter" w:eastAsia="inter" w:hAnsi="inter" w:cs="inter"/>
          <w:color w:val="000000"/>
        </w:rPr>
        <w:t xml:space="preserve">A </w:t>
      </w:r>
      <w:r>
        <w:rPr>
          <w:rFonts w:ascii="inter" w:eastAsia="inter" w:hAnsi="inter" w:cs="inter"/>
          <w:b/>
          <w:color w:val="000000"/>
        </w:rPr>
        <w:t>negative component</w:t>
      </w:r>
      <w:r>
        <w:rPr>
          <w:rFonts w:ascii="inter" w:eastAsia="inter" w:hAnsi="inter" w:cs="inter"/>
          <w:color w:val="000000"/>
        </w:rPr>
        <w:t>: “acting unencumbered or unimpeded,” where impediments are paradigmatically external compulsions, coercion, or physical constraints.</w:t>
      </w:r>
      <w:bookmarkStart w:id="83" w:name="fnref8_1"/>
      <w:bookmarkEnd w:id="83"/>
      <w:r>
        <w:fldChar w:fldCharType="begin"/>
      </w:r>
      <w:r>
        <w:instrText>HYPERLINK \l "fn8" \h</w:instrText>
      </w:r>
      <w:r>
        <w:fldChar w:fldCharType="separate"/>
      </w:r>
      <w:r>
        <w:rPr>
          <w:rFonts w:ascii="inter" w:eastAsia="inter" w:hAnsi="inter" w:cs="inter"/>
          <w:u w:val="single"/>
          <w:vertAlign w:val="superscript"/>
        </w:rPr>
        <w:t>[8]</w:t>
      </w:r>
      <w:r>
        <w:fldChar w:fldCharType="end"/>
      </w:r>
    </w:p>
    <w:p w14:paraId="0EEE2114" w14:textId="77777777" w:rsidR="0062429D" w:rsidRDefault="00000000">
      <w:pPr>
        <w:spacing w:after="210" w:line="360" w:lineRule="auto"/>
      </w:pPr>
      <w:r>
        <w:rPr>
          <w:rFonts w:ascii="inter" w:eastAsia="inter" w:hAnsi="inter" w:cs="inter"/>
          <w:color w:val="000000"/>
        </w:rPr>
        <w:t>On this view:</w:t>
      </w:r>
    </w:p>
    <w:p w14:paraId="6077C399" w14:textId="77777777" w:rsidR="0062429D" w:rsidRDefault="00000000">
      <w:pPr>
        <w:numPr>
          <w:ilvl w:val="0"/>
          <w:numId w:val="16"/>
        </w:numPr>
        <w:spacing w:before="105" w:after="105" w:line="360" w:lineRule="auto"/>
      </w:pPr>
      <w:r>
        <w:rPr>
          <w:rFonts w:ascii="inter" w:eastAsia="inter" w:hAnsi="inter" w:cs="inter"/>
          <w:color w:val="000000"/>
        </w:rPr>
        <w:t xml:space="preserve">If a person has a settled desire to φ but is physically restrained, intimidated, or otherwise barred, then they </w:t>
      </w:r>
      <w:r>
        <w:rPr>
          <w:rFonts w:ascii="inter" w:eastAsia="inter" w:hAnsi="inter" w:cs="inter"/>
          <w:b/>
          <w:color w:val="000000"/>
        </w:rPr>
        <w:t>“can’t” act because the world will not allow it</w:t>
      </w:r>
      <w:r>
        <w:rPr>
          <w:rFonts w:ascii="inter" w:eastAsia="inter" w:hAnsi="inter" w:cs="inter"/>
          <w:color w:val="000000"/>
        </w:rPr>
        <w:t>, even though the will points toward φ.</w:t>
      </w:r>
    </w:p>
    <w:p w14:paraId="6D979B6C" w14:textId="77777777" w:rsidR="0062429D" w:rsidRDefault="00000000">
      <w:pPr>
        <w:numPr>
          <w:ilvl w:val="0"/>
          <w:numId w:val="16"/>
        </w:numPr>
        <w:spacing w:before="105" w:after="105" w:line="360" w:lineRule="auto"/>
      </w:pPr>
      <w:r>
        <w:rPr>
          <w:rFonts w:ascii="inter" w:eastAsia="inter" w:hAnsi="inter" w:cs="inter"/>
          <w:color w:val="000000"/>
        </w:rPr>
        <w:t xml:space="preserve">If the same external impediments are removed, but all-things-considered the person does not want to φ, then they </w:t>
      </w:r>
      <w:r>
        <w:rPr>
          <w:rFonts w:ascii="inter" w:eastAsia="inter" w:hAnsi="inter" w:cs="inter"/>
          <w:b/>
          <w:color w:val="000000"/>
        </w:rPr>
        <w:t>“won’t” act because the will outputs ‘don’t’</w:t>
      </w:r>
      <w:r>
        <w:rPr>
          <w:rFonts w:ascii="inter" w:eastAsia="inter" w:hAnsi="inter" w:cs="inter"/>
          <w:color w:val="000000"/>
        </w:rPr>
        <w:t>, even though the world would permit it.</w:t>
      </w:r>
    </w:p>
    <w:p w14:paraId="6C326C14" w14:textId="77777777" w:rsidR="0062429D" w:rsidRDefault="00000000">
      <w:pPr>
        <w:spacing w:after="210" w:line="360" w:lineRule="auto"/>
      </w:pPr>
      <w:r>
        <w:rPr>
          <w:rFonts w:ascii="inter" w:eastAsia="inter" w:hAnsi="inter" w:cs="inter"/>
          <w:color w:val="000000"/>
        </w:rPr>
        <w:t>Frankfurt’s own work introduces:</w:t>
      </w:r>
    </w:p>
    <w:p w14:paraId="65692031" w14:textId="77777777" w:rsidR="0062429D" w:rsidRDefault="00000000">
      <w:pPr>
        <w:numPr>
          <w:ilvl w:val="0"/>
          <w:numId w:val="17"/>
        </w:numPr>
        <w:spacing w:before="105" w:after="105" w:line="360" w:lineRule="auto"/>
      </w:pPr>
      <w:r>
        <w:rPr>
          <w:rFonts w:ascii="inter" w:eastAsia="inter" w:hAnsi="inter" w:cs="inter"/>
          <w:color w:val="000000"/>
        </w:rPr>
        <w:t xml:space="preserve">A distinction between </w:t>
      </w:r>
      <w:r>
        <w:rPr>
          <w:rFonts w:ascii="inter" w:eastAsia="inter" w:hAnsi="inter" w:cs="inter"/>
          <w:b/>
          <w:color w:val="000000"/>
        </w:rPr>
        <w:t>freedom of action</w:t>
      </w:r>
      <w:r>
        <w:rPr>
          <w:rFonts w:ascii="inter" w:eastAsia="inter" w:hAnsi="inter" w:cs="inter"/>
          <w:color w:val="000000"/>
        </w:rPr>
        <w:t xml:space="preserve"> (the absence of external impediments to doing what one wants) and </w:t>
      </w:r>
      <w:r>
        <w:rPr>
          <w:rFonts w:ascii="inter" w:eastAsia="inter" w:hAnsi="inter" w:cs="inter"/>
          <w:b/>
          <w:color w:val="000000"/>
        </w:rPr>
        <w:t>freedom of the will</w:t>
      </w:r>
      <w:r>
        <w:rPr>
          <w:rFonts w:ascii="inter" w:eastAsia="inter" w:hAnsi="inter" w:cs="inter"/>
          <w:color w:val="000000"/>
        </w:rPr>
        <w:t xml:space="preserve"> (having one’s effective first-order desires align with one’s preferred higher-order volitions).</w:t>
      </w:r>
      <w:bookmarkStart w:id="84" w:name="fnref28"/>
      <w:bookmarkEnd w:id="84"/>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85" w:name="fnref29"/>
      <w:bookmarkEnd w:id="85"/>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86" w:name="fnref8_2"/>
      <w:bookmarkEnd w:id="86"/>
      <w:r>
        <w:fldChar w:fldCharType="begin"/>
      </w:r>
      <w:r>
        <w:instrText>HYPERLINK \l "fn8" \h</w:instrText>
      </w:r>
      <w:r>
        <w:fldChar w:fldCharType="separate"/>
      </w:r>
      <w:r>
        <w:rPr>
          <w:rFonts w:ascii="inter" w:eastAsia="inter" w:hAnsi="inter" w:cs="inter"/>
          <w:u w:val="single"/>
          <w:vertAlign w:val="superscript"/>
        </w:rPr>
        <w:t>[8]</w:t>
      </w:r>
      <w:r>
        <w:fldChar w:fldCharType="end"/>
      </w:r>
    </w:p>
    <w:p w14:paraId="0D04EB6B" w14:textId="77777777" w:rsidR="0062429D" w:rsidRDefault="00000000">
      <w:pPr>
        <w:spacing w:after="210" w:line="360" w:lineRule="auto"/>
      </w:pPr>
      <w:r>
        <w:rPr>
          <w:rFonts w:ascii="inter" w:eastAsia="inter" w:hAnsi="inter" w:cs="inter"/>
          <w:color w:val="000000"/>
        </w:rPr>
        <w:t>The hierarchical theory of desires emphasises internal structure of the will (first-order vs second-order desires, identification, commitment), while taking for granted that physical and situational impediments can block action irrespective of this structure. In your terms:</w:t>
      </w:r>
      <w:bookmarkStart w:id="87" w:name="fnref29_1"/>
      <w:bookmarkEnd w:id="87"/>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88" w:name="fnref28_1"/>
      <w:bookmarkEnd w:id="88"/>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10C825C4" w14:textId="77777777" w:rsidR="0062429D" w:rsidRDefault="00000000">
      <w:pPr>
        <w:numPr>
          <w:ilvl w:val="0"/>
          <w:numId w:val="18"/>
        </w:numPr>
        <w:spacing w:before="105" w:after="105" w:line="360" w:lineRule="auto"/>
      </w:pPr>
      <w:r>
        <w:rPr>
          <w:rFonts w:ascii="inter" w:eastAsia="inter" w:hAnsi="inter" w:cs="inter"/>
          <w:color w:val="000000"/>
        </w:rPr>
        <w:t xml:space="preserve">Freedom of action is limited by </w:t>
      </w:r>
      <w:r>
        <w:rPr>
          <w:rFonts w:ascii="inter" w:eastAsia="inter" w:hAnsi="inter" w:cs="inter"/>
          <w:b/>
          <w:color w:val="000000"/>
        </w:rPr>
        <w:t>input-like constraints</w:t>
      </w:r>
      <w:r>
        <w:rPr>
          <w:rFonts w:ascii="inter" w:eastAsia="inter" w:hAnsi="inter" w:cs="inter"/>
          <w:color w:val="000000"/>
        </w:rPr>
        <w:t xml:space="preserve"> (bodily and environmental).</w:t>
      </w:r>
    </w:p>
    <w:p w14:paraId="695D8506" w14:textId="77777777" w:rsidR="0062429D" w:rsidRDefault="00000000">
      <w:pPr>
        <w:numPr>
          <w:ilvl w:val="0"/>
          <w:numId w:val="18"/>
        </w:numPr>
        <w:spacing w:before="105" w:after="105" w:line="360" w:lineRule="auto"/>
      </w:pPr>
      <w:r>
        <w:rPr>
          <w:rFonts w:ascii="inter" w:eastAsia="inter" w:hAnsi="inter" w:cs="inter"/>
          <w:color w:val="000000"/>
        </w:rPr>
        <w:t xml:space="preserve">Freedom of will is limited by </w:t>
      </w:r>
      <w:r>
        <w:rPr>
          <w:rFonts w:ascii="inter" w:eastAsia="inter" w:hAnsi="inter" w:cs="inter"/>
          <w:b/>
          <w:color w:val="000000"/>
        </w:rPr>
        <w:t>processing constraints</w:t>
      </w:r>
      <w:r>
        <w:rPr>
          <w:rFonts w:ascii="inter" w:eastAsia="inter" w:hAnsi="inter" w:cs="inter"/>
          <w:color w:val="000000"/>
        </w:rPr>
        <w:t xml:space="preserve"> (failures of the evaluative system to align with the agent’s reflective standpoint).</w:t>
      </w:r>
    </w:p>
    <w:p w14:paraId="43C5398E" w14:textId="77777777" w:rsidR="0062429D" w:rsidRDefault="00000000">
      <w:pPr>
        <w:spacing w:before="315" w:after="105" w:line="360" w:lineRule="auto"/>
        <w:ind w:left="-30"/>
      </w:pPr>
      <w:bookmarkStart w:id="89" w:name="weakness_of_will_compulsion_and_i_735962"/>
      <w:r>
        <w:rPr>
          <w:rFonts w:ascii="inter" w:eastAsia="inter" w:hAnsi="inter" w:cs="inter"/>
          <w:b/>
          <w:color w:val="000000"/>
          <w:sz w:val="24"/>
        </w:rPr>
        <w:t>Weakness of will, compulsion, and internal vs external constraint</w:t>
      </w:r>
      <w:bookmarkEnd w:id="89"/>
    </w:p>
    <w:p w14:paraId="003DD887" w14:textId="77777777" w:rsidR="0062429D" w:rsidRDefault="00000000">
      <w:pPr>
        <w:spacing w:after="210" w:line="360" w:lineRule="auto"/>
      </w:pPr>
      <w:r>
        <w:rPr>
          <w:rFonts w:ascii="inter" w:eastAsia="inter" w:hAnsi="inter" w:cs="inter"/>
          <w:color w:val="000000"/>
        </w:rPr>
        <w:t>The SEP entry on weakness of will distinguishes:</w:t>
      </w:r>
    </w:p>
    <w:p w14:paraId="5FA861A6" w14:textId="77777777" w:rsidR="0062429D" w:rsidRDefault="00000000">
      <w:pPr>
        <w:numPr>
          <w:ilvl w:val="0"/>
          <w:numId w:val="19"/>
        </w:numPr>
        <w:spacing w:before="105" w:after="105" w:line="360" w:lineRule="auto"/>
      </w:pPr>
      <w:r>
        <w:rPr>
          <w:rFonts w:ascii="inter" w:eastAsia="inter" w:hAnsi="inter" w:cs="inter"/>
          <w:color w:val="000000"/>
        </w:rPr>
        <w:t>Cases where an agent acts against her all-things-considered judgement (akrasia/weakness), where the constraint is internal conflict among motivational states.</w:t>
      </w:r>
      <w:bookmarkStart w:id="90" w:name="fnref30"/>
      <w:bookmarkEnd w:id="90"/>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59B6F665" w14:textId="77777777" w:rsidR="0062429D" w:rsidRDefault="00000000">
      <w:pPr>
        <w:numPr>
          <w:ilvl w:val="0"/>
          <w:numId w:val="19"/>
        </w:numPr>
        <w:spacing w:before="105" w:after="105" w:line="360" w:lineRule="auto"/>
      </w:pPr>
      <w:r>
        <w:rPr>
          <w:rFonts w:ascii="inter" w:eastAsia="inter" w:hAnsi="inter" w:cs="inter"/>
          <w:color w:val="000000"/>
        </w:rPr>
        <w:t>Cases of compulsion, where motivational processes are so abnormal or overpowering that agency is compromised.</w:t>
      </w:r>
      <w:bookmarkStart w:id="91" w:name="fnref31"/>
      <w:bookmarkEnd w:id="91"/>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5B1767CB" w14:textId="77777777" w:rsidR="0062429D" w:rsidRDefault="00000000">
      <w:pPr>
        <w:spacing w:after="210" w:line="360" w:lineRule="auto"/>
      </w:pPr>
      <w:r>
        <w:rPr>
          <w:rFonts w:ascii="inter" w:eastAsia="inter" w:hAnsi="inter" w:cs="inter"/>
          <w:color w:val="000000"/>
        </w:rPr>
        <w:t xml:space="preserve">These accounts focus on </w:t>
      </w:r>
      <w:r>
        <w:rPr>
          <w:rFonts w:ascii="inter" w:eastAsia="inter" w:hAnsi="inter" w:cs="inter"/>
          <w:b/>
          <w:color w:val="000000"/>
        </w:rPr>
        <w:t>the internal organization of motivation and evaluation</w:t>
      </w:r>
      <w:r>
        <w:rPr>
          <w:rFonts w:ascii="inter" w:eastAsia="inter" w:hAnsi="inter" w:cs="inter"/>
          <w:color w:val="000000"/>
        </w:rPr>
        <w:t>, assuming background physical and situational feasibility. Again, this is your “processing constraint” side: nothing in the world forbids the healthier choice, but the evaluative system outputs “don’t.”</w:t>
      </w:r>
    </w:p>
    <w:p w14:paraId="2BF5AE30" w14:textId="77777777" w:rsidR="0062429D" w:rsidRDefault="00000000">
      <w:pPr>
        <w:spacing w:before="315" w:after="105" w:line="360" w:lineRule="auto"/>
        <w:ind w:left="-30"/>
      </w:pPr>
      <w:bookmarkStart w:id="92" w:name="rational_choice_feasibility_const_4d1eb9"/>
      <w:r>
        <w:rPr>
          <w:rFonts w:ascii="inter" w:eastAsia="inter" w:hAnsi="inter" w:cs="inter"/>
          <w:b/>
          <w:color w:val="000000"/>
          <w:sz w:val="24"/>
        </w:rPr>
        <w:t>Rational choice: feasibility constraints vs preferences</w:t>
      </w:r>
      <w:bookmarkEnd w:id="92"/>
    </w:p>
    <w:p w14:paraId="0B28404E" w14:textId="77777777" w:rsidR="0062429D" w:rsidRDefault="00000000">
      <w:pPr>
        <w:spacing w:after="210" w:line="360" w:lineRule="auto"/>
      </w:pPr>
      <w:r>
        <w:rPr>
          <w:rFonts w:ascii="inter" w:eastAsia="inter" w:hAnsi="inter" w:cs="inter"/>
          <w:color w:val="000000"/>
        </w:rPr>
        <w:t>Mainstream rational choice theory in economics formalises exactly this split:</w:t>
      </w:r>
    </w:p>
    <w:p w14:paraId="2237B426" w14:textId="77777777" w:rsidR="0062429D" w:rsidRDefault="00000000">
      <w:pPr>
        <w:numPr>
          <w:ilvl w:val="0"/>
          <w:numId w:val="20"/>
        </w:numPr>
        <w:spacing w:before="105" w:after="105" w:line="360" w:lineRule="auto"/>
      </w:pPr>
      <w:r>
        <w:rPr>
          <w:rFonts w:ascii="inter" w:eastAsia="inter" w:hAnsi="inter" w:cs="inter"/>
          <w:color w:val="000000"/>
        </w:rPr>
        <w:t xml:space="preserve">Choices are determined by </w:t>
      </w:r>
      <w:r>
        <w:rPr>
          <w:rFonts w:ascii="inter" w:eastAsia="inter" w:hAnsi="inter" w:cs="inter"/>
          <w:b/>
          <w:color w:val="000000"/>
        </w:rPr>
        <w:t>feasibility constraints</w:t>
      </w:r>
      <w:r>
        <w:rPr>
          <w:rFonts w:ascii="inter" w:eastAsia="inter" w:hAnsi="inter" w:cs="inter"/>
          <w:color w:val="000000"/>
        </w:rPr>
        <w:t xml:space="preserve"> and by an internal </w:t>
      </w:r>
      <w:r>
        <w:rPr>
          <w:rFonts w:ascii="inter" w:eastAsia="inter" w:hAnsi="inter" w:cs="inter"/>
          <w:b/>
          <w:color w:val="000000"/>
        </w:rPr>
        <w:t>preference ordering</w:t>
      </w:r>
      <w:r>
        <w:rPr>
          <w:rFonts w:ascii="inter" w:eastAsia="inter" w:hAnsi="inter" w:cs="inter"/>
          <w:color w:val="000000"/>
        </w:rPr>
        <w:t>.</w:t>
      </w:r>
    </w:p>
    <w:p w14:paraId="4E06D80A" w14:textId="77777777" w:rsidR="0062429D" w:rsidRDefault="00000000">
      <w:pPr>
        <w:numPr>
          <w:ilvl w:val="0"/>
          <w:numId w:val="20"/>
        </w:numPr>
        <w:spacing w:before="105" w:after="105" w:line="360" w:lineRule="auto"/>
      </w:pPr>
      <w:r>
        <w:rPr>
          <w:rFonts w:ascii="inter" w:eastAsia="inter" w:hAnsi="inter" w:cs="inter"/>
          <w:color w:val="000000"/>
        </w:rPr>
        <w:t>A standard introduction states that rational choice is “determining what options are available and then choosing the most preferred one according to some consistent criterion.”</w:t>
      </w:r>
      <w:bookmarkStart w:id="93" w:name="fnref10_1"/>
      <w:bookmarkEnd w:id="9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779AE759" w14:textId="77777777" w:rsidR="0062429D" w:rsidRDefault="00000000">
      <w:pPr>
        <w:numPr>
          <w:ilvl w:val="0"/>
          <w:numId w:val="20"/>
        </w:numPr>
        <w:spacing w:before="105" w:after="105" w:line="360" w:lineRule="auto"/>
      </w:pPr>
      <w:r>
        <w:rPr>
          <w:rFonts w:ascii="inter" w:eastAsia="inter" w:hAnsi="inter" w:cs="inter"/>
          <w:color w:val="000000"/>
        </w:rPr>
        <w:t xml:space="preserve">A recent overview sums this up as choices being determined by </w:t>
      </w:r>
      <w:r>
        <w:rPr>
          <w:rFonts w:ascii="inter" w:eastAsia="inter" w:hAnsi="inter" w:cs="inter"/>
          <w:b/>
          <w:color w:val="000000"/>
        </w:rPr>
        <w:t>physical constraints, beliefs (or expectations), and preferences</w:t>
      </w:r>
      <w:r>
        <w:rPr>
          <w:rFonts w:ascii="inter" w:eastAsia="inter" w:hAnsi="inter" w:cs="inter"/>
          <w:color w:val="000000"/>
        </w:rPr>
        <w:t>.</w:t>
      </w:r>
      <w:bookmarkStart w:id="94" w:name="fnref11_1"/>
      <w:bookmarkEnd w:id="94"/>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0CAA3ADF" w14:textId="77777777" w:rsidR="0062429D" w:rsidRDefault="00000000">
      <w:pPr>
        <w:spacing w:after="210" w:line="360" w:lineRule="auto"/>
      </w:pPr>
      <w:r>
        <w:rPr>
          <w:rFonts w:ascii="inter" w:eastAsia="inter" w:hAnsi="inter" w:cs="inter"/>
          <w:color w:val="000000"/>
        </w:rPr>
        <w:t>In that language:</w:t>
      </w:r>
    </w:p>
    <w:p w14:paraId="79A12219" w14:textId="77777777" w:rsidR="0062429D" w:rsidRDefault="00000000">
      <w:pPr>
        <w:numPr>
          <w:ilvl w:val="0"/>
          <w:numId w:val="21"/>
        </w:numPr>
        <w:spacing w:before="105" w:after="105" w:line="360" w:lineRule="auto"/>
      </w:pPr>
      <w:r>
        <w:rPr>
          <w:rFonts w:ascii="inter" w:eastAsia="inter" w:hAnsi="inter" w:cs="inter"/>
          <w:color w:val="000000"/>
        </w:rPr>
        <w:t xml:space="preserve">Physical constraints and institutional/market constraints define the </w:t>
      </w:r>
      <w:r>
        <w:rPr>
          <w:rFonts w:ascii="inter" w:eastAsia="inter" w:hAnsi="inter" w:cs="inter"/>
          <w:b/>
          <w:color w:val="000000"/>
        </w:rPr>
        <w:t>feasible set</w:t>
      </w:r>
      <w:r>
        <w:rPr>
          <w:rFonts w:ascii="inter" w:eastAsia="inter" w:hAnsi="inter" w:cs="inter"/>
          <w:color w:val="000000"/>
        </w:rPr>
        <w:t>—your input constraints. One cannot choose an option outside this set, regardless of how strong the preference for it is.</w:t>
      </w:r>
    </w:p>
    <w:p w14:paraId="35A615EA" w14:textId="77777777" w:rsidR="0062429D" w:rsidRDefault="00000000">
      <w:pPr>
        <w:numPr>
          <w:ilvl w:val="0"/>
          <w:numId w:val="21"/>
        </w:numPr>
        <w:spacing w:before="105" w:after="105" w:line="360" w:lineRule="auto"/>
      </w:pPr>
      <w:r>
        <w:rPr>
          <w:rFonts w:ascii="inter" w:eastAsia="inter" w:hAnsi="inter" w:cs="inter"/>
          <w:color w:val="000000"/>
        </w:rPr>
        <w:t xml:space="preserve">Preferences (and beliefs) define the </w:t>
      </w:r>
      <w:r>
        <w:rPr>
          <w:rFonts w:ascii="inter" w:eastAsia="inter" w:hAnsi="inter" w:cs="inter"/>
          <w:b/>
          <w:color w:val="000000"/>
        </w:rPr>
        <w:t>evaluation and selection among feasible options</w:t>
      </w:r>
      <w:r>
        <w:rPr>
          <w:rFonts w:ascii="inter" w:eastAsia="inter" w:hAnsi="inter" w:cs="inter"/>
          <w:color w:val="000000"/>
        </w:rPr>
        <w:t>—your processing constraints.</w:t>
      </w:r>
    </w:p>
    <w:p w14:paraId="3FA37D29" w14:textId="77777777" w:rsidR="0062429D" w:rsidRDefault="00000000">
      <w:pPr>
        <w:spacing w:after="210" w:line="360" w:lineRule="auto"/>
      </w:pPr>
      <w:r>
        <w:rPr>
          <w:rFonts w:ascii="inter" w:eastAsia="inter" w:hAnsi="inter" w:cs="inter"/>
          <w:color w:val="000000"/>
        </w:rPr>
        <w:t>Your “maximum motivation” test corresponds directly to the standard conditional analysis of “could have done otherwise”: had the agent willed differently, and if the option was in the feasible set, the agent would have acted differently. Where changing the will would not have changed the outcome, the constraint lies outside the evaluative system.</w:t>
      </w:r>
    </w:p>
    <w:p w14:paraId="7E056ED9" w14:textId="77777777" w:rsidR="0062429D" w:rsidRDefault="00000000">
      <w:pPr>
        <w:spacing w:before="315" w:after="105" w:line="360" w:lineRule="auto"/>
        <w:ind w:left="-30"/>
      </w:pPr>
      <w:bookmarkStart w:id="95" w:name="comparative_cognition_unwilling_v_c6bb27"/>
      <w:r>
        <w:rPr>
          <w:rFonts w:ascii="inter" w:eastAsia="inter" w:hAnsi="inter" w:cs="inter"/>
          <w:b/>
          <w:color w:val="000000"/>
          <w:sz w:val="24"/>
        </w:rPr>
        <w:t>Comparative cognition: “unwilling” vs “unable”</w:t>
      </w:r>
      <w:bookmarkEnd w:id="95"/>
    </w:p>
    <w:p w14:paraId="317A7CAF" w14:textId="77777777" w:rsidR="0062429D" w:rsidRDefault="00000000">
      <w:pPr>
        <w:spacing w:after="210" w:line="360" w:lineRule="auto"/>
      </w:pPr>
      <w:r>
        <w:rPr>
          <w:rFonts w:ascii="inter" w:eastAsia="inter" w:hAnsi="inter" w:cs="inter"/>
          <w:color w:val="000000"/>
        </w:rPr>
        <w:t>Experimental work with nonhuman primates also treats this distinction as psychologically real. In a classic study, researchers distinguished:</w:t>
      </w:r>
    </w:p>
    <w:p w14:paraId="430E172C" w14:textId="77777777" w:rsidR="0062429D" w:rsidRDefault="00000000">
      <w:pPr>
        <w:numPr>
          <w:ilvl w:val="0"/>
          <w:numId w:val="22"/>
        </w:numPr>
        <w:spacing w:before="105" w:after="105" w:line="360" w:lineRule="auto"/>
      </w:pPr>
      <w:r>
        <w:rPr>
          <w:rFonts w:ascii="inter" w:eastAsia="inter" w:hAnsi="inter" w:cs="inter"/>
          <w:color w:val="000000"/>
        </w:rPr>
        <w:t xml:space="preserve">Conditions where an experimenter is </w:t>
      </w:r>
      <w:r>
        <w:rPr>
          <w:rFonts w:ascii="inter" w:eastAsia="inter" w:hAnsi="inter" w:cs="inter"/>
          <w:b/>
          <w:color w:val="000000"/>
        </w:rPr>
        <w:t>unable</w:t>
      </w:r>
      <w:r>
        <w:rPr>
          <w:rFonts w:ascii="inter" w:eastAsia="inter" w:hAnsi="inter" w:cs="inter"/>
          <w:color w:val="000000"/>
        </w:rPr>
        <w:t xml:space="preserve"> to pass food (physical barrier or clumsiness).</w:t>
      </w:r>
    </w:p>
    <w:p w14:paraId="0E9BC569" w14:textId="77777777" w:rsidR="0062429D" w:rsidRDefault="00000000">
      <w:pPr>
        <w:numPr>
          <w:ilvl w:val="0"/>
          <w:numId w:val="22"/>
        </w:numPr>
        <w:spacing w:before="105" w:after="105" w:line="360" w:lineRule="auto"/>
      </w:pPr>
      <w:r>
        <w:rPr>
          <w:rFonts w:ascii="inter" w:eastAsia="inter" w:hAnsi="inter" w:cs="inter"/>
          <w:color w:val="000000"/>
        </w:rPr>
        <w:t xml:space="preserve">Conditions where the experimenter is </w:t>
      </w:r>
      <w:r>
        <w:rPr>
          <w:rFonts w:ascii="inter" w:eastAsia="inter" w:hAnsi="inter" w:cs="inter"/>
          <w:b/>
          <w:color w:val="000000"/>
        </w:rPr>
        <w:t>unwilling</w:t>
      </w:r>
      <w:r>
        <w:rPr>
          <w:rFonts w:ascii="inter" w:eastAsia="inter" w:hAnsi="inter" w:cs="inter"/>
          <w:color w:val="000000"/>
        </w:rPr>
        <w:t xml:space="preserve"> (teasing, deliberate withholding).</w:t>
      </w:r>
    </w:p>
    <w:p w14:paraId="08F0F922" w14:textId="77777777" w:rsidR="0062429D" w:rsidRDefault="00000000">
      <w:pPr>
        <w:spacing w:after="210" w:line="360" w:lineRule="auto"/>
      </w:pPr>
      <w:r>
        <w:rPr>
          <w:rFonts w:ascii="inter" w:eastAsia="inter" w:hAnsi="inter" w:cs="inter"/>
          <w:color w:val="000000"/>
        </w:rPr>
        <w:t>Tonkean macaques responded differently: they waited longer and showed more frustration in the “unwilling” condition, indicating sensitivity to the difference between external impossibility and an agent’s internal refusal. This is a behavioural-level analogue of your “world won’t allow it” vs “evaluative system outputs ‘don’t’.”</w:t>
      </w:r>
      <w:bookmarkStart w:id="96" w:name="fnref9_1"/>
      <w:bookmarkEnd w:id="9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F92325E" w14:textId="77777777" w:rsidR="0062429D" w:rsidRDefault="00000000">
      <w:pPr>
        <w:spacing w:before="315" w:after="105" w:line="360" w:lineRule="auto"/>
        <w:ind w:left="-30"/>
      </w:pPr>
      <w:bookmarkStart w:id="97" w:name="cognitive_neuroscience_of_can_vs_will"/>
      <w:r>
        <w:rPr>
          <w:rFonts w:ascii="inter" w:eastAsia="inter" w:hAnsi="inter" w:cs="inter"/>
          <w:b/>
          <w:color w:val="000000"/>
          <w:sz w:val="24"/>
        </w:rPr>
        <w:t>Cognitive neuroscience of “can” vs “will”</w:t>
      </w:r>
      <w:bookmarkEnd w:id="97"/>
    </w:p>
    <w:p w14:paraId="46A30FA6" w14:textId="77777777" w:rsidR="0062429D" w:rsidRDefault="00000000">
      <w:pPr>
        <w:spacing w:after="210" w:line="360" w:lineRule="auto"/>
      </w:pPr>
      <w:r>
        <w:rPr>
          <w:rFonts w:ascii="inter" w:eastAsia="inter" w:hAnsi="inter" w:cs="inter"/>
          <w:color w:val="000000"/>
        </w:rPr>
        <w:t>The BG/STN work discussed earlier plays a bridging role between philosophy and neuroscience:</w:t>
      </w:r>
    </w:p>
    <w:p w14:paraId="789C226D" w14:textId="77777777" w:rsidR="0062429D" w:rsidRDefault="00000000">
      <w:pPr>
        <w:numPr>
          <w:ilvl w:val="0"/>
          <w:numId w:val="23"/>
        </w:numPr>
        <w:spacing w:before="105" w:after="105" w:line="360" w:lineRule="auto"/>
      </w:pPr>
      <w:r>
        <w:rPr>
          <w:rFonts w:ascii="inter" w:eastAsia="inter" w:hAnsi="inter" w:cs="inter"/>
          <w:color w:val="000000"/>
        </w:rPr>
        <w:t xml:space="preserve">Studies using deep brain stimulation and imaging have repeatedly linked </w:t>
      </w:r>
      <w:r>
        <w:rPr>
          <w:rFonts w:ascii="inter" w:eastAsia="inter" w:hAnsi="inter" w:cs="inter"/>
          <w:b/>
          <w:color w:val="000000"/>
        </w:rPr>
        <w:t>STN activity</w:t>
      </w:r>
      <w:r>
        <w:rPr>
          <w:rFonts w:ascii="inter" w:eastAsia="inter" w:hAnsi="inter" w:cs="inter"/>
          <w:color w:val="000000"/>
        </w:rPr>
        <w:t xml:space="preserve"> to increases in decision thresholds during conflict or when there are multiple alternatives, slowing responses to prevent impulsive actions.</w:t>
      </w:r>
      <w:bookmarkStart w:id="98" w:name="fnref23_1"/>
      <w:bookmarkEnd w:id="98"/>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99" w:name="fnref15_3"/>
      <w:bookmarkEnd w:id="99"/>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00" w:name="fnref22_1"/>
      <w:bookmarkEnd w:id="100"/>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101" w:name="fnref4_4"/>
      <w:bookmarkEnd w:id="101"/>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8E1A89C" w14:textId="77777777" w:rsidR="0062429D" w:rsidRDefault="00000000">
      <w:pPr>
        <w:numPr>
          <w:ilvl w:val="0"/>
          <w:numId w:val="23"/>
        </w:numPr>
        <w:spacing w:before="105" w:after="105" w:line="360" w:lineRule="auto"/>
      </w:pPr>
      <w:r>
        <w:rPr>
          <w:rFonts w:ascii="inter" w:eastAsia="inter" w:hAnsi="inter" w:cs="inter"/>
          <w:color w:val="000000"/>
        </w:rPr>
        <w:t>These models explicitly treat:</w:t>
      </w:r>
    </w:p>
    <w:p w14:paraId="240E29A3" w14:textId="77777777" w:rsidR="0062429D" w:rsidRDefault="00000000">
      <w:pPr>
        <w:numPr>
          <w:ilvl w:val="1"/>
          <w:numId w:val="23"/>
        </w:numPr>
        <w:spacing w:before="105" w:after="105" w:line="360" w:lineRule="auto"/>
      </w:pPr>
      <w:r>
        <w:rPr>
          <w:rFonts w:ascii="inter" w:eastAsia="inter" w:hAnsi="inter" w:cs="inter"/>
          <w:b/>
          <w:color w:val="000000"/>
        </w:rPr>
        <w:t>Sensory and value evidence</w:t>
      </w:r>
      <w:r>
        <w:rPr>
          <w:rFonts w:ascii="inter" w:eastAsia="inter" w:hAnsi="inter" w:cs="inter"/>
          <w:color w:val="000000"/>
        </w:rPr>
        <w:t xml:space="preserve"> as inputs to cortical and striatal accumulators (what is objectively possible and how good it is).</w:t>
      </w:r>
    </w:p>
    <w:p w14:paraId="4E601833" w14:textId="77777777" w:rsidR="0062429D" w:rsidRDefault="00000000">
      <w:pPr>
        <w:numPr>
          <w:ilvl w:val="1"/>
          <w:numId w:val="23"/>
        </w:numPr>
        <w:spacing w:before="105" w:after="105" w:line="360" w:lineRule="auto"/>
      </w:pPr>
      <w:r>
        <w:rPr>
          <w:rFonts w:ascii="inter" w:eastAsia="inter" w:hAnsi="inter" w:cs="inter"/>
          <w:b/>
          <w:color w:val="000000"/>
        </w:rPr>
        <w:t>STN/GPi-mediated threshold control</w:t>
      </w:r>
      <w:r>
        <w:rPr>
          <w:rFonts w:ascii="inter" w:eastAsia="inter" w:hAnsi="inter" w:cs="inter"/>
          <w:color w:val="000000"/>
        </w:rPr>
        <w:t xml:space="preserve"> as setting the </w:t>
      </w:r>
      <w:r>
        <w:rPr>
          <w:rFonts w:ascii="inter" w:eastAsia="inter" w:hAnsi="inter" w:cs="inter"/>
          <w:i/>
          <w:color w:val="000000"/>
        </w:rPr>
        <w:t>policy</w:t>
      </w:r>
      <w:r>
        <w:rPr>
          <w:rFonts w:ascii="inter" w:eastAsia="inter" w:hAnsi="inter" w:cs="inter"/>
          <w:color w:val="000000"/>
        </w:rPr>
        <w:t xml:space="preserve"> for when enough evidence has accumulated to act (how willing the system is to commit).</w:t>
      </w:r>
      <w:bookmarkStart w:id="102" w:name="fnref1_3"/>
      <w:bookmarkEnd w:id="10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03" w:name="fnref3_5"/>
      <w:bookmarkEnd w:id="10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04" w:name="fnref23_2"/>
      <w:bookmarkEnd w:id="104"/>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105" w:name="fnref4_5"/>
      <w:bookmarkEnd w:id="10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78D2907" w14:textId="77777777" w:rsidR="0062429D" w:rsidRDefault="00000000">
      <w:pPr>
        <w:spacing w:after="210" w:line="360" w:lineRule="auto"/>
      </w:pPr>
      <w:r>
        <w:rPr>
          <w:rFonts w:ascii="inter" w:eastAsia="inter" w:hAnsi="inter" w:cs="inter"/>
          <w:color w:val="000000"/>
        </w:rPr>
        <w:t>Under constant inputs, increasing thresholds corresponds to the system internally deciding “not yet” or effectively “don’t”—a processing constraint. Under constant thresholds, removing options from the input (e.g., via lesion, environmental change) is a pure input constraint.</w:t>
      </w:r>
    </w:p>
    <w:p w14:paraId="5D6BDCD7" w14:textId="77777777" w:rsidR="0062429D" w:rsidRDefault="00000000">
      <w:pPr>
        <w:spacing w:before="210" w:after="0" w:line="360" w:lineRule="auto"/>
      </w:pPr>
      <w:r>
        <w:rPr>
          <w:noProof/>
        </w:rPr>
      </w:r>
      <w:r>
        <w:rPr>
          <w:noProof/>
        </w:rPr>
        <w:pict w14:anchorId="11BC857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040225" w14:textId="77777777" w:rsidR="0062429D" w:rsidRDefault="00000000">
      <w:pPr>
        <w:spacing w:before="315" w:after="105" w:line="360" w:lineRule="auto"/>
        <w:ind w:left="-30"/>
      </w:pPr>
      <w:bookmarkStart w:id="106" w:name="pulling_it_together_for_your_model"/>
      <w:r>
        <w:rPr>
          <w:rFonts w:ascii="inter" w:eastAsia="inter" w:hAnsi="inter" w:cs="inter"/>
          <w:b/>
          <w:color w:val="000000"/>
          <w:sz w:val="24"/>
        </w:rPr>
        <w:t>Pulling it together for your model</w:t>
      </w:r>
      <w:bookmarkEnd w:id="106"/>
    </w:p>
    <w:p w14:paraId="4AD2F758" w14:textId="77777777" w:rsidR="0062429D" w:rsidRDefault="00000000">
      <w:pPr>
        <w:spacing w:after="210" w:line="360" w:lineRule="auto"/>
      </w:pPr>
      <w:r>
        <w:rPr>
          <w:rFonts w:ascii="inter" w:eastAsia="inter" w:hAnsi="inter" w:cs="inter"/>
          <w:color w:val="000000"/>
        </w:rPr>
        <w:t>Across these literatures, there is a consistent pattern:</w:t>
      </w:r>
    </w:p>
    <w:p w14:paraId="1A67C3C3" w14:textId="77777777" w:rsidR="0062429D" w:rsidRDefault="00000000">
      <w:pPr>
        <w:numPr>
          <w:ilvl w:val="0"/>
          <w:numId w:val="24"/>
        </w:numPr>
        <w:spacing w:after="210" w:line="360" w:lineRule="auto"/>
      </w:pPr>
      <w:r>
        <w:rPr>
          <w:rFonts w:ascii="inter" w:eastAsia="inter" w:hAnsi="inter" w:cs="inter"/>
          <w:b/>
          <w:color w:val="000000"/>
        </w:rPr>
        <w:t>Input-like constraints</w:t>
      </w:r>
    </w:p>
    <w:p w14:paraId="19CDCCAF" w14:textId="77777777" w:rsidR="0062429D" w:rsidRDefault="00000000">
      <w:pPr>
        <w:numPr>
          <w:ilvl w:val="1"/>
          <w:numId w:val="24"/>
        </w:numPr>
        <w:spacing w:before="105" w:after="105" w:line="360" w:lineRule="auto"/>
      </w:pPr>
      <w:r>
        <w:rPr>
          <w:rFonts w:ascii="inter" w:eastAsia="inter" w:hAnsi="inter" w:cs="inter"/>
          <w:color w:val="000000"/>
        </w:rPr>
        <w:t>In COM-B: capability (physical/psychological) and opportunity (physical/social) acting as logic gates on motivation.</w:t>
      </w:r>
      <w:bookmarkStart w:id="107" w:name="fnref5_10"/>
      <w:bookmarkEnd w:id="107"/>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08" w:name="fnref6_5"/>
      <w:bookmarkEnd w:id="10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09" w:name="fnref7_8"/>
      <w:bookmarkEnd w:id="109"/>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7321BF0" w14:textId="77777777" w:rsidR="0062429D" w:rsidRDefault="00000000">
      <w:pPr>
        <w:numPr>
          <w:ilvl w:val="1"/>
          <w:numId w:val="24"/>
        </w:numPr>
        <w:spacing w:before="105" w:after="105" w:line="360" w:lineRule="auto"/>
      </w:pPr>
      <w:r>
        <w:rPr>
          <w:rFonts w:ascii="inter" w:eastAsia="inter" w:hAnsi="inter" w:cs="inter"/>
          <w:color w:val="000000"/>
        </w:rPr>
        <w:t>In rational choice: feasibility constraints and physical constraints that determine the choice set.</w:t>
      </w:r>
      <w:bookmarkStart w:id="110" w:name="fnref10_2"/>
      <w:bookmarkEnd w:id="110"/>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11" w:name="fnref11_2"/>
      <w:bookmarkEnd w:id="11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286668CE" w14:textId="77777777" w:rsidR="0062429D" w:rsidRDefault="00000000">
      <w:pPr>
        <w:numPr>
          <w:ilvl w:val="1"/>
          <w:numId w:val="24"/>
        </w:numPr>
        <w:spacing w:before="105" w:after="105" w:line="360" w:lineRule="auto"/>
      </w:pPr>
      <w:r>
        <w:rPr>
          <w:rFonts w:ascii="inter" w:eastAsia="inter" w:hAnsi="inter" w:cs="inter"/>
          <w:color w:val="000000"/>
        </w:rPr>
        <w:t>In BG models: sensory, contextual, and value representations that determine drift/evidence and even which actions are representable.</w:t>
      </w:r>
      <w:bookmarkStart w:id="112" w:name="fnref17_2"/>
      <w:bookmarkEnd w:id="112"/>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13" w:name="fnref2_4"/>
      <w:bookmarkEnd w:id="11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14" w:name="fnref16_2"/>
      <w:bookmarkEnd w:id="114"/>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7BCF7D86" w14:textId="77777777" w:rsidR="0062429D" w:rsidRDefault="00000000">
      <w:pPr>
        <w:numPr>
          <w:ilvl w:val="1"/>
          <w:numId w:val="24"/>
        </w:numPr>
        <w:spacing w:before="105" w:after="105" w:line="360" w:lineRule="auto"/>
      </w:pPr>
      <w:r>
        <w:rPr>
          <w:rFonts w:ascii="inter" w:eastAsia="inter" w:hAnsi="inter" w:cs="inter"/>
          <w:color w:val="000000"/>
        </w:rPr>
        <w:t>In philosophy: the “negative” component of freedom—absence of external impediments or compulsion.</w:t>
      </w:r>
      <w:bookmarkStart w:id="115" w:name="fnref8_3"/>
      <w:bookmarkEnd w:id="115"/>
      <w:r>
        <w:fldChar w:fldCharType="begin"/>
      </w:r>
      <w:r>
        <w:instrText>HYPERLINK \l "fn8" \h</w:instrText>
      </w:r>
      <w:r>
        <w:fldChar w:fldCharType="separate"/>
      </w:r>
      <w:r>
        <w:rPr>
          <w:rFonts w:ascii="inter" w:eastAsia="inter" w:hAnsi="inter" w:cs="inter"/>
          <w:u w:val="single"/>
          <w:vertAlign w:val="superscript"/>
        </w:rPr>
        <w:t>[8]</w:t>
      </w:r>
      <w:r>
        <w:fldChar w:fldCharType="end"/>
      </w:r>
    </w:p>
    <w:p w14:paraId="620F83F3" w14:textId="77777777" w:rsidR="0062429D" w:rsidRDefault="00000000">
      <w:pPr>
        <w:numPr>
          <w:ilvl w:val="0"/>
          <w:numId w:val="24"/>
        </w:numPr>
        <w:spacing w:after="210" w:line="360" w:lineRule="auto"/>
      </w:pPr>
      <w:r>
        <w:rPr>
          <w:rFonts w:ascii="inter" w:eastAsia="inter" w:hAnsi="inter" w:cs="inter"/>
          <w:b/>
          <w:color w:val="000000"/>
        </w:rPr>
        <w:t>Processing/evaluative constraints</w:t>
      </w:r>
    </w:p>
    <w:p w14:paraId="0845EE4D" w14:textId="77777777" w:rsidR="0062429D" w:rsidRDefault="00000000">
      <w:pPr>
        <w:numPr>
          <w:ilvl w:val="1"/>
          <w:numId w:val="24"/>
        </w:numPr>
        <w:spacing w:before="105" w:after="105" w:line="360" w:lineRule="auto"/>
      </w:pPr>
      <w:r>
        <w:rPr>
          <w:rFonts w:ascii="inter" w:eastAsia="inter" w:hAnsi="inter" w:cs="inter"/>
          <w:color w:val="000000"/>
        </w:rPr>
        <w:t>In COM-B: motivation as “all those brain processes that energize and direct behaviour” (beliefs, values, self-efficacy, emotion, habit).</w:t>
      </w:r>
      <w:bookmarkStart w:id="116" w:name="fnref25_3"/>
      <w:bookmarkEnd w:id="116"/>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117" w:name="fnref5_11"/>
      <w:bookmarkEnd w:id="117"/>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18" w:name="fnref7_9"/>
      <w:bookmarkEnd w:id="118"/>
      <w:r>
        <w:fldChar w:fldCharType="begin"/>
      </w:r>
      <w:r>
        <w:instrText>HYPERLINK \l "fn7" \h</w:instrText>
      </w:r>
      <w:r>
        <w:fldChar w:fldCharType="separate"/>
      </w:r>
      <w:r>
        <w:rPr>
          <w:rFonts w:ascii="inter" w:eastAsia="inter" w:hAnsi="inter" w:cs="inter"/>
          <w:u w:val="single"/>
          <w:vertAlign w:val="superscript"/>
        </w:rPr>
        <w:t>[7]</w:t>
      </w:r>
      <w:r>
        <w:fldChar w:fldCharType="end"/>
      </w:r>
    </w:p>
    <w:p w14:paraId="7DD3BE76" w14:textId="77777777" w:rsidR="0062429D" w:rsidRDefault="00000000">
      <w:pPr>
        <w:numPr>
          <w:ilvl w:val="1"/>
          <w:numId w:val="24"/>
        </w:numPr>
        <w:spacing w:before="105" w:after="105" w:line="360" w:lineRule="auto"/>
      </w:pPr>
      <w:r>
        <w:rPr>
          <w:rFonts w:ascii="inter" w:eastAsia="inter" w:hAnsi="inter" w:cs="inter"/>
          <w:color w:val="000000"/>
        </w:rPr>
        <w:t>In BG models: STN/GPi threshold control and Go/NoGo balance that implement cautious vs impulsive policies over fixed inputs.</w:t>
      </w:r>
      <w:bookmarkStart w:id="119" w:name="fnref15_4"/>
      <w:bookmarkEnd w:id="119"/>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20" w:name="fnref3_6"/>
      <w:bookmarkEnd w:id="120"/>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21" w:name="fnref4_6"/>
      <w:bookmarkEnd w:id="121"/>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22" w:name="fnref1_4"/>
      <w:bookmarkEnd w:id="122"/>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F3EA170" w14:textId="77777777" w:rsidR="0062429D" w:rsidRDefault="00000000">
      <w:pPr>
        <w:numPr>
          <w:ilvl w:val="1"/>
          <w:numId w:val="24"/>
        </w:numPr>
        <w:spacing w:before="105" w:after="105" w:line="360" w:lineRule="auto"/>
      </w:pPr>
      <w:r>
        <w:rPr>
          <w:rFonts w:ascii="inter" w:eastAsia="inter" w:hAnsi="inter" w:cs="inter"/>
          <w:color w:val="000000"/>
        </w:rPr>
        <w:t>In philosophy: structure of the will and higher-order endorsement (Frankfurt), weakness of will vs compulsion, and the positive component of freely doing what one wills.</w:t>
      </w:r>
      <w:bookmarkStart w:id="123" w:name="fnref28_2"/>
      <w:bookmarkEnd w:id="123"/>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124" w:name="fnref29_2"/>
      <w:bookmarkEnd w:id="124"/>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125" w:name="fnref30_1"/>
      <w:bookmarkEnd w:id="125"/>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60C4272B" w14:textId="77777777" w:rsidR="0062429D" w:rsidRDefault="00000000">
      <w:pPr>
        <w:spacing w:after="210" w:line="360" w:lineRule="auto"/>
      </w:pPr>
      <w:r>
        <w:rPr>
          <w:rFonts w:ascii="inter" w:eastAsia="inter" w:hAnsi="inter" w:cs="inter"/>
          <w:color w:val="000000"/>
        </w:rPr>
        <w:t>Your “maximal motivation” test is, in effect, a synthesis of:</w:t>
      </w:r>
    </w:p>
    <w:p w14:paraId="601F8286" w14:textId="77777777" w:rsidR="0062429D" w:rsidRDefault="00000000">
      <w:pPr>
        <w:numPr>
          <w:ilvl w:val="0"/>
          <w:numId w:val="25"/>
        </w:numPr>
        <w:spacing w:before="105" w:after="105" w:line="360" w:lineRule="auto"/>
      </w:pPr>
      <w:r>
        <w:rPr>
          <w:rFonts w:ascii="inter" w:eastAsia="inter" w:hAnsi="inter" w:cs="inter"/>
          <w:color w:val="000000"/>
        </w:rPr>
        <w:t xml:space="preserve">COM-B’s idea that capability and opportunity are </w:t>
      </w:r>
      <w:r>
        <w:rPr>
          <w:rFonts w:ascii="inter" w:eastAsia="inter" w:hAnsi="inter" w:cs="inter"/>
          <w:b/>
          <w:color w:val="000000"/>
        </w:rPr>
        <w:t>gates on motivation</w:t>
      </w:r>
      <w:r>
        <w:rPr>
          <w:rFonts w:ascii="inter" w:eastAsia="inter" w:hAnsi="inter" w:cs="inter"/>
          <w:color w:val="000000"/>
        </w:rPr>
        <w:t>, not parts of motivation itself.</w:t>
      </w:r>
      <w:bookmarkStart w:id="126" w:name="fnref6_6"/>
      <w:bookmarkEnd w:id="12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3DF29B8" w14:textId="77777777" w:rsidR="0062429D" w:rsidRDefault="00000000">
      <w:pPr>
        <w:numPr>
          <w:ilvl w:val="0"/>
          <w:numId w:val="25"/>
        </w:numPr>
        <w:spacing w:before="105" w:after="105" w:line="360" w:lineRule="auto"/>
      </w:pPr>
      <w:r>
        <w:rPr>
          <w:rFonts w:ascii="inter" w:eastAsia="inter" w:hAnsi="inter" w:cs="inter"/>
          <w:color w:val="000000"/>
        </w:rPr>
        <w:t xml:space="preserve">Rational choice’s separation of </w:t>
      </w:r>
      <w:r>
        <w:rPr>
          <w:rFonts w:ascii="inter" w:eastAsia="inter" w:hAnsi="inter" w:cs="inter"/>
          <w:b/>
          <w:color w:val="000000"/>
        </w:rPr>
        <w:t>feasibility</w:t>
      </w:r>
      <w:r>
        <w:rPr>
          <w:rFonts w:ascii="inter" w:eastAsia="inter" w:hAnsi="inter" w:cs="inter"/>
          <w:color w:val="000000"/>
        </w:rPr>
        <w:t xml:space="preserve"> from </w:t>
      </w:r>
      <w:r>
        <w:rPr>
          <w:rFonts w:ascii="inter" w:eastAsia="inter" w:hAnsi="inter" w:cs="inter"/>
          <w:b/>
          <w:color w:val="000000"/>
        </w:rPr>
        <w:t>preference</w:t>
      </w:r>
      <w:r>
        <w:rPr>
          <w:rFonts w:ascii="inter" w:eastAsia="inter" w:hAnsi="inter" w:cs="inter"/>
          <w:color w:val="000000"/>
        </w:rPr>
        <w:t>.</w:t>
      </w:r>
    </w:p>
    <w:p w14:paraId="135045EC" w14:textId="77777777" w:rsidR="0062429D" w:rsidRDefault="00000000">
      <w:pPr>
        <w:numPr>
          <w:ilvl w:val="0"/>
          <w:numId w:val="25"/>
        </w:numPr>
        <w:spacing w:before="105" w:after="105" w:line="360" w:lineRule="auto"/>
      </w:pPr>
      <w:r>
        <w:rPr>
          <w:rFonts w:ascii="inter" w:eastAsia="inter" w:hAnsi="inter" w:cs="inter"/>
          <w:color w:val="000000"/>
        </w:rPr>
        <w:t xml:space="preserve">Drift–diffusion/BG models’ separation of </w:t>
      </w:r>
      <w:r>
        <w:rPr>
          <w:rFonts w:ascii="inter" w:eastAsia="inter" w:hAnsi="inter" w:cs="inter"/>
          <w:b/>
          <w:color w:val="000000"/>
        </w:rPr>
        <w:t>evidence (drift)</w:t>
      </w:r>
      <w:r>
        <w:rPr>
          <w:rFonts w:ascii="inter" w:eastAsia="inter" w:hAnsi="inter" w:cs="inter"/>
          <w:color w:val="000000"/>
        </w:rPr>
        <w:t xml:space="preserve"> from </w:t>
      </w:r>
      <w:r>
        <w:rPr>
          <w:rFonts w:ascii="inter" w:eastAsia="inter" w:hAnsi="inter" w:cs="inter"/>
          <w:b/>
          <w:color w:val="000000"/>
        </w:rPr>
        <w:t>decision threshold/policy</w:t>
      </w:r>
      <w:r>
        <w:rPr>
          <w:rFonts w:ascii="inter" w:eastAsia="inter" w:hAnsi="inter" w:cs="inter"/>
          <w:color w:val="000000"/>
        </w:rPr>
        <w:t>, with distinct neural substrates for each.</w:t>
      </w:r>
      <w:bookmarkStart w:id="127" w:name="fnref3_7"/>
      <w:bookmarkEnd w:id="127"/>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28" w:name="fnref16_3"/>
      <w:bookmarkEnd w:id="128"/>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29" w:name="fnref1_5"/>
      <w:bookmarkEnd w:id="12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09972C8E" w14:textId="77777777" w:rsidR="0062429D" w:rsidRDefault="00000000">
      <w:pPr>
        <w:spacing w:after="210" w:line="360" w:lineRule="auto"/>
      </w:pPr>
      <w:r>
        <w:rPr>
          <w:rFonts w:ascii="inter" w:eastAsia="inter" w:hAnsi="inter" w:cs="inter"/>
          <w:color w:val="000000"/>
        </w:rPr>
        <w:t>Framed explicitly in those terms, your A/B distinction is not only defensible but well-supported: it brings together established distinctions under a single behavioural test.</w:t>
      </w:r>
      <w:r>
        <w:rPr>
          <w:rFonts w:ascii="inter" w:eastAsia="inter" w:hAnsi="inter" w:cs="inter"/>
          <w:color w:val="000000"/>
        </w:rPr>
        <w:br/>
      </w:r>
    </w:p>
    <w:p w14:paraId="0794F172" w14:textId="77777777" w:rsidR="0062429D" w:rsidRDefault="00000000">
      <w:pPr>
        <w:spacing w:line="360" w:lineRule="auto"/>
      </w:pPr>
      <w:r>
        <w:rPr>
          <w:rFonts w:ascii="inter" w:eastAsia="inter" w:hAnsi="inter" w:cs="inter"/>
          <w:color w:val="000000"/>
        </w:rPr>
        <w:t>⁂</w:t>
      </w:r>
    </w:p>
    <w:p w14:paraId="77FF5C2E" w14:textId="77777777" w:rsidR="0062429D" w:rsidRDefault="00000000">
      <w:pPr>
        <w:spacing w:before="210" w:after="0" w:line="360" w:lineRule="auto"/>
      </w:pPr>
      <w:r>
        <w:rPr>
          <w:noProof/>
        </w:rPr>
      </w:r>
      <w:r>
        <w:rPr>
          <w:noProof/>
        </w:rPr>
        <w:pict w14:anchorId="2A07E5B6">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30" w:name="fn1"/>
    <w:bookmarkEnd w:id="130"/>
    <w:p w14:paraId="1A8052A4" w14:textId="77777777" w:rsidR="0062429D" w:rsidRDefault="00000000">
      <w:pPr>
        <w:numPr>
          <w:ilvl w:val="0"/>
          <w:numId w:val="27"/>
        </w:numPr>
        <w:spacing w:after="210" w:line="360" w:lineRule="auto"/>
      </w:pPr>
      <w:r>
        <w:fldChar w:fldCharType="begin"/>
      </w:r>
      <w:r>
        <w:instrText>HYPERLINK "https://journals.plos.org/plosbiology/article?id=10.1371%2Fjournal.pbio.3002978" \h</w:instrText>
      </w:r>
      <w:r>
        <w:fldChar w:fldCharType="separate"/>
      </w:r>
      <w:r>
        <w:rPr>
          <w:rFonts w:ascii="inter" w:eastAsia="inter" w:hAnsi="inter" w:cs="inter"/>
          <w:sz w:val="18"/>
          <w:u w:val="single"/>
        </w:rPr>
        <w:t>https://journals.plos.org/plosbiology/article?id=10.1371%2Fjournal.pbio.3002978</w:t>
      </w:r>
      <w:r>
        <w:fldChar w:fldCharType="end"/>
      </w:r>
      <w:r>
        <w:rPr>
          <w:rFonts w:ascii="inter" w:eastAsia="inter" w:hAnsi="inter" w:cs="inter"/>
          <w:color w:val="000000"/>
          <w:sz w:val="18"/>
        </w:rPr>
        <w:t xml:space="preserve">      </w:t>
      </w:r>
    </w:p>
    <w:bookmarkStart w:id="131" w:name="fn2"/>
    <w:bookmarkEnd w:id="131"/>
    <w:p w14:paraId="47EF0FDB" w14:textId="77777777" w:rsidR="0062429D" w:rsidRDefault="00000000">
      <w:pPr>
        <w:numPr>
          <w:ilvl w:val="0"/>
          <w:numId w:val="27"/>
        </w:numPr>
        <w:spacing w:after="210" w:line="360" w:lineRule="auto"/>
      </w:pPr>
      <w:r>
        <w:fldChar w:fldCharType="begin"/>
      </w:r>
      <w:r>
        <w:instrText>HYPERLINK "https://pubmed.ncbi.nlm.nih.gov/15701239/" \h</w:instrText>
      </w:r>
      <w:r>
        <w:fldChar w:fldCharType="separate"/>
      </w:r>
      <w:r>
        <w:rPr>
          <w:rFonts w:ascii="inter" w:eastAsia="inter" w:hAnsi="inter" w:cs="inter"/>
          <w:sz w:val="18"/>
          <w:u w:val="single"/>
        </w:rPr>
        <w:t>https://pubmed.ncbi.nlm.nih.gov/15701239/</w:t>
      </w:r>
      <w:r>
        <w:fldChar w:fldCharType="end"/>
      </w:r>
      <w:r>
        <w:rPr>
          <w:rFonts w:ascii="inter" w:eastAsia="inter" w:hAnsi="inter" w:cs="inter"/>
          <w:color w:val="000000"/>
          <w:sz w:val="18"/>
        </w:rPr>
        <w:t xml:space="preserve">     </w:t>
      </w:r>
    </w:p>
    <w:bookmarkStart w:id="132" w:name="fn3"/>
    <w:bookmarkEnd w:id="132"/>
    <w:p w14:paraId="394019D4" w14:textId="77777777" w:rsidR="0062429D" w:rsidRDefault="00000000">
      <w:pPr>
        <w:numPr>
          <w:ilvl w:val="0"/>
          <w:numId w:val="27"/>
        </w:numPr>
        <w:spacing w:after="210" w:line="360" w:lineRule="auto"/>
      </w:pPr>
      <w:r>
        <w:fldChar w:fldCharType="begin"/>
      </w:r>
      <w:r>
        <w:instrText>HYPERLINK "https://www.biorxiv.org/content/10.1101/2024.09.12.612658v1.full-text" \h</w:instrText>
      </w:r>
      <w:r>
        <w:fldChar w:fldCharType="separate"/>
      </w:r>
      <w:r>
        <w:rPr>
          <w:rFonts w:ascii="inter" w:eastAsia="inter" w:hAnsi="inter" w:cs="inter"/>
          <w:sz w:val="18"/>
          <w:u w:val="single"/>
        </w:rPr>
        <w:t>https://www.biorxiv.org/content/10.1101/2024.09.12.612658v1.full-text</w:t>
      </w:r>
      <w:r>
        <w:fldChar w:fldCharType="end"/>
      </w:r>
      <w:r>
        <w:rPr>
          <w:rFonts w:ascii="inter" w:eastAsia="inter" w:hAnsi="inter" w:cs="inter"/>
          <w:color w:val="000000"/>
          <w:sz w:val="18"/>
        </w:rPr>
        <w:t xml:space="preserve">        </w:t>
      </w:r>
    </w:p>
    <w:bookmarkStart w:id="133" w:name="fn4"/>
    <w:bookmarkEnd w:id="133"/>
    <w:p w14:paraId="6B2BA89D" w14:textId="77777777" w:rsidR="0062429D" w:rsidRDefault="00000000">
      <w:pPr>
        <w:numPr>
          <w:ilvl w:val="0"/>
          <w:numId w:val="27"/>
        </w:numPr>
        <w:spacing w:after="210" w:line="360" w:lineRule="auto"/>
      </w:pPr>
      <w:r>
        <w:fldChar w:fldCharType="begin"/>
      </w:r>
      <w:r>
        <w:instrText>HYPERLINK "https://www.mrcbndu.ox.ac.uk/sites/default/files/pdf_files/Zenon%20et%20al%20Brain%202016%20Epub.pdf" \h</w:instrText>
      </w:r>
      <w:r>
        <w:fldChar w:fldCharType="separate"/>
      </w:r>
      <w:r>
        <w:rPr>
          <w:rFonts w:ascii="inter" w:eastAsia="inter" w:hAnsi="inter" w:cs="inter"/>
          <w:sz w:val="18"/>
          <w:u w:val="single"/>
        </w:rPr>
        <w:t>https://www.mrcbndu.ox.ac.uk/sites/default/files/pdf_files/Zenon et al Brain 2016 Epub.pdf</w:t>
      </w:r>
      <w:r>
        <w:fldChar w:fldCharType="end"/>
      </w:r>
      <w:r>
        <w:rPr>
          <w:rFonts w:ascii="inter" w:eastAsia="inter" w:hAnsi="inter" w:cs="inter"/>
          <w:color w:val="000000"/>
          <w:sz w:val="18"/>
        </w:rPr>
        <w:t xml:space="preserve">       </w:t>
      </w:r>
    </w:p>
    <w:bookmarkStart w:id="134" w:name="fn5"/>
    <w:bookmarkEnd w:id="134"/>
    <w:p w14:paraId="04F07DA2" w14:textId="77777777" w:rsidR="0062429D" w:rsidRDefault="00000000">
      <w:pPr>
        <w:numPr>
          <w:ilvl w:val="0"/>
          <w:numId w:val="27"/>
        </w:numPr>
        <w:spacing w:after="210" w:line="360" w:lineRule="auto"/>
      </w:pPr>
      <w:r>
        <w:fldChar w:fldCharType="begin"/>
      </w:r>
      <w:r>
        <w:instrText>HYPERLINK "https://pmc.ncbi.nlm.nih.gov/articles/PMC3096582/" \h</w:instrText>
      </w:r>
      <w:r>
        <w:fldChar w:fldCharType="separate"/>
      </w:r>
      <w:r>
        <w:rPr>
          <w:rFonts w:ascii="inter" w:eastAsia="inter" w:hAnsi="inter" w:cs="inter"/>
          <w:sz w:val="18"/>
          <w:u w:val="single"/>
        </w:rPr>
        <w:t>https://pmc.ncbi.nlm.nih.gov/articles/PMC3096582/</w:t>
      </w:r>
      <w:r>
        <w:fldChar w:fldCharType="end"/>
      </w:r>
      <w:r>
        <w:rPr>
          <w:rFonts w:ascii="inter" w:eastAsia="inter" w:hAnsi="inter" w:cs="inter"/>
          <w:color w:val="000000"/>
          <w:sz w:val="18"/>
        </w:rPr>
        <w:t xml:space="preserve">            </w:t>
      </w:r>
    </w:p>
    <w:bookmarkStart w:id="135" w:name="fn6"/>
    <w:bookmarkEnd w:id="135"/>
    <w:p w14:paraId="1910673A" w14:textId="77777777" w:rsidR="0062429D" w:rsidRDefault="00000000">
      <w:pPr>
        <w:numPr>
          <w:ilvl w:val="0"/>
          <w:numId w:val="27"/>
        </w:numPr>
        <w:spacing w:after="210" w:line="360" w:lineRule="auto"/>
      </w:pPr>
      <w:r>
        <w:fldChar w:fldCharType="begin"/>
      </w:r>
      <w:r>
        <w:instrText>HYPERLINK "https://prevention-collaborative.org/wp-content/uploads/2021/08/West_2020_Introduction_Com-B-and-Prime.pdf" \h</w:instrText>
      </w:r>
      <w:r>
        <w:fldChar w:fldCharType="separate"/>
      </w:r>
      <w:r>
        <w:rPr>
          <w:rFonts w:ascii="inter" w:eastAsia="inter" w:hAnsi="inter" w:cs="inter"/>
          <w:sz w:val="18"/>
          <w:u w:val="single"/>
        </w:rPr>
        <w:t>https://prevention-collaborative.org/wp-content/uploads/2021/08/West_2020_Introduction_Com-B-and-Prime.pdf</w:t>
      </w:r>
      <w:r>
        <w:fldChar w:fldCharType="end"/>
      </w:r>
      <w:r>
        <w:rPr>
          <w:rFonts w:ascii="inter" w:eastAsia="inter" w:hAnsi="inter" w:cs="inter"/>
          <w:color w:val="000000"/>
          <w:sz w:val="18"/>
        </w:rPr>
        <w:t xml:space="preserve">       </w:t>
      </w:r>
    </w:p>
    <w:bookmarkStart w:id="136" w:name="fn7"/>
    <w:bookmarkEnd w:id="136"/>
    <w:p w14:paraId="2554D877" w14:textId="77777777" w:rsidR="0062429D" w:rsidRDefault="00000000">
      <w:pPr>
        <w:numPr>
          <w:ilvl w:val="0"/>
          <w:numId w:val="27"/>
        </w:numPr>
        <w:spacing w:after="210" w:line="360" w:lineRule="auto"/>
      </w:pPr>
      <w:r>
        <w:fldChar w:fldCharType="begin"/>
      </w:r>
      <w:r>
        <w:instrText>HYPERLINK "https://www.habitweekly.com/models-frameworks/the-com-b-model" \h</w:instrText>
      </w:r>
      <w:r>
        <w:fldChar w:fldCharType="separate"/>
      </w:r>
      <w:r>
        <w:rPr>
          <w:rFonts w:ascii="inter" w:eastAsia="inter" w:hAnsi="inter" w:cs="inter"/>
          <w:sz w:val="18"/>
          <w:u w:val="single"/>
        </w:rPr>
        <w:t>https://www.habitweekly.com/models-frameworks/the-com-b-model</w:t>
      </w:r>
      <w:r>
        <w:fldChar w:fldCharType="end"/>
      </w:r>
      <w:r>
        <w:rPr>
          <w:rFonts w:ascii="inter" w:eastAsia="inter" w:hAnsi="inter" w:cs="inter"/>
          <w:color w:val="000000"/>
          <w:sz w:val="18"/>
        </w:rPr>
        <w:t xml:space="preserve">          </w:t>
      </w:r>
    </w:p>
    <w:bookmarkStart w:id="137" w:name="fn8"/>
    <w:bookmarkEnd w:id="137"/>
    <w:p w14:paraId="43011024" w14:textId="77777777" w:rsidR="0062429D" w:rsidRDefault="00000000">
      <w:pPr>
        <w:numPr>
          <w:ilvl w:val="0"/>
          <w:numId w:val="27"/>
        </w:numPr>
        <w:spacing w:after="210" w:line="360" w:lineRule="auto"/>
      </w:pPr>
      <w:r>
        <w:fldChar w:fldCharType="begin"/>
      </w:r>
      <w:r>
        <w:instrText>HYPERLINK "https://plato.stanford.edu/entries/compatibilism/" \h</w:instrText>
      </w:r>
      <w:r>
        <w:fldChar w:fldCharType="separate"/>
      </w:r>
      <w:r>
        <w:rPr>
          <w:rFonts w:ascii="inter" w:eastAsia="inter" w:hAnsi="inter" w:cs="inter"/>
          <w:sz w:val="18"/>
          <w:u w:val="single"/>
        </w:rPr>
        <w:t>https://plato.stanford.edu/entries/compatibilism/</w:t>
      </w:r>
      <w:r>
        <w:fldChar w:fldCharType="end"/>
      </w:r>
      <w:r>
        <w:rPr>
          <w:rFonts w:ascii="inter" w:eastAsia="inter" w:hAnsi="inter" w:cs="inter"/>
          <w:color w:val="000000"/>
          <w:sz w:val="18"/>
        </w:rPr>
        <w:t xml:space="preserve">    </w:t>
      </w:r>
    </w:p>
    <w:bookmarkStart w:id="138" w:name="fn9"/>
    <w:bookmarkEnd w:id="138"/>
    <w:p w14:paraId="1AD516CA" w14:textId="77777777" w:rsidR="0062429D" w:rsidRDefault="00000000">
      <w:pPr>
        <w:numPr>
          <w:ilvl w:val="0"/>
          <w:numId w:val="27"/>
        </w:numPr>
        <w:spacing w:after="210" w:line="360" w:lineRule="auto"/>
      </w:pPr>
      <w:r>
        <w:fldChar w:fldCharType="begin"/>
      </w:r>
      <w:r>
        <w:instrText>HYPERLINK "https://pmc.ncbi.nlm.nih.gov/articles/PMC5419206/" \h</w:instrText>
      </w:r>
      <w:r>
        <w:fldChar w:fldCharType="separate"/>
      </w:r>
      <w:r>
        <w:rPr>
          <w:rFonts w:ascii="inter" w:eastAsia="inter" w:hAnsi="inter" w:cs="inter"/>
          <w:sz w:val="18"/>
          <w:u w:val="single"/>
        </w:rPr>
        <w:t>https://pmc.ncbi.nlm.nih.gov/articles/PMC5419206/</w:t>
      </w:r>
      <w:r>
        <w:fldChar w:fldCharType="end"/>
      </w:r>
      <w:r>
        <w:rPr>
          <w:rFonts w:ascii="inter" w:eastAsia="inter" w:hAnsi="inter" w:cs="inter"/>
          <w:color w:val="000000"/>
          <w:sz w:val="18"/>
        </w:rPr>
        <w:t xml:space="preserve">  </w:t>
      </w:r>
    </w:p>
    <w:bookmarkStart w:id="139" w:name="fn10"/>
    <w:bookmarkEnd w:id="139"/>
    <w:p w14:paraId="7BD7F176" w14:textId="77777777" w:rsidR="0062429D" w:rsidRDefault="00000000">
      <w:pPr>
        <w:numPr>
          <w:ilvl w:val="0"/>
          <w:numId w:val="27"/>
        </w:numPr>
        <w:spacing w:after="210" w:line="360" w:lineRule="auto"/>
      </w:pPr>
      <w:r>
        <w:fldChar w:fldCharType="begin"/>
      </w:r>
      <w:r>
        <w:instrText>HYPERLINK "https://web.stanford.edu/~jdlevin/Econ%20202/Choice%20Theory.pdf" \h</w:instrText>
      </w:r>
      <w:r>
        <w:fldChar w:fldCharType="separate"/>
      </w:r>
      <w:r>
        <w:rPr>
          <w:rFonts w:ascii="inter" w:eastAsia="inter" w:hAnsi="inter" w:cs="inter"/>
          <w:sz w:val="18"/>
          <w:u w:val="single"/>
        </w:rPr>
        <w:t>https://web.stanford.edu/~jdlevin/Econ 202/Choice Theory.pdf</w:t>
      </w:r>
      <w:r>
        <w:fldChar w:fldCharType="end"/>
      </w:r>
      <w:r>
        <w:rPr>
          <w:rFonts w:ascii="inter" w:eastAsia="inter" w:hAnsi="inter" w:cs="inter"/>
          <w:color w:val="000000"/>
          <w:sz w:val="18"/>
        </w:rPr>
        <w:t xml:space="preserve">   </w:t>
      </w:r>
    </w:p>
    <w:bookmarkStart w:id="140" w:name="fn11"/>
    <w:bookmarkEnd w:id="140"/>
    <w:p w14:paraId="265730E8" w14:textId="77777777" w:rsidR="0062429D" w:rsidRDefault="00000000">
      <w:pPr>
        <w:numPr>
          <w:ilvl w:val="0"/>
          <w:numId w:val="27"/>
        </w:numPr>
        <w:spacing w:after="210" w:line="360" w:lineRule="auto"/>
      </w:pPr>
      <w:r>
        <w:fldChar w:fldCharType="begin"/>
      </w:r>
      <w:r>
        <w:instrText>HYPERLINK "https://www.cambridge.org/core/books/inexact-and-separate-science-of-economics/rationality-preferences-and-utility-theory/52E124E92561EB31FE83690DC6390080" \h</w:instrText>
      </w:r>
      <w:r>
        <w:fldChar w:fldCharType="separate"/>
      </w:r>
      <w:r>
        <w:rPr>
          <w:rFonts w:ascii="inter" w:eastAsia="inter" w:hAnsi="inter" w:cs="inter"/>
          <w:sz w:val="18"/>
          <w:u w:val="single"/>
        </w:rPr>
        <w:t>https://www.cambridge.org/core/books/inexact-and-separate-science-of-economics/rationality-preferences-and-utility-theory/52E124E92561EB31FE83690DC6390080</w:t>
      </w:r>
      <w:r>
        <w:fldChar w:fldCharType="end"/>
      </w:r>
      <w:r>
        <w:rPr>
          <w:rFonts w:ascii="inter" w:eastAsia="inter" w:hAnsi="inter" w:cs="inter"/>
          <w:color w:val="000000"/>
          <w:sz w:val="18"/>
        </w:rPr>
        <w:t xml:space="preserve">   </w:t>
      </w:r>
    </w:p>
    <w:bookmarkStart w:id="141" w:name="fn12"/>
    <w:bookmarkEnd w:id="141"/>
    <w:p w14:paraId="79FC03A1" w14:textId="77777777" w:rsidR="0062429D" w:rsidRDefault="00000000">
      <w:pPr>
        <w:numPr>
          <w:ilvl w:val="0"/>
          <w:numId w:val="27"/>
        </w:numPr>
        <w:spacing w:after="210" w:line="360" w:lineRule="auto"/>
      </w:pPr>
      <w:r>
        <w:fldChar w:fldCharType="begin"/>
      </w:r>
      <w:r>
        <w:instrText>HYPERLINK "http://www.scholarpedia.org/article/Models_of_dopaminergic_modulation" \h</w:instrText>
      </w:r>
      <w:r>
        <w:fldChar w:fldCharType="separate"/>
      </w:r>
      <w:r>
        <w:rPr>
          <w:rFonts w:ascii="inter" w:eastAsia="inter" w:hAnsi="inter" w:cs="inter"/>
          <w:sz w:val="18"/>
          <w:u w:val="single"/>
        </w:rPr>
        <w:t>http://www.scholarpedia.org/article/Models_of_dopaminergic_modulation</w:t>
      </w:r>
      <w:r>
        <w:fldChar w:fldCharType="end"/>
      </w:r>
      <w:r>
        <w:rPr>
          <w:rFonts w:ascii="inter" w:eastAsia="inter" w:hAnsi="inter" w:cs="inter"/>
          <w:color w:val="000000"/>
          <w:sz w:val="18"/>
        </w:rPr>
        <w:t xml:space="preserve"> </w:t>
      </w:r>
    </w:p>
    <w:bookmarkStart w:id="142" w:name="fn13"/>
    <w:bookmarkEnd w:id="142"/>
    <w:p w14:paraId="54241F0A" w14:textId="77777777" w:rsidR="0062429D" w:rsidRDefault="00000000">
      <w:pPr>
        <w:numPr>
          <w:ilvl w:val="0"/>
          <w:numId w:val="27"/>
        </w:numPr>
        <w:spacing w:after="210" w:line="360" w:lineRule="auto"/>
      </w:pPr>
      <w:r>
        <w:fldChar w:fldCharType="begin"/>
      </w:r>
      <w:r>
        <w:instrText>HYPERLINK "https://www.cmu.edu/dietrich/psychology/cognitiveaxon/documents/Rubin_etal_2020.pdf" \h</w:instrText>
      </w:r>
      <w:r>
        <w:fldChar w:fldCharType="separate"/>
      </w:r>
      <w:r>
        <w:rPr>
          <w:rFonts w:ascii="inter" w:eastAsia="inter" w:hAnsi="inter" w:cs="inter"/>
          <w:sz w:val="18"/>
          <w:u w:val="single"/>
        </w:rPr>
        <w:t>https://www.cmu.edu/dietrich/psychology/cognitiveaxon/documents/Rubin_etal_2020.pdf</w:t>
      </w:r>
      <w:r>
        <w:fldChar w:fldCharType="end"/>
      </w:r>
      <w:r>
        <w:rPr>
          <w:rFonts w:ascii="inter" w:eastAsia="inter" w:hAnsi="inter" w:cs="inter"/>
          <w:color w:val="000000"/>
          <w:sz w:val="18"/>
        </w:rPr>
        <w:t xml:space="preserve">    </w:t>
      </w:r>
    </w:p>
    <w:bookmarkStart w:id="143" w:name="fn14"/>
    <w:bookmarkEnd w:id="143"/>
    <w:p w14:paraId="08C79DAD" w14:textId="77777777" w:rsidR="0062429D" w:rsidRDefault="00000000">
      <w:pPr>
        <w:numPr>
          <w:ilvl w:val="0"/>
          <w:numId w:val="27"/>
        </w:numPr>
        <w:spacing w:after="210" w:line="360" w:lineRule="auto"/>
      </w:pPr>
      <w:r>
        <w:fldChar w:fldCharType="begin"/>
      </w:r>
      <w:r>
        <w:instrText>HYPERLINK "https://med.libretexts.org/Bookshelves/Pharmacology_and_Neuroscience/Computational_Cognitive_Neuroscience_3e_(O'Reilly_and_Munakata)/07:_Motor_Control_and_Reinforcement_Learning/7.02:_Basal_Ganglia_Action_Selection_and_Reinforcement_Learning" \h</w:instrText>
      </w:r>
      <w:r>
        <w:fldChar w:fldCharType="separate"/>
      </w:r>
      <w:r>
        <w:rPr>
          <w:rFonts w:ascii="inter" w:eastAsia="inter" w:hAnsi="inter" w:cs="inter"/>
          <w:sz w:val="18"/>
          <w:u w:val="single"/>
        </w:rPr>
        <w:t>https://med.libretexts.org/Bookshelves/Pharmacology_and_Neuroscience/Computational_Cognitive_Neuroscience_3e_(O'Reilly_and_Munakata)/07:_Motor_Control_and_Reinforcement_Learning/7.02:_Basal_Ganglia_Action_Selection_and_Reinforcement_Learning</w:t>
      </w:r>
      <w:r>
        <w:fldChar w:fldCharType="end"/>
      </w:r>
      <w:r>
        <w:rPr>
          <w:rFonts w:ascii="inter" w:eastAsia="inter" w:hAnsi="inter" w:cs="inter"/>
          <w:color w:val="000000"/>
          <w:sz w:val="18"/>
        </w:rPr>
        <w:t xml:space="preserve">    </w:t>
      </w:r>
    </w:p>
    <w:bookmarkStart w:id="144" w:name="fn15"/>
    <w:bookmarkEnd w:id="144"/>
    <w:p w14:paraId="6CF89D8F" w14:textId="77777777" w:rsidR="0062429D" w:rsidRDefault="00000000">
      <w:pPr>
        <w:numPr>
          <w:ilvl w:val="0"/>
          <w:numId w:val="27"/>
        </w:numPr>
        <w:spacing w:after="210" w:line="360" w:lineRule="auto"/>
      </w:pPr>
      <w:r>
        <w:fldChar w:fldCharType="begin"/>
      </w:r>
      <w:r>
        <w:instrText>HYPERLINK "https://ski.clps.brown.edu/papers/Frank_STN.preprint.pdf" \h</w:instrText>
      </w:r>
      <w:r>
        <w:fldChar w:fldCharType="separate"/>
      </w:r>
      <w:r>
        <w:rPr>
          <w:rFonts w:ascii="inter" w:eastAsia="inter" w:hAnsi="inter" w:cs="inter"/>
          <w:sz w:val="18"/>
          <w:u w:val="single"/>
        </w:rPr>
        <w:t>https://ski.clps.brown.edu/papers/Frank_STN.preprint.pdf</w:t>
      </w:r>
      <w:r>
        <w:fldChar w:fldCharType="end"/>
      </w:r>
      <w:r>
        <w:rPr>
          <w:rFonts w:ascii="inter" w:eastAsia="inter" w:hAnsi="inter" w:cs="inter"/>
          <w:color w:val="000000"/>
          <w:sz w:val="18"/>
        </w:rPr>
        <w:t xml:space="preserve">     </w:t>
      </w:r>
    </w:p>
    <w:bookmarkStart w:id="145" w:name="fn16"/>
    <w:bookmarkEnd w:id="145"/>
    <w:p w14:paraId="18C15B22" w14:textId="77777777" w:rsidR="0062429D" w:rsidRDefault="00000000">
      <w:pPr>
        <w:numPr>
          <w:ilvl w:val="0"/>
          <w:numId w:val="27"/>
        </w:numPr>
        <w:spacing w:after="210" w:line="360" w:lineRule="auto"/>
      </w:pPr>
      <w:r>
        <w:fldChar w:fldCharType="begin"/>
      </w:r>
      <w:r>
        <w:instrText>HYPERLINK "https://www.frontiersin.org/journals/psychology/articles/10.3389/fpsyg.2012.00183/full" \h</w:instrText>
      </w:r>
      <w:r>
        <w:fldChar w:fldCharType="separate"/>
      </w:r>
      <w:r>
        <w:rPr>
          <w:rFonts w:ascii="inter" w:eastAsia="inter" w:hAnsi="inter" w:cs="inter"/>
          <w:sz w:val="18"/>
          <w:u w:val="single"/>
        </w:rPr>
        <w:t>https://www.frontiersin.org/journals/psychology/articles/10.3389/fpsyg.2012.00183/full</w:t>
      </w:r>
      <w:r>
        <w:fldChar w:fldCharType="end"/>
      </w:r>
      <w:r>
        <w:rPr>
          <w:rFonts w:ascii="inter" w:eastAsia="inter" w:hAnsi="inter" w:cs="inter"/>
          <w:color w:val="000000"/>
          <w:sz w:val="18"/>
        </w:rPr>
        <w:t xml:space="preserve">    </w:t>
      </w:r>
    </w:p>
    <w:bookmarkStart w:id="146" w:name="fn17"/>
    <w:bookmarkEnd w:id="146"/>
    <w:p w14:paraId="4CD1D548" w14:textId="77777777" w:rsidR="0062429D" w:rsidRDefault="00000000">
      <w:pPr>
        <w:numPr>
          <w:ilvl w:val="0"/>
          <w:numId w:val="27"/>
        </w:numPr>
        <w:spacing w:after="210" w:line="360" w:lineRule="auto"/>
      </w:pPr>
      <w:r>
        <w:fldChar w:fldCharType="begin"/>
      </w:r>
      <w:r>
        <w:instrText>HYPERLINK "https://elifesciences.org/articles/08723" \h</w:instrText>
      </w:r>
      <w:r>
        <w:fldChar w:fldCharType="separate"/>
      </w:r>
      <w:r>
        <w:rPr>
          <w:rFonts w:ascii="inter" w:eastAsia="inter" w:hAnsi="inter" w:cs="inter"/>
          <w:sz w:val="18"/>
          <w:u w:val="single"/>
        </w:rPr>
        <w:t>https://elifesciences.org/articles/08723</w:t>
      </w:r>
      <w:r>
        <w:fldChar w:fldCharType="end"/>
      </w:r>
      <w:r>
        <w:rPr>
          <w:rFonts w:ascii="inter" w:eastAsia="inter" w:hAnsi="inter" w:cs="inter"/>
          <w:color w:val="000000"/>
          <w:sz w:val="18"/>
        </w:rPr>
        <w:t xml:space="preserve">   </w:t>
      </w:r>
    </w:p>
    <w:bookmarkStart w:id="147" w:name="fn18"/>
    <w:bookmarkEnd w:id="147"/>
    <w:p w14:paraId="28F01242" w14:textId="77777777" w:rsidR="0062429D" w:rsidRDefault="00000000">
      <w:pPr>
        <w:numPr>
          <w:ilvl w:val="0"/>
          <w:numId w:val="27"/>
        </w:numPr>
        <w:spacing w:after="210" w:line="360" w:lineRule="auto"/>
      </w:pPr>
      <w:r>
        <w:fldChar w:fldCharType="begin"/>
      </w:r>
      <w:r>
        <w:instrText>HYPERLINK "https://pmc.ncbi.nlm.nih.gov/articles/PMC4686424/" \h</w:instrText>
      </w:r>
      <w:r>
        <w:fldChar w:fldCharType="separate"/>
      </w:r>
      <w:r>
        <w:rPr>
          <w:rFonts w:ascii="inter" w:eastAsia="inter" w:hAnsi="inter" w:cs="inter"/>
          <w:sz w:val="18"/>
          <w:u w:val="single"/>
        </w:rPr>
        <w:t>https://pmc.ncbi.nlm.nih.gov/articles/PMC4686424/</w:t>
      </w:r>
      <w:r>
        <w:fldChar w:fldCharType="end"/>
      </w:r>
      <w:r>
        <w:rPr>
          <w:rFonts w:ascii="inter" w:eastAsia="inter" w:hAnsi="inter" w:cs="inter"/>
          <w:color w:val="000000"/>
          <w:sz w:val="18"/>
        </w:rPr>
        <w:t xml:space="preserve">  </w:t>
      </w:r>
    </w:p>
    <w:bookmarkStart w:id="148" w:name="fn19"/>
    <w:bookmarkEnd w:id="148"/>
    <w:p w14:paraId="1CF9456C" w14:textId="77777777" w:rsidR="0062429D" w:rsidRDefault="00000000">
      <w:pPr>
        <w:numPr>
          <w:ilvl w:val="0"/>
          <w:numId w:val="27"/>
        </w:numPr>
        <w:spacing w:after="210" w:line="360" w:lineRule="auto"/>
      </w:pPr>
      <w:r>
        <w:fldChar w:fldCharType="begin"/>
      </w:r>
      <w:r>
        <w:instrText>HYPERLINK "https://ski.clps.brown.edu/papers/GingJehli_PLOSBio.pdf" \h</w:instrText>
      </w:r>
      <w:r>
        <w:fldChar w:fldCharType="separate"/>
      </w:r>
      <w:r>
        <w:rPr>
          <w:rFonts w:ascii="inter" w:eastAsia="inter" w:hAnsi="inter" w:cs="inter"/>
          <w:sz w:val="18"/>
          <w:u w:val="single"/>
        </w:rPr>
        <w:t>https://ski.clps.brown.edu/papers/GingJehli_PLOSBio.pdf</w:t>
      </w:r>
      <w:r>
        <w:fldChar w:fldCharType="end"/>
      </w:r>
      <w:r>
        <w:rPr>
          <w:rFonts w:ascii="inter" w:eastAsia="inter" w:hAnsi="inter" w:cs="inter"/>
          <w:color w:val="000000"/>
          <w:sz w:val="18"/>
        </w:rPr>
        <w:t xml:space="preserve"> </w:t>
      </w:r>
    </w:p>
    <w:bookmarkStart w:id="149" w:name="fn20"/>
    <w:bookmarkEnd w:id="149"/>
    <w:p w14:paraId="21E8F2BD" w14:textId="77777777" w:rsidR="0062429D" w:rsidRDefault="00000000">
      <w:pPr>
        <w:numPr>
          <w:ilvl w:val="0"/>
          <w:numId w:val="27"/>
        </w:numPr>
        <w:spacing w:after="210" w:line="360" w:lineRule="auto"/>
      </w:pPr>
      <w:r>
        <w:fldChar w:fldCharType="begin"/>
      </w:r>
      <w:r>
        <w:instrText>HYPERLINK "https://pmc.ncbi.nlm.nih.gov/articles/PMC11756759/" \h</w:instrText>
      </w:r>
      <w:r>
        <w:fldChar w:fldCharType="separate"/>
      </w:r>
      <w:r>
        <w:rPr>
          <w:rFonts w:ascii="inter" w:eastAsia="inter" w:hAnsi="inter" w:cs="inter"/>
          <w:sz w:val="18"/>
          <w:u w:val="single"/>
        </w:rPr>
        <w:t>https://pmc.ncbi.nlm.nih.gov/articles/PMC11756759/</w:t>
      </w:r>
      <w:r>
        <w:fldChar w:fldCharType="end"/>
      </w:r>
      <w:r>
        <w:rPr>
          <w:rFonts w:ascii="inter" w:eastAsia="inter" w:hAnsi="inter" w:cs="inter"/>
          <w:color w:val="000000"/>
          <w:sz w:val="18"/>
        </w:rPr>
        <w:t xml:space="preserve">  </w:t>
      </w:r>
    </w:p>
    <w:bookmarkStart w:id="150" w:name="fn21"/>
    <w:bookmarkEnd w:id="150"/>
    <w:p w14:paraId="00B50079" w14:textId="77777777" w:rsidR="0062429D" w:rsidRDefault="00000000">
      <w:pPr>
        <w:numPr>
          <w:ilvl w:val="0"/>
          <w:numId w:val="27"/>
        </w:numPr>
        <w:spacing w:after="210" w:line="360" w:lineRule="auto"/>
      </w:pPr>
      <w:r>
        <w:fldChar w:fldCharType="begin"/>
      </w:r>
      <w:r>
        <w:instrText>HYPERLINK "https://2024.ccneuro.org/pdf/116_Paper_authored_CCN_CD01_Abstract.pdf" \h</w:instrText>
      </w:r>
      <w:r>
        <w:fldChar w:fldCharType="separate"/>
      </w:r>
      <w:r>
        <w:rPr>
          <w:rFonts w:ascii="inter" w:eastAsia="inter" w:hAnsi="inter" w:cs="inter"/>
          <w:sz w:val="18"/>
          <w:u w:val="single"/>
        </w:rPr>
        <w:t>https://2024.ccneuro.org/pdf/116_Paper_authored_CCN_CD01_Abstract.pdf</w:t>
      </w:r>
      <w:r>
        <w:fldChar w:fldCharType="end"/>
      </w:r>
      <w:r>
        <w:rPr>
          <w:rFonts w:ascii="inter" w:eastAsia="inter" w:hAnsi="inter" w:cs="inter"/>
          <w:color w:val="000000"/>
          <w:sz w:val="18"/>
        </w:rPr>
        <w:t xml:space="preserve"> </w:t>
      </w:r>
    </w:p>
    <w:bookmarkStart w:id="151" w:name="fn22"/>
    <w:bookmarkEnd w:id="151"/>
    <w:p w14:paraId="3ADFE432" w14:textId="77777777" w:rsidR="0062429D" w:rsidRDefault="00000000">
      <w:pPr>
        <w:numPr>
          <w:ilvl w:val="0"/>
          <w:numId w:val="27"/>
        </w:numPr>
        <w:spacing w:after="210" w:line="360" w:lineRule="auto"/>
      </w:pPr>
      <w:r>
        <w:fldChar w:fldCharType="begin"/>
      </w:r>
      <w:r>
        <w:instrText>HYPERLINK "https://www.nature.com/articles/s41467-022-35121-8" \h</w:instrText>
      </w:r>
      <w:r>
        <w:fldChar w:fldCharType="separate"/>
      </w:r>
      <w:r>
        <w:rPr>
          <w:rFonts w:ascii="inter" w:eastAsia="inter" w:hAnsi="inter" w:cs="inter"/>
          <w:sz w:val="18"/>
          <w:u w:val="single"/>
        </w:rPr>
        <w:t>https://www.nature.com/articles/s41467-022-35121-8</w:t>
      </w:r>
      <w:r>
        <w:fldChar w:fldCharType="end"/>
      </w:r>
      <w:r>
        <w:rPr>
          <w:rFonts w:ascii="inter" w:eastAsia="inter" w:hAnsi="inter" w:cs="inter"/>
          <w:color w:val="000000"/>
          <w:sz w:val="18"/>
        </w:rPr>
        <w:t xml:space="preserve">  </w:t>
      </w:r>
    </w:p>
    <w:bookmarkStart w:id="152" w:name="fn23"/>
    <w:bookmarkEnd w:id="152"/>
    <w:p w14:paraId="3A421B85" w14:textId="77777777" w:rsidR="0062429D" w:rsidRDefault="00000000">
      <w:pPr>
        <w:numPr>
          <w:ilvl w:val="0"/>
          <w:numId w:val="27"/>
        </w:numPr>
        <w:spacing w:after="210" w:line="360" w:lineRule="auto"/>
      </w:pPr>
      <w:r>
        <w:fldChar w:fldCharType="begin"/>
      </w:r>
      <w:r>
        <w:instrText>HYPERLINK "https://pmc.ncbi.nlm.nih.gov/articles/PMC4896390/" \h</w:instrText>
      </w:r>
      <w:r>
        <w:fldChar w:fldCharType="separate"/>
      </w:r>
      <w:r>
        <w:rPr>
          <w:rFonts w:ascii="inter" w:eastAsia="inter" w:hAnsi="inter" w:cs="inter"/>
          <w:sz w:val="18"/>
          <w:u w:val="single"/>
        </w:rPr>
        <w:t>https://pmc.ncbi.nlm.nih.gov/articles/PMC4896390/</w:t>
      </w:r>
      <w:r>
        <w:fldChar w:fldCharType="end"/>
      </w:r>
      <w:r>
        <w:rPr>
          <w:rFonts w:ascii="inter" w:eastAsia="inter" w:hAnsi="inter" w:cs="inter"/>
          <w:color w:val="000000"/>
          <w:sz w:val="18"/>
        </w:rPr>
        <w:t xml:space="preserve">   </w:t>
      </w:r>
    </w:p>
    <w:bookmarkStart w:id="153" w:name="fn24"/>
    <w:bookmarkEnd w:id="153"/>
    <w:p w14:paraId="15269BF4" w14:textId="77777777" w:rsidR="0062429D" w:rsidRDefault="00000000">
      <w:pPr>
        <w:numPr>
          <w:ilvl w:val="0"/>
          <w:numId w:val="27"/>
        </w:numPr>
        <w:spacing w:after="210" w:line="360" w:lineRule="auto"/>
      </w:pPr>
      <w:r>
        <w:fldChar w:fldCharType="begin"/>
      </w:r>
      <w:r>
        <w:instrText>HYPERLINK "https://social-change.co.uk/files/02.09.19_COM-B_and_changing_behaviour_.pdf" \h</w:instrText>
      </w:r>
      <w:r>
        <w:fldChar w:fldCharType="separate"/>
      </w:r>
      <w:r>
        <w:rPr>
          <w:rFonts w:ascii="inter" w:eastAsia="inter" w:hAnsi="inter" w:cs="inter"/>
          <w:sz w:val="18"/>
          <w:u w:val="single"/>
        </w:rPr>
        <w:t>https://social-change.co.uk/files/02.09.19_COM-B_and_changing_behaviour_.pdf</w:t>
      </w:r>
      <w:r>
        <w:fldChar w:fldCharType="end"/>
      </w:r>
      <w:r>
        <w:rPr>
          <w:rFonts w:ascii="inter" w:eastAsia="inter" w:hAnsi="inter" w:cs="inter"/>
          <w:color w:val="000000"/>
          <w:sz w:val="18"/>
        </w:rPr>
        <w:t xml:space="preserve"> </w:t>
      </w:r>
    </w:p>
    <w:bookmarkStart w:id="154" w:name="fn25"/>
    <w:bookmarkEnd w:id="154"/>
    <w:p w14:paraId="0539A2EE" w14:textId="77777777" w:rsidR="0062429D" w:rsidRDefault="00000000">
      <w:pPr>
        <w:numPr>
          <w:ilvl w:val="0"/>
          <w:numId w:val="27"/>
        </w:numPr>
        <w:spacing w:after="210" w:line="360" w:lineRule="auto"/>
      </w:pPr>
      <w:r>
        <w:fldChar w:fldCharType="begin"/>
      </w:r>
      <w:r>
        <w:instrText>HYPERLINK "https://pmc.ncbi.nlm.nih.gov/articles/PMC8094434/" \h</w:instrText>
      </w:r>
      <w:r>
        <w:fldChar w:fldCharType="separate"/>
      </w:r>
      <w:r>
        <w:rPr>
          <w:rFonts w:ascii="inter" w:eastAsia="inter" w:hAnsi="inter" w:cs="inter"/>
          <w:sz w:val="18"/>
          <w:u w:val="single"/>
        </w:rPr>
        <w:t>https://pmc.ncbi.nlm.nih.gov/articles/PMC8094434/</w:t>
      </w:r>
      <w:r>
        <w:fldChar w:fldCharType="end"/>
      </w:r>
      <w:r>
        <w:rPr>
          <w:rFonts w:ascii="inter" w:eastAsia="inter" w:hAnsi="inter" w:cs="inter"/>
          <w:color w:val="000000"/>
          <w:sz w:val="18"/>
        </w:rPr>
        <w:t xml:space="preserve">    </w:t>
      </w:r>
    </w:p>
    <w:bookmarkStart w:id="155" w:name="fn26"/>
    <w:bookmarkEnd w:id="155"/>
    <w:p w14:paraId="0F2C3C49" w14:textId="77777777" w:rsidR="0062429D" w:rsidRDefault="00000000">
      <w:pPr>
        <w:numPr>
          <w:ilvl w:val="0"/>
          <w:numId w:val="27"/>
        </w:numPr>
        <w:spacing w:after="210" w:line="360" w:lineRule="auto"/>
      </w:pPr>
      <w:r>
        <w:fldChar w:fldCharType="begin"/>
      </w:r>
      <w:r>
        <w:instrText>HYPERLINK "https://togetheragency.co.uk/news/the-com-b-model-of-behaviour-change-explained" \h</w:instrText>
      </w:r>
      <w:r>
        <w:fldChar w:fldCharType="separate"/>
      </w:r>
      <w:r>
        <w:rPr>
          <w:rFonts w:ascii="inter" w:eastAsia="inter" w:hAnsi="inter" w:cs="inter"/>
          <w:sz w:val="18"/>
          <w:u w:val="single"/>
        </w:rPr>
        <w:t>https://togetheragency.co.uk/news/the-com-b-model-of-behaviour-change-explained</w:t>
      </w:r>
      <w:r>
        <w:fldChar w:fldCharType="end"/>
      </w:r>
      <w:r>
        <w:rPr>
          <w:rFonts w:ascii="inter" w:eastAsia="inter" w:hAnsi="inter" w:cs="inter"/>
          <w:color w:val="000000"/>
          <w:sz w:val="18"/>
        </w:rPr>
        <w:t xml:space="preserve"> </w:t>
      </w:r>
    </w:p>
    <w:bookmarkStart w:id="156" w:name="fn27"/>
    <w:bookmarkEnd w:id="156"/>
    <w:p w14:paraId="2F117C5C" w14:textId="77777777" w:rsidR="0062429D" w:rsidRDefault="00000000">
      <w:pPr>
        <w:numPr>
          <w:ilvl w:val="0"/>
          <w:numId w:val="27"/>
        </w:numPr>
        <w:spacing w:after="210" w:line="360" w:lineRule="auto"/>
      </w:pPr>
      <w:r>
        <w:fldChar w:fldCharType="begin"/>
      </w:r>
      <w:r>
        <w:instrText>HYPERLINK "https://ui-patterns.com/blog/designing-for-change-using-the-com-b-model-to-drive-behavior-change" \h</w:instrText>
      </w:r>
      <w:r>
        <w:fldChar w:fldCharType="separate"/>
      </w:r>
      <w:r>
        <w:rPr>
          <w:rFonts w:ascii="inter" w:eastAsia="inter" w:hAnsi="inter" w:cs="inter"/>
          <w:sz w:val="18"/>
          <w:u w:val="single"/>
        </w:rPr>
        <w:t>https://ui-patterns.com/blog/designing-for-change-using-the-com-b-model-to-drive-behavior-change</w:t>
      </w:r>
      <w:r>
        <w:fldChar w:fldCharType="end"/>
      </w:r>
      <w:r>
        <w:rPr>
          <w:rFonts w:ascii="inter" w:eastAsia="inter" w:hAnsi="inter" w:cs="inter"/>
          <w:color w:val="000000"/>
          <w:sz w:val="18"/>
        </w:rPr>
        <w:t xml:space="preserve"> </w:t>
      </w:r>
    </w:p>
    <w:bookmarkStart w:id="157" w:name="fn28"/>
    <w:bookmarkEnd w:id="157"/>
    <w:p w14:paraId="4CDCA5F8" w14:textId="77777777" w:rsidR="0062429D" w:rsidRDefault="00000000">
      <w:pPr>
        <w:numPr>
          <w:ilvl w:val="0"/>
          <w:numId w:val="27"/>
        </w:numPr>
        <w:spacing w:after="210" w:line="360" w:lineRule="auto"/>
      </w:pPr>
      <w:r>
        <w:fldChar w:fldCharType="begin"/>
      </w:r>
      <w:r>
        <w:instrText>HYPERLINK "https://www.etd.ceu.edu/2012/fphwaz01.pdf" \h</w:instrText>
      </w:r>
      <w:r>
        <w:fldChar w:fldCharType="separate"/>
      </w:r>
      <w:r>
        <w:rPr>
          <w:rFonts w:ascii="inter" w:eastAsia="inter" w:hAnsi="inter" w:cs="inter"/>
          <w:sz w:val="18"/>
          <w:u w:val="single"/>
        </w:rPr>
        <w:t>https://www.etd.ceu.edu/2012/fphwaz01.pdf</w:t>
      </w:r>
      <w:r>
        <w:fldChar w:fldCharType="end"/>
      </w:r>
      <w:r>
        <w:rPr>
          <w:rFonts w:ascii="inter" w:eastAsia="inter" w:hAnsi="inter" w:cs="inter"/>
          <w:color w:val="000000"/>
          <w:sz w:val="18"/>
        </w:rPr>
        <w:t xml:space="preserve">   </w:t>
      </w:r>
    </w:p>
    <w:bookmarkStart w:id="158" w:name="fn29"/>
    <w:bookmarkEnd w:id="158"/>
    <w:p w14:paraId="47D7FF0C" w14:textId="77777777" w:rsidR="0062429D" w:rsidRDefault="00000000">
      <w:pPr>
        <w:numPr>
          <w:ilvl w:val="0"/>
          <w:numId w:val="27"/>
        </w:numPr>
        <w:spacing w:after="210" w:line="360" w:lineRule="auto"/>
      </w:pPr>
      <w:r>
        <w:fldChar w:fldCharType="begin"/>
      </w:r>
      <w:r>
        <w:instrText>HYPERLINK "http://www.scielo.org.mx/scielo.php?script=sci_arttext&amp;pid=S0011-15032016000100035" \h</w:instrText>
      </w:r>
      <w:r>
        <w:fldChar w:fldCharType="separate"/>
      </w:r>
      <w:r>
        <w:rPr>
          <w:rFonts w:ascii="inter" w:eastAsia="inter" w:hAnsi="inter" w:cs="inter"/>
          <w:sz w:val="18"/>
          <w:u w:val="single"/>
        </w:rPr>
        <w:t>http://www.scielo.org.mx/scielo.php?script=sci_arttext&amp;pid=S0011-15032016000100035</w:t>
      </w:r>
      <w:r>
        <w:fldChar w:fldCharType="end"/>
      </w:r>
      <w:r>
        <w:rPr>
          <w:rFonts w:ascii="inter" w:eastAsia="inter" w:hAnsi="inter" w:cs="inter"/>
          <w:color w:val="000000"/>
          <w:sz w:val="18"/>
        </w:rPr>
        <w:t xml:space="preserve">   </w:t>
      </w:r>
    </w:p>
    <w:bookmarkStart w:id="159" w:name="fn30"/>
    <w:bookmarkEnd w:id="159"/>
    <w:p w14:paraId="4460550A" w14:textId="77777777" w:rsidR="0062429D" w:rsidRDefault="00000000">
      <w:pPr>
        <w:numPr>
          <w:ilvl w:val="0"/>
          <w:numId w:val="27"/>
        </w:numPr>
        <w:spacing w:after="210" w:line="360" w:lineRule="auto"/>
      </w:pPr>
      <w:r>
        <w:fldChar w:fldCharType="begin"/>
      </w:r>
      <w:r>
        <w:instrText>HYPERLINK "https://plato.stanford.edu/archives/fall2013/entries/weakness-will/" \h</w:instrText>
      </w:r>
      <w:r>
        <w:fldChar w:fldCharType="separate"/>
      </w:r>
      <w:r>
        <w:rPr>
          <w:rFonts w:ascii="inter" w:eastAsia="inter" w:hAnsi="inter" w:cs="inter"/>
          <w:sz w:val="18"/>
          <w:u w:val="single"/>
        </w:rPr>
        <w:t>https://plato.stanford.edu/archives/fall2013/entries/weakness-will/</w:t>
      </w:r>
      <w:r>
        <w:fldChar w:fldCharType="end"/>
      </w:r>
      <w:r>
        <w:rPr>
          <w:rFonts w:ascii="inter" w:eastAsia="inter" w:hAnsi="inter" w:cs="inter"/>
          <w:color w:val="000000"/>
          <w:sz w:val="18"/>
        </w:rPr>
        <w:t xml:space="preserve">  </w:t>
      </w:r>
    </w:p>
    <w:bookmarkStart w:id="160" w:name="fn31"/>
    <w:bookmarkEnd w:id="160"/>
    <w:p w14:paraId="3EAB26C4" w14:textId="77777777" w:rsidR="0062429D" w:rsidRDefault="00000000">
      <w:pPr>
        <w:numPr>
          <w:ilvl w:val="0"/>
          <w:numId w:val="27"/>
        </w:numPr>
        <w:spacing w:after="210" w:line="360" w:lineRule="auto"/>
      </w:pPr>
      <w:r>
        <w:fldChar w:fldCharType="begin"/>
      </w:r>
      <w:r>
        <w:instrText>HYPERLINK "https://philarchive.org/archive/GORWIT" \h</w:instrText>
      </w:r>
      <w:r>
        <w:fldChar w:fldCharType="separate"/>
      </w:r>
      <w:r>
        <w:rPr>
          <w:rFonts w:ascii="inter" w:eastAsia="inter" w:hAnsi="inter" w:cs="inter"/>
          <w:sz w:val="18"/>
          <w:u w:val="single"/>
        </w:rPr>
        <w:t>https://philarchive.org/archive/GORWIT</w:t>
      </w:r>
      <w:r>
        <w:fldChar w:fldCharType="end"/>
      </w:r>
      <w:r>
        <w:rPr>
          <w:rFonts w:ascii="inter" w:eastAsia="inter" w:hAnsi="inter" w:cs="inter"/>
          <w:color w:val="000000"/>
          <w:sz w:val="18"/>
        </w:rPr>
        <w:t xml:space="preserve"> </w:t>
      </w:r>
    </w:p>
    <w:bookmarkStart w:id="161" w:name="fn32"/>
    <w:bookmarkEnd w:id="161"/>
    <w:p w14:paraId="46FB07A4" w14:textId="77777777" w:rsidR="0062429D" w:rsidRDefault="00000000">
      <w:pPr>
        <w:numPr>
          <w:ilvl w:val="0"/>
          <w:numId w:val="27"/>
        </w:numPr>
        <w:spacing w:after="210" w:line="360" w:lineRule="auto"/>
      </w:pPr>
      <w:r>
        <w:fldChar w:fldCharType="begin"/>
      </w:r>
      <w:r>
        <w:instrText>HYPERLINK "https://www.repository.cam.ac.uk/bitstreams/354412fe-5aad-4258-a67a-4eae5ade20d1/download" \h</w:instrText>
      </w:r>
      <w:r>
        <w:fldChar w:fldCharType="separate"/>
      </w:r>
      <w:r>
        <w:rPr>
          <w:rFonts w:ascii="inter" w:eastAsia="inter" w:hAnsi="inter" w:cs="inter"/>
          <w:sz w:val="18"/>
          <w:u w:val="single"/>
        </w:rPr>
        <w:t>https://www.repository.cam.ac.uk/bitstreams/354412fe-5aad-4258-a67a-4eae5ade20d1/download</w:t>
      </w:r>
      <w:r>
        <w:fldChar w:fldCharType="end"/>
      </w:r>
      <w:r>
        <w:rPr>
          <w:rFonts w:ascii="inter" w:eastAsia="inter" w:hAnsi="inter" w:cs="inter"/>
          <w:color w:val="000000"/>
          <w:sz w:val="18"/>
        </w:rPr>
        <w:t xml:space="preserve"> </w:t>
      </w:r>
    </w:p>
    <w:bookmarkStart w:id="162" w:name="fn33"/>
    <w:bookmarkEnd w:id="162"/>
    <w:p w14:paraId="276101A3" w14:textId="77777777" w:rsidR="0062429D" w:rsidRDefault="00000000">
      <w:pPr>
        <w:numPr>
          <w:ilvl w:val="0"/>
          <w:numId w:val="27"/>
        </w:numPr>
        <w:spacing w:after="210" w:line="360" w:lineRule="auto"/>
      </w:pPr>
      <w:r>
        <w:fldChar w:fldCharType="begin"/>
      </w:r>
      <w:r>
        <w:instrText>HYPERLINK "https://philarchive.org/archive/MAKIIA" \h</w:instrText>
      </w:r>
      <w:r>
        <w:fldChar w:fldCharType="separate"/>
      </w:r>
      <w:r>
        <w:rPr>
          <w:rFonts w:ascii="inter" w:eastAsia="inter" w:hAnsi="inter" w:cs="inter"/>
          <w:sz w:val="18"/>
          <w:u w:val="single"/>
        </w:rPr>
        <w:t>https://philarchive.org/archive/MAKIIA</w:t>
      </w:r>
      <w:r>
        <w:fldChar w:fldCharType="end"/>
      </w:r>
      <w:r>
        <w:rPr>
          <w:rFonts w:ascii="inter" w:eastAsia="inter" w:hAnsi="inter" w:cs="inter"/>
          <w:color w:val="000000"/>
          <w:sz w:val="18"/>
        </w:rPr>
        <w:t xml:space="preserve"> </w:t>
      </w:r>
    </w:p>
    <w:bookmarkStart w:id="163" w:name="fn34"/>
    <w:bookmarkEnd w:id="163"/>
    <w:p w14:paraId="4F8882A3" w14:textId="77777777" w:rsidR="0062429D" w:rsidRDefault="00000000">
      <w:pPr>
        <w:numPr>
          <w:ilvl w:val="0"/>
          <w:numId w:val="27"/>
        </w:numPr>
        <w:spacing w:after="210" w:line="360" w:lineRule="auto"/>
      </w:pPr>
      <w:r>
        <w:fldChar w:fldCharType="begin"/>
      </w:r>
      <w:r>
        <w:instrText>HYPERLINK "https://www.reddit.com/r/philosophy/comments/27oiw1/weekly_discussion_frankfurts_account_of_freedom/" \h</w:instrText>
      </w:r>
      <w:r>
        <w:fldChar w:fldCharType="separate"/>
      </w:r>
      <w:r>
        <w:rPr>
          <w:rFonts w:ascii="inter" w:eastAsia="inter" w:hAnsi="inter" w:cs="inter"/>
          <w:sz w:val="18"/>
          <w:u w:val="single"/>
        </w:rPr>
        <w:t>https://www.reddit.com/r/philosophy/comments/27oiw1/weekly_discussion_frankfurts_account_of_freedom/</w:t>
      </w:r>
      <w:r>
        <w:fldChar w:fldCharType="end"/>
      </w:r>
      <w:r>
        <w:rPr>
          <w:rFonts w:ascii="inter" w:eastAsia="inter" w:hAnsi="inter" w:cs="inter"/>
          <w:color w:val="000000"/>
          <w:sz w:val="18"/>
        </w:rPr>
        <w:t xml:space="preserve"> </w:t>
      </w:r>
    </w:p>
    <w:bookmarkStart w:id="164" w:name="fn35"/>
    <w:bookmarkEnd w:id="164"/>
    <w:p w14:paraId="43087870" w14:textId="77777777" w:rsidR="0062429D" w:rsidRDefault="00000000">
      <w:pPr>
        <w:numPr>
          <w:ilvl w:val="0"/>
          <w:numId w:val="27"/>
        </w:numPr>
        <w:spacing w:after="210" w:line="360" w:lineRule="auto"/>
      </w:pPr>
      <w:r>
        <w:fldChar w:fldCharType="begin"/>
      </w:r>
      <w:r>
        <w:instrText>HYPERLINK "http://www.mapageweb.umontreal.ca/laurier/textes/phi-6330-h12/Bratman-Intention-Belief-Instrumental-Rationality-09.pdf" \h</w:instrText>
      </w:r>
      <w:r>
        <w:fldChar w:fldCharType="separate"/>
      </w:r>
      <w:r>
        <w:rPr>
          <w:rFonts w:ascii="inter" w:eastAsia="inter" w:hAnsi="inter" w:cs="inter"/>
          <w:sz w:val="18"/>
          <w:u w:val="single"/>
        </w:rPr>
        <w:t>http://www.mapageweb.umontreal.ca/laurier/textes/phi-6330-h12/Bratman-Intention-Belief-Instrumental-Rationality-09.pdf</w:t>
      </w:r>
      <w:r>
        <w:fldChar w:fldCharType="end"/>
      </w:r>
      <w:r>
        <w:rPr>
          <w:rFonts w:ascii="inter" w:eastAsia="inter" w:hAnsi="inter" w:cs="inter"/>
          <w:color w:val="000000"/>
          <w:sz w:val="18"/>
        </w:rPr>
        <w:t xml:space="preserve"> </w:t>
      </w:r>
    </w:p>
    <w:bookmarkStart w:id="165" w:name="fn36"/>
    <w:bookmarkEnd w:id="165"/>
    <w:p w14:paraId="370136A2" w14:textId="77777777" w:rsidR="0062429D" w:rsidRDefault="00000000">
      <w:pPr>
        <w:numPr>
          <w:ilvl w:val="0"/>
          <w:numId w:val="27"/>
        </w:numPr>
        <w:spacing w:after="210" w:line="360" w:lineRule="auto"/>
      </w:pPr>
      <w:r>
        <w:fldChar w:fldCharType="begin"/>
      </w:r>
      <w:r>
        <w:instrText>HYPERLINK "https://iep.utm.edu/humemora/" \h</w:instrText>
      </w:r>
      <w:r>
        <w:fldChar w:fldCharType="separate"/>
      </w:r>
      <w:r>
        <w:rPr>
          <w:rFonts w:ascii="inter" w:eastAsia="inter" w:hAnsi="inter" w:cs="inter"/>
          <w:sz w:val="18"/>
          <w:u w:val="single"/>
        </w:rPr>
        <w:t>https://iep.utm.edu/humemora/</w:t>
      </w:r>
      <w:r>
        <w:fldChar w:fldCharType="end"/>
      </w:r>
      <w:r>
        <w:rPr>
          <w:rFonts w:ascii="inter" w:eastAsia="inter" w:hAnsi="inter" w:cs="inter"/>
          <w:color w:val="000000"/>
          <w:sz w:val="18"/>
        </w:rPr>
        <w:t xml:space="preserve"> </w:t>
      </w:r>
    </w:p>
    <w:bookmarkStart w:id="166" w:name="fn37"/>
    <w:bookmarkEnd w:id="166"/>
    <w:p w14:paraId="4499A571" w14:textId="77777777" w:rsidR="0062429D" w:rsidRDefault="00000000">
      <w:pPr>
        <w:numPr>
          <w:ilvl w:val="0"/>
          <w:numId w:val="27"/>
        </w:numPr>
        <w:spacing w:after="210" w:line="360" w:lineRule="auto"/>
      </w:pPr>
      <w:r>
        <w:fldChar w:fldCharType="begin"/>
      </w:r>
      <w:r>
        <w:instrText>HYPERLINK "https://www.emse.fr/~boissier/enseignement/defiia/up5/pdf/Bratman-PlansPracticalResoning.pdf" \h</w:instrText>
      </w:r>
      <w:r>
        <w:fldChar w:fldCharType="separate"/>
      </w:r>
      <w:r>
        <w:rPr>
          <w:rFonts w:ascii="inter" w:eastAsia="inter" w:hAnsi="inter" w:cs="inter"/>
          <w:sz w:val="18"/>
          <w:u w:val="single"/>
        </w:rPr>
        <w:t>https://www.emse.fr/~boissier/enseignement/defiia/up5/pdf/Bratman-PlansPracticalResoning.pdf</w:t>
      </w:r>
      <w:r>
        <w:fldChar w:fldCharType="end"/>
      </w:r>
      <w:r>
        <w:rPr>
          <w:rFonts w:ascii="inter" w:eastAsia="inter" w:hAnsi="inter" w:cs="inter"/>
          <w:color w:val="000000"/>
          <w:sz w:val="18"/>
        </w:rPr>
        <w:t xml:space="preserve"> </w:t>
      </w:r>
    </w:p>
    <w:bookmarkStart w:id="167" w:name="fn38"/>
    <w:bookmarkEnd w:id="167"/>
    <w:p w14:paraId="556CA98E" w14:textId="77777777" w:rsidR="0062429D" w:rsidRDefault="00000000">
      <w:pPr>
        <w:numPr>
          <w:ilvl w:val="0"/>
          <w:numId w:val="27"/>
        </w:numPr>
        <w:spacing w:after="210" w:line="360" w:lineRule="auto"/>
      </w:pPr>
      <w:r>
        <w:fldChar w:fldCharType="begin"/>
      </w:r>
      <w:r>
        <w:instrText>HYPERLINK "https://pmc.ncbi.nlm.nih.gov/articles/PMC11638286/" \h</w:instrText>
      </w:r>
      <w:r>
        <w:fldChar w:fldCharType="separate"/>
      </w:r>
      <w:r>
        <w:rPr>
          <w:rFonts w:ascii="inter" w:eastAsia="inter" w:hAnsi="inter" w:cs="inter"/>
          <w:sz w:val="18"/>
          <w:u w:val="single"/>
        </w:rPr>
        <w:t>https://pmc.ncbi.nlm.nih.gov/articles/PMC11638286/</w:t>
      </w:r>
      <w:r>
        <w:fldChar w:fldCharType="end"/>
      </w:r>
      <w:r>
        <w:rPr>
          <w:rFonts w:ascii="inter" w:eastAsia="inter" w:hAnsi="inter" w:cs="inter"/>
          <w:color w:val="000000"/>
          <w:sz w:val="18"/>
        </w:rPr>
        <w:t xml:space="preserve"> </w:t>
      </w:r>
    </w:p>
    <w:bookmarkStart w:id="168" w:name="fn39"/>
    <w:bookmarkEnd w:id="168"/>
    <w:p w14:paraId="44B18DB1" w14:textId="77777777" w:rsidR="0062429D" w:rsidRDefault="00000000">
      <w:pPr>
        <w:numPr>
          <w:ilvl w:val="0"/>
          <w:numId w:val="27"/>
        </w:numPr>
        <w:spacing w:after="210" w:line="360" w:lineRule="auto"/>
      </w:pPr>
      <w:r>
        <w:fldChar w:fldCharType="begin"/>
      </w:r>
      <w:r>
        <w:instrText>HYPERLINK "https://ndpr.nd.edu/reviews/shared-and-institutional-agencytoward-a-planning-theory-of-human-practical-organization/" \h</w:instrText>
      </w:r>
      <w:r>
        <w:fldChar w:fldCharType="separate"/>
      </w:r>
      <w:r>
        <w:rPr>
          <w:rFonts w:ascii="inter" w:eastAsia="inter" w:hAnsi="inter" w:cs="inter"/>
          <w:sz w:val="18"/>
          <w:u w:val="single"/>
        </w:rPr>
        <w:t>https://ndpr.nd.edu/reviews/shared-and-institutional-agencytoward-a-planning-theory-of-human-practical-organization/</w:t>
      </w:r>
      <w:r>
        <w:fldChar w:fldCharType="end"/>
      </w:r>
      <w:r>
        <w:rPr>
          <w:rFonts w:ascii="inter" w:eastAsia="inter" w:hAnsi="inter" w:cs="inter"/>
          <w:color w:val="000000"/>
          <w:sz w:val="18"/>
        </w:rPr>
        <w:t xml:space="preserve"> </w:t>
      </w:r>
    </w:p>
    <w:bookmarkStart w:id="169" w:name="fn40"/>
    <w:bookmarkEnd w:id="169"/>
    <w:p w14:paraId="6A95A8B9" w14:textId="77777777" w:rsidR="0062429D" w:rsidRDefault="00000000">
      <w:pPr>
        <w:numPr>
          <w:ilvl w:val="0"/>
          <w:numId w:val="27"/>
        </w:numPr>
        <w:spacing w:after="210" w:line="360" w:lineRule="auto"/>
      </w:pPr>
      <w:r>
        <w:fldChar w:fldCharType="begin"/>
      </w:r>
      <w:r>
        <w:instrText>HYPERLINK "https://www.jstor.org/stable/2024717" \h</w:instrText>
      </w:r>
      <w:r>
        <w:fldChar w:fldCharType="separate"/>
      </w:r>
      <w:r>
        <w:rPr>
          <w:rFonts w:ascii="inter" w:eastAsia="inter" w:hAnsi="inter" w:cs="inter"/>
          <w:sz w:val="18"/>
          <w:u w:val="single"/>
        </w:rPr>
        <w:t>https://www.jstor.org/stable/2024717</w:t>
      </w:r>
      <w:r>
        <w:fldChar w:fldCharType="end"/>
      </w:r>
      <w:r>
        <w:rPr>
          <w:rFonts w:ascii="inter" w:eastAsia="inter" w:hAnsi="inter" w:cs="inter"/>
          <w:color w:val="000000"/>
          <w:sz w:val="18"/>
        </w:rPr>
        <w:t xml:space="preserve"> </w:t>
      </w:r>
    </w:p>
    <w:bookmarkStart w:id="170" w:name="fn41"/>
    <w:bookmarkEnd w:id="170"/>
    <w:p w14:paraId="0A76B0DB" w14:textId="77777777" w:rsidR="0062429D" w:rsidRDefault="00000000">
      <w:pPr>
        <w:numPr>
          <w:ilvl w:val="0"/>
          <w:numId w:val="27"/>
        </w:numPr>
        <w:spacing w:after="210" w:line="360" w:lineRule="auto"/>
      </w:pPr>
      <w:r>
        <w:fldChar w:fldCharType="begin"/>
      </w:r>
      <w:r>
        <w:instrText>HYPERLINK "https://philarchive.org/archive/CYRCAL" \h</w:instrText>
      </w:r>
      <w:r>
        <w:fldChar w:fldCharType="separate"/>
      </w:r>
      <w:r>
        <w:rPr>
          <w:rFonts w:ascii="inter" w:eastAsia="inter" w:hAnsi="inter" w:cs="inter"/>
          <w:sz w:val="18"/>
          <w:u w:val="single"/>
        </w:rPr>
        <w:t>https://philarchive.org/archive/CYRCAL</w:t>
      </w:r>
      <w:r>
        <w:fldChar w:fldCharType="end"/>
      </w:r>
      <w:r>
        <w:rPr>
          <w:rFonts w:ascii="inter" w:eastAsia="inter" w:hAnsi="inter" w:cs="inter"/>
          <w:color w:val="000000"/>
          <w:sz w:val="18"/>
        </w:rPr>
        <w:t xml:space="preserve"> </w:t>
      </w:r>
    </w:p>
    <w:bookmarkStart w:id="171" w:name="fn42"/>
    <w:bookmarkEnd w:id="171"/>
    <w:p w14:paraId="066B6767" w14:textId="77777777" w:rsidR="0062429D" w:rsidRDefault="00000000">
      <w:pPr>
        <w:numPr>
          <w:ilvl w:val="0"/>
          <w:numId w:val="27"/>
        </w:numPr>
        <w:spacing w:after="210" w:line="360" w:lineRule="auto"/>
      </w:pPr>
      <w:r>
        <w:fldChar w:fldCharType="begin"/>
      </w:r>
      <w:r>
        <w:instrText>HYPERLINK "https://plato.stanford.edu/archives/fall2014/entries/intention/" \h</w:instrText>
      </w:r>
      <w:r>
        <w:fldChar w:fldCharType="separate"/>
      </w:r>
      <w:r>
        <w:rPr>
          <w:rFonts w:ascii="inter" w:eastAsia="inter" w:hAnsi="inter" w:cs="inter"/>
          <w:sz w:val="18"/>
          <w:u w:val="single"/>
        </w:rPr>
        <w:t>https://plato.stanford.edu/archives/fall2014/entries/intention/</w:t>
      </w:r>
      <w:r>
        <w:fldChar w:fldCharType="end"/>
      </w:r>
      <w:r>
        <w:rPr>
          <w:rFonts w:ascii="inter" w:eastAsia="inter" w:hAnsi="inter" w:cs="inter"/>
          <w:color w:val="000000"/>
          <w:sz w:val="18"/>
        </w:rPr>
        <w:t xml:space="preserve"> </w:t>
      </w:r>
    </w:p>
    <w:bookmarkStart w:id="172" w:name="fn43"/>
    <w:bookmarkEnd w:id="172"/>
    <w:p w14:paraId="616A837A" w14:textId="77777777" w:rsidR="0062429D" w:rsidRDefault="00000000">
      <w:pPr>
        <w:numPr>
          <w:ilvl w:val="0"/>
          <w:numId w:val="27"/>
        </w:numPr>
        <w:spacing w:after="210" w:line="360" w:lineRule="auto"/>
      </w:pPr>
      <w:r>
        <w:fldChar w:fldCharType="begin"/>
      </w:r>
      <w:r>
        <w:instrText>HYPERLINK "https://brainhealth.rutgers.edu/wp-content/uploads/2022/04/Moustafa_Gluck_prefrontal-basal_ganglia_model_of_Parkinsons_disease_2011.pdf" \h</w:instrText>
      </w:r>
      <w:r>
        <w:fldChar w:fldCharType="separate"/>
      </w:r>
      <w:r>
        <w:rPr>
          <w:rFonts w:ascii="inter" w:eastAsia="inter" w:hAnsi="inter" w:cs="inter"/>
          <w:sz w:val="18"/>
          <w:u w:val="single"/>
        </w:rPr>
        <w:t>https://brainhealth.rutgers.edu/wp-content/uploads/2022/04/Moustafa_Gluck_prefrontal-basal_ganglia_model_of_Parkinsons_disease_2011.pdf</w:t>
      </w:r>
      <w:r>
        <w:fldChar w:fldCharType="end"/>
      </w:r>
      <w:r>
        <w:rPr>
          <w:rFonts w:ascii="inter" w:eastAsia="inter" w:hAnsi="inter" w:cs="inter"/>
          <w:color w:val="000000"/>
          <w:sz w:val="18"/>
        </w:rPr>
        <w:t xml:space="preserve"> </w:t>
      </w:r>
    </w:p>
    <w:bookmarkStart w:id="173" w:name="fn44"/>
    <w:bookmarkEnd w:id="173"/>
    <w:p w14:paraId="4E42CDD7" w14:textId="77777777" w:rsidR="0062429D" w:rsidRDefault="00000000">
      <w:pPr>
        <w:numPr>
          <w:ilvl w:val="0"/>
          <w:numId w:val="27"/>
        </w:numPr>
        <w:spacing w:after="210" w:line="360" w:lineRule="auto"/>
      </w:pPr>
      <w:r>
        <w:fldChar w:fldCharType="begin"/>
      </w:r>
      <w:r>
        <w:instrText>HYPERLINK "https://pubmed.ncbi.nlm.nih.gov/39847590/" \h</w:instrText>
      </w:r>
      <w:r>
        <w:fldChar w:fldCharType="separate"/>
      </w:r>
      <w:r>
        <w:rPr>
          <w:rFonts w:ascii="inter" w:eastAsia="inter" w:hAnsi="inter" w:cs="inter"/>
          <w:sz w:val="18"/>
          <w:u w:val="single"/>
        </w:rPr>
        <w:t>https://pubmed.ncbi.nlm.nih.gov/39847590/</w:t>
      </w:r>
      <w:r>
        <w:fldChar w:fldCharType="end"/>
      </w:r>
      <w:r>
        <w:rPr>
          <w:rFonts w:ascii="inter" w:eastAsia="inter" w:hAnsi="inter" w:cs="inter"/>
          <w:color w:val="000000"/>
          <w:sz w:val="18"/>
        </w:rPr>
        <w:t xml:space="preserve"> </w:t>
      </w:r>
    </w:p>
    <w:bookmarkStart w:id="174" w:name="fn45"/>
    <w:bookmarkEnd w:id="174"/>
    <w:p w14:paraId="73DF87DF" w14:textId="77777777" w:rsidR="0062429D" w:rsidRDefault="00000000">
      <w:pPr>
        <w:numPr>
          <w:ilvl w:val="0"/>
          <w:numId w:val="27"/>
        </w:numPr>
        <w:spacing w:after="210" w:line="360" w:lineRule="auto"/>
      </w:pPr>
      <w:r>
        <w:fldChar w:fldCharType="begin"/>
      </w:r>
      <w:r>
        <w:instrText>HYPERLINK "https://en.wikipedia.org/wiki/Cortico-basal_ganglia-thalamo-cortical_loop" \h</w:instrText>
      </w:r>
      <w:r>
        <w:fldChar w:fldCharType="separate"/>
      </w:r>
      <w:r>
        <w:rPr>
          <w:rFonts w:ascii="inter" w:eastAsia="inter" w:hAnsi="inter" w:cs="inter"/>
          <w:sz w:val="18"/>
          <w:u w:val="single"/>
        </w:rPr>
        <w:t>https://en.wikipedia.org/wiki/Cortico-basal_ganglia-thalamo-cortical_loop</w:t>
      </w:r>
      <w:r>
        <w:fldChar w:fldCharType="end"/>
      </w:r>
      <w:r>
        <w:rPr>
          <w:rFonts w:ascii="inter" w:eastAsia="inter" w:hAnsi="inter" w:cs="inter"/>
          <w:color w:val="000000"/>
          <w:sz w:val="18"/>
        </w:rPr>
        <w:t xml:space="preserve"> </w:t>
      </w:r>
    </w:p>
    <w:bookmarkStart w:id="175" w:name="fn46"/>
    <w:bookmarkEnd w:id="175"/>
    <w:p w14:paraId="616C5CE3" w14:textId="77777777" w:rsidR="0062429D" w:rsidRDefault="00000000">
      <w:pPr>
        <w:numPr>
          <w:ilvl w:val="0"/>
          <w:numId w:val="27"/>
        </w:numPr>
        <w:spacing w:after="210" w:line="360" w:lineRule="auto"/>
      </w:pPr>
      <w:r>
        <w:fldChar w:fldCharType="begin"/>
      </w:r>
      <w:r>
        <w:instrText>HYPERLINK "https://dl.acm.org/doi/abs/10.1162/0898929052880093" \h</w:instrText>
      </w:r>
      <w:r>
        <w:fldChar w:fldCharType="separate"/>
      </w:r>
      <w:r>
        <w:rPr>
          <w:rFonts w:ascii="inter" w:eastAsia="inter" w:hAnsi="inter" w:cs="inter"/>
          <w:sz w:val="18"/>
          <w:u w:val="single"/>
        </w:rPr>
        <w:t>https://dl.acm.org/doi/abs/10.1162/0898929052880093</w:t>
      </w:r>
      <w:r>
        <w:fldChar w:fldCharType="end"/>
      </w:r>
      <w:r>
        <w:rPr>
          <w:rFonts w:ascii="inter" w:eastAsia="inter" w:hAnsi="inter" w:cs="inter"/>
          <w:color w:val="000000"/>
          <w:sz w:val="18"/>
        </w:rPr>
        <w:t xml:space="preserve"> </w:t>
      </w:r>
    </w:p>
    <w:bookmarkStart w:id="176" w:name="fn47"/>
    <w:bookmarkEnd w:id="176"/>
    <w:p w14:paraId="15345971" w14:textId="77777777" w:rsidR="0062429D" w:rsidRDefault="00000000">
      <w:pPr>
        <w:numPr>
          <w:ilvl w:val="0"/>
          <w:numId w:val="27"/>
        </w:numPr>
        <w:spacing w:after="210" w:line="360" w:lineRule="auto"/>
      </w:pPr>
      <w:r>
        <w:fldChar w:fldCharType="begin"/>
      </w:r>
      <w:r>
        <w:instrText>HYPERLINK "https://www.gingjehli.com/publications" \h</w:instrText>
      </w:r>
      <w:r>
        <w:fldChar w:fldCharType="separate"/>
      </w:r>
      <w:r>
        <w:rPr>
          <w:rFonts w:ascii="inter" w:eastAsia="inter" w:hAnsi="inter" w:cs="inter"/>
          <w:sz w:val="18"/>
          <w:u w:val="single"/>
        </w:rPr>
        <w:t>https://www.gingjehli.com/publications</w:t>
      </w:r>
      <w:r>
        <w:fldChar w:fldCharType="end"/>
      </w:r>
      <w:r>
        <w:rPr>
          <w:rFonts w:ascii="inter" w:eastAsia="inter" w:hAnsi="inter" w:cs="inter"/>
          <w:color w:val="000000"/>
          <w:sz w:val="18"/>
        </w:rPr>
        <w:t xml:space="preserve"> </w:t>
      </w:r>
    </w:p>
    <w:bookmarkStart w:id="177" w:name="fn48"/>
    <w:bookmarkEnd w:id="177"/>
    <w:p w14:paraId="145809E3" w14:textId="77777777" w:rsidR="0062429D" w:rsidRDefault="00000000">
      <w:pPr>
        <w:numPr>
          <w:ilvl w:val="0"/>
          <w:numId w:val="27"/>
        </w:numPr>
        <w:spacing w:after="210" w:line="360" w:lineRule="auto"/>
      </w:pPr>
      <w:r>
        <w:fldChar w:fldCharType="begin"/>
      </w:r>
      <w:r>
        <w:instrText>HYPERLINK "https://www.cmu.edu/dietrich/psychology/cognitiveaxon/documents/Dunovan_etal_2015.pdf" \h</w:instrText>
      </w:r>
      <w:r>
        <w:fldChar w:fldCharType="separate"/>
      </w:r>
      <w:r>
        <w:rPr>
          <w:rFonts w:ascii="inter" w:eastAsia="inter" w:hAnsi="inter" w:cs="inter"/>
          <w:sz w:val="18"/>
          <w:u w:val="single"/>
        </w:rPr>
        <w:t>https://www.cmu.edu/dietrich/psychology/cognitiveaxon/documents/Dunovan_etal_2015.pdf</w:t>
      </w:r>
      <w:r>
        <w:fldChar w:fldCharType="end"/>
      </w:r>
      <w:r>
        <w:rPr>
          <w:rFonts w:ascii="inter" w:eastAsia="inter" w:hAnsi="inter" w:cs="inter"/>
          <w:color w:val="000000"/>
          <w:sz w:val="18"/>
        </w:rPr>
        <w:t xml:space="preserve"> </w:t>
      </w:r>
    </w:p>
    <w:bookmarkStart w:id="178" w:name="fn49"/>
    <w:bookmarkEnd w:id="178"/>
    <w:p w14:paraId="10800808" w14:textId="77777777" w:rsidR="0062429D" w:rsidRDefault="00000000">
      <w:pPr>
        <w:numPr>
          <w:ilvl w:val="0"/>
          <w:numId w:val="27"/>
        </w:numPr>
        <w:spacing w:after="210" w:line="360" w:lineRule="auto"/>
      </w:pPr>
      <w:r>
        <w:fldChar w:fldCharType="begin"/>
      </w:r>
      <w:r>
        <w:instrText>HYPERLINK "https://modeldb.science/showmodel?model=79488" \h</w:instrText>
      </w:r>
      <w:r>
        <w:fldChar w:fldCharType="separate"/>
      </w:r>
      <w:r>
        <w:rPr>
          <w:rFonts w:ascii="inter" w:eastAsia="inter" w:hAnsi="inter" w:cs="inter"/>
          <w:sz w:val="18"/>
          <w:u w:val="single"/>
        </w:rPr>
        <w:t>https://modeldb.science/showmodel?model=79488</w:t>
      </w:r>
      <w:r>
        <w:fldChar w:fldCharType="end"/>
      </w:r>
      <w:r>
        <w:rPr>
          <w:rFonts w:ascii="inter" w:eastAsia="inter" w:hAnsi="inter" w:cs="inter"/>
          <w:color w:val="000000"/>
          <w:sz w:val="18"/>
        </w:rPr>
        <w:t xml:space="preserve"> </w:t>
      </w:r>
    </w:p>
    <w:bookmarkStart w:id="179" w:name="fn50"/>
    <w:bookmarkEnd w:id="179"/>
    <w:p w14:paraId="1AC0E816" w14:textId="77777777" w:rsidR="0062429D" w:rsidRDefault="00000000">
      <w:pPr>
        <w:numPr>
          <w:ilvl w:val="0"/>
          <w:numId w:val="27"/>
        </w:numPr>
        <w:spacing w:after="210" w:line="360" w:lineRule="auto"/>
      </w:pPr>
      <w:r>
        <w:fldChar w:fldCharType="begin"/>
      </w:r>
      <w:r>
        <w:instrText>HYPERLINK "https://www.biorxiv.org/content/10.1101/2025.10.30.685574v1.full-text" \h</w:instrText>
      </w:r>
      <w:r>
        <w:fldChar w:fldCharType="separate"/>
      </w:r>
      <w:r>
        <w:rPr>
          <w:rFonts w:ascii="inter" w:eastAsia="inter" w:hAnsi="inter" w:cs="inter"/>
          <w:sz w:val="18"/>
          <w:u w:val="single"/>
        </w:rPr>
        <w:t>https://www.biorxiv.org/content/10.1101/2025.10.30.685574v1.full-text</w:t>
      </w:r>
      <w:r>
        <w:fldChar w:fldCharType="end"/>
      </w:r>
      <w:r>
        <w:rPr>
          <w:rFonts w:ascii="inter" w:eastAsia="inter" w:hAnsi="inter" w:cs="inter"/>
          <w:color w:val="000000"/>
          <w:sz w:val="18"/>
        </w:rPr>
        <w:t xml:space="preserve"> </w:t>
      </w:r>
    </w:p>
    <w:bookmarkStart w:id="180" w:name="fn51"/>
    <w:bookmarkEnd w:id="180"/>
    <w:p w14:paraId="75944AE9" w14:textId="77777777" w:rsidR="0062429D" w:rsidRDefault="00000000">
      <w:pPr>
        <w:numPr>
          <w:ilvl w:val="0"/>
          <w:numId w:val="27"/>
        </w:numPr>
        <w:spacing w:after="210" w:line="360" w:lineRule="auto"/>
      </w:pPr>
      <w:r>
        <w:fldChar w:fldCharType="begin"/>
      </w:r>
      <w:r>
        <w:instrText>HYPERLINK "https://sweetinstitute.com/the-com-b-model-and-behavior-change/" \h</w:instrText>
      </w:r>
      <w:r>
        <w:fldChar w:fldCharType="separate"/>
      </w:r>
      <w:r>
        <w:rPr>
          <w:rFonts w:ascii="inter" w:eastAsia="inter" w:hAnsi="inter" w:cs="inter"/>
          <w:sz w:val="18"/>
          <w:u w:val="single"/>
        </w:rPr>
        <w:t>https://sweetinstitute.com/the-com-b-model-and-behavior-change/</w:t>
      </w:r>
      <w:r>
        <w:fldChar w:fldCharType="end"/>
      </w:r>
      <w:r>
        <w:rPr>
          <w:rFonts w:ascii="inter" w:eastAsia="inter" w:hAnsi="inter" w:cs="inter"/>
          <w:color w:val="000000"/>
          <w:sz w:val="18"/>
        </w:rPr>
        <w:t xml:space="preserve"> </w:t>
      </w:r>
    </w:p>
    <w:bookmarkStart w:id="181" w:name="fn52"/>
    <w:bookmarkEnd w:id="181"/>
    <w:p w14:paraId="550AD251" w14:textId="77777777" w:rsidR="0062429D" w:rsidRDefault="00000000">
      <w:pPr>
        <w:numPr>
          <w:ilvl w:val="0"/>
          <w:numId w:val="27"/>
        </w:numPr>
        <w:spacing w:after="210" w:line="360" w:lineRule="auto"/>
      </w:pPr>
      <w:r>
        <w:fldChar w:fldCharType="begin"/>
      </w:r>
      <w:r>
        <w:instrText>HYPERLINK "https://thedecisionlab.com/reference-guide/organizational-behavior/the-com-b-model-for-behavior-change" \h</w:instrText>
      </w:r>
      <w:r>
        <w:fldChar w:fldCharType="separate"/>
      </w:r>
      <w:r>
        <w:rPr>
          <w:rFonts w:ascii="inter" w:eastAsia="inter" w:hAnsi="inter" w:cs="inter"/>
          <w:sz w:val="18"/>
          <w:u w:val="single"/>
        </w:rPr>
        <w:t>https://thedecisionlab.com/reference-guide/organizational-behavior/the-com-b-model-for-behavior-change</w:t>
      </w:r>
      <w:r>
        <w:fldChar w:fldCharType="end"/>
      </w:r>
      <w:r>
        <w:rPr>
          <w:rFonts w:ascii="inter" w:eastAsia="inter" w:hAnsi="inter" w:cs="inter"/>
          <w:color w:val="000000"/>
          <w:sz w:val="18"/>
        </w:rPr>
        <w:t xml:space="preserve"> </w:t>
      </w:r>
    </w:p>
    <w:bookmarkStart w:id="182" w:name="fn53"/>
    <w:bookmarkEnd w:id="182"/>
    <w:p w14:paraId="1B334911" w14:textId="77777777" w:rsidR="0062429D" w:rsidRDefault="00000000">
      <w:pPr>
        <w:numPr>
          <w:ilvl w:val="0"/>
          <w:numId w:val="27"/>
        </w:numPr>
        <w:spacing w:after="210" w:line="360" w:lineRule="auto"/>
      </w:pPr>
      <w:r>
        <w:fldChar w:fldCharType="begin"/>
      </w:r>
      <w:r>
        <w:instrText>HYPERLINK "https://www.dunnhumby.com/resources/blog/ai-science-data/en/the-behaviour-change-wheel-using-psychology-to-encourage-healthier-and-more-sustainable-choices/" \h</w:instrText>
      </w:r>
      <w:r>
        <w:fldChar w:fldCharType="separate"/>
      </w:r>
      <w:r>
        <w:rPr>
          <w:rFonts w:ascii="inter" w:eastAsia="inter" w:hAnsi="inter" w:cs="inter"/>
          <w:sz w:val="18"/>
          <w:u w:val="single"/>
        </w:rPr>
        <w:t>https://www.dunnhumby.com/resources/blog/ai-science-data/en/the-behaviour-change-wheel-using-psychology-to-encourage-healthier-and-more-sustainable-choices/</w:t>
      </w:r>
      <w:r>
        <w:fldChar w:fldCharType="end"/>
      </w:r>
      <w:r>
        <w:rPr>
          <w:rFonts w:ascii="inter" w:eastAsia="inter" w:hAnsi="inter" w:cs="inter"/>
          <w:color w:val="000000"/>
          <w:sz w:val="18"/>
        </w:rPr>
        <w:t xml:space="preserve"> </w:t>
      </w:r>
    </w:p>
    <w:bookmarkStart w:id="183" w:name="fn54"/>
    <w:bookmarkEnd w:id="183"/>
    <w:p w14:paraId="1986CA46" w14:textId="77777777" w:rsidR="0062429D" w:rsidRDefault="00000000">
      <w:pPr>
        <w:numPr>
          <w:ilvl w:val="0"/>
          <w:numId w:val="27"/>
        </w:numPr>
        <w:spacing w:after="210" w:line="360" w:lineRule="auto"/>
      </w:pPr>
      <w:r>
        <w:fldChar w:fldCharType="begin"/>
      </w:r>
      <w:r>
        <w:instrText>HYPERLINK "https://paloaltou.edu/resources/business-of-practice-blog/behavior-change-wheel" \h</w:instrText>
      </w:r>
      <w:r>
        <w:fldChar w:fldCharType="separate"/>
      </w:r>
      <w:r>
        <w:rPr>
          <w:rFonts w:ascii="inter" w:eastAsia="inter" w:hAnsi="inter" w:cs="inter"/>
          <w:sz w:val="18"/>
          <w:u w:val="single"/>
        </w:rPr>
        <w:t>https://paloaltou.edu/resources/business-of-practice-blog/behavior-change-wheel</w:t>
      </w:r>
      <w:r>
        <w:fldChar w:fldCharType="end"/>
      </w:r>
      <w:r>
        <w:rPr>
          <w:rFonts w:ascii="inter" w:eastAsia="inter" w:hAnsi="inter" w:cs="inter"/>
          <w:color w:val="000000"/>
          <w:sz w:val="18"/>
        </w:rPr>
        <w:t xml:space="preserve"> </w:t>
      </w:r>
    </w:p>
    <w:bookmarkStart w:id="184" w:name="fn55"/>
    <w:bookmarkEnd w:id="184"/>
    <w:p w14:paraId="630AA2A3" w14:textId="77777777" w:rsidR="0062429D" w:rsidRDefault="00000000">
      <w:pPr>
        <w:numPr>
          <w:ilvl w:val="0"/>
          <w:numId w:val="27"/>
        </w:numPr>
        <w:spacing w:after="210" w:line="360" w:lineRule="auto"/>
      </w:pPr>
      <w:r>
        <w:fldChar w:fldCharType="begin"/>
      </w:r>
      <w:r>
        <w:instrText>HYPERLINK "https://thewellnesssociety.org/the-com-b-model-a-helpful-guide-for-coaches/" \h</w:instrText>
      </w:r>
      <w:r>
        <w:fldChar w:fldCharType="separate"/>
      </w:r>
      <w:r>
        <w:rPr>
          <w:rFonts w:ascii="inter" w:eastAsia="inter" w:hAnsi="inter" w:cs="inter"/>
          <w:sz w:val="18"/>
          <w:u w:val="single"/>
        </w:rPr>
        <w:t>https://thewellnesssociety.org/the-com-b-model-a-helpful-guide-for-coaches/</w:t>
      </w:r>
      <w:r>
        <w:fldChar w:fldCharType="end"/>
      </w:r>
      <w:r>
        <w:rPr>
          <w:rFonts w:ascii="inter" w:eastAsia="inter" w:hAnsi="inter" w:cs="inter"/>
          <w:color w:val="000000"/>
          <w:sz w:val="18"/>
        </w:rPr>
        <w:t xml:space="preserve"> </w:t>
      </w:r>
    </w:p>
    <w:bookmarkStart w:id="185" w:name="fn56"/>
    <w:bookmarkEnd w:id="185"/>
    <w:p w14:paraId="2A0E44CC" w14:textId="77777777" w:rsidR="0062429D" w:rsidRDefault="00000000">
      <w:pPr>
        <w:numPr>
          <w:ilvl w:val="0"/>
          <w:numId w:val="27"/>
        </w:numPr>
        <w:spacing w:after="210" w:line="360" w:lineRule="auto"/>
      </w:pPr>
      <w:r>
        <w:fldChar w:fldCharType="begin"/>
      </w:r>
      <w:r>
        <w:instrText>HYPERLINK "https://www.sciencedirect.com/org/science/article/pii/S096999882500013X" \h</w:instrText>
      </w:r>
      <w:r>
        <w:fldChar w:fldCharType="separate"/>
      </w:r>
      <w:r>
        <w:rPr>
          <w:rFonts w:ascii="inter" w:eastAsia="inter" w:hAnsi="inter" w:cs="inter"/>
          <w:sz w:val="18"/>
          <w:u w:val="single"/>
        </w:rPr>
        <w:t>https://www.sciencedirect.com/org/science/article/pii/S096999882500013X</w:t>
      </w:r>
      <w:r>
        <w:fldChar w:fldCharType="end"/>
      </w:r>
      <w:r>
        <w:rPr>
          <w:rFonts w:ascii="inter" w:eastAsia="inter" w:hAnsi="inter" w:cs="inter"/>
          <w:color w:val="000000"/>
          <w:sz w:val="18"/>
        </w:rPr>
        <w:t xml:space="preserve"> </w:t>
      </w:r>
    </w:p>
    <w:bookmarkStart w:id="186" w:name="fn57"/>
    <w:bookmarkEnd w:id="186"/>
    <w:p w14:paraId="00720A13" w14:textId="77777777" w:rsidR="0062429D" w:rsidRDefault="00000000">
      <w:pPr>
        <w:numPr>
          <w:ilvl w:val="0"/>
          <w:numId w:val="27"/>
        </w:numPr>
        <w:spacing w:after="210" w:line="360" w:lineRule="auto"/>
      </w:pPr>
      <w:r>
        <w:fldChar w:fldCharType="begin"/>
      </w:r>
      <w:r>
        <w:instrText>HYPERLINK "https://people-shift.com/articles/the-behavior-change-wheel/" \h</w:instrText>
      </w:r>
      <w:r>
        <w:fldChar w:fldCharType="separate"/>
      </w:r>
      <w:r>
        <w:rPr>
          <w:rFonts w:ascii="inter" w:eastAsia="inter" w:hAnsi="inter" w:cs="inter"/>
          <w:sz w:val="18"/>
          <w:u w:val="single"/>
        </w:rPr>
        <w:t>https://people-shift.com/articles/the-behavior-change-wheel/</w:t>
      </w:r>
      <w:r>
        <w:fldChar w:fldCharType="end"/>
      </w:r>
      <w:r>
        <w:rPr>
          <w:rFonts w:ascii="inter" w:eastAsia="inter" w:hAnsi="inter" w:cs="inter"/>
          <w:color w:val="000000"/>
          <w:sz w:val="18"/>
        </w:rPr>
        <w:t xml:space="preserve"> </w:t>
      </w:r>
    </w:p>
    <w:bookmarkStart w:id="187" w:name="fn58"/>
    <w:bookmarkEnd w:id="187"/>
    <w:p w14:paraId="31F924B7" w14:textId="77777777" w:rsidR="0062429D" w:rsidRDefault="00000000">
      <w:pPr>
        <w:numPr>
          <w:ilvl w:val="0"/>
          <w:numId w:val="27"/>
        </w:numPr>
        <w:spacing w:after="210" w:line="360" w:lineRule="auto"/>
      </w:pPr>
      <w:r>
        <w:fldChar w:fldCharType="begin"/>
      </w:r>
      <w:r>
        <w:instrText>HYPERLINK "https://www.qeios.com/read/WW04E6.2" \h</w:instrText>
      </w:r>
      <w:r>
        <w:fldChar w:fldCharType="separate"/>
      </w:r>
      <w:r>
        <w:rPr>
          <w:rFonts w:ascii="inter" w:eastAsia="inter" w:hAnsi="inter" w:cs="inter"/>
          <w:sz w:val="18"/>
          <w:u w:val="single"/>
        </w:rPr>
        <w:t>https://www.qeios.com/read/WW04E6.2</w:t>
      </w:r>
      <w:r>
        <w:fldChar w:fldCharType="end"/>
      </w:r>
      <w:r>
        <w:rPr>
          <w:rFonts w:ascii="inter" w:eastAsia="inter" w:hAnsi="inter" w:cs="inter"/>
          <w:color w:val="000000"/>
          <w:sz w:val="18"/>
        </w:rPr>
        <w:t xml:space="preserve"> </w:t>
      </w:r>
    </w:p>
    <w:bookmarkStart w:id="188" w:name="fn59"/>
    <w:bookmarkEnd w:id="188"/>
    <w:p w14:paraId="3E024198" w14:textId="77777777" w:rsidR="0062429D" w:rsidRDefault="00000000">
      <w:pPr>
        <w:numPr>
          <w:ilvl w:val="0"/>
          <w:numId w:val="27"/>
        </w:numPr>
        <w:spacing w:after="210" w:line="360" w:lineRule="auto"/>
      </w:pPr>
      <w:r>
        <w:fldChar w:fldCharType="begin"/>
      </w:r>
      <w:r>
        <w:instrText>HYPERLINK "https://swellandcut.com/mag-archive/" \h</w:instrText>
      </w:r>
      <w:r>
        <w:fldChar w:fldCharType="separate"/>
      </w:r>
      <w:r>
        <w:rPr>
          <w:rFonts w:ascii="inter" w:eastAsia="inter" w:hAnsi="inter" w:cs="inter"/>
          <w:sz w:val="18"/>
          <w:u w:val="single"/>
        </w:rPr>
        <w:t>https://swellandcut.com/mag-archive/</w:t>
      </w:r>
      <w:r>
        <w:fldChar w:fldCharType="end"/>
      </w:r>
      <w:r>
        <w:rPr>
          <w:rFonts w:ascii="inter" w:eastAsia="inter" w:hAnsi="inter" w:cs="inter"/>
          <w:color w:val="000000"/>
          <w:sz w:val="18"/>
        </w:rPr>
        <w:t xml:space="preserve"> </w:t>
      </w:r>
    </w:p>
    <w:bookmarkStart w:id="189" w:name="fn60"/>
    <w:bookmarkEnd w:id="189"/>
    <w:p w14:paraId="779B43A3" w14:textId="77777777" w:rsidR="0062429D" w:rsidRDefault="00000000">
      <w:pPr>
        <w:numPr>
          <w:ilvl w:val="0"/>
          <w:numId w:val="27"/>
        </w:numPr>
        <w:spacing w:after="210" w:line="360" w:lineRule="auto"/>
      </w:pPr>
      <w:r>
        <w:fldChar w:fldCharType="begin"/>
      </w:r>
      <w:r>
        <w:instrText>HYPERLINK "https://www.scribd.com/document/891214676/Sinhababu-Neil-Humean-nature" \h</w:instrText>
      </w:r>
      <w:r>
        <w:fldChar w:fldCharType="separate"/>
      </w:r>
      <w:r>
        <w:rPr>
          <w:rFonts w:ascii="inter" w:eastAsia="inter" w:hAnsi="inter" w:cs="inter"/>
          <w:sz w:val="18"/>
          <w:u w:val="single"/>
        </w:rPr>
        <w:t>https://www.scribd.com/document/891214676/Sinhababu-Neil-Humean-nature</w:t>
      </w:r>
      <w:r>
        <w:fldChar w:fldCharType="end"/>
      </w:r>
      <w:r>
        <w:rPr>
          <w:rFonts w:ascii="inter" w:eastAsia="inter" w:hAnsi="inter" w:cs="inter"/>
          <w:color w:val="000000"/>
          <w:sz w:val="18"/>
        </w:rPr>
        <w:t xml:space="preserve"> </w:t>
      </w:r>
    </w:p>
    <w:bookmarkStart w:id="190" w:name="fn61"/>
    <w:bookmarkEnd w:id="190"/>
    <w:p w14:paraId="1A7EBD74" w14:textId="77777777" w:rsidR="0062429D" w:rsidRDefault="00000000">
      <w:pPr>
        <w:numPr>
          <w:ilvl w:val="0"/>
          <w:numId w:val="27"/>
        </w:numPr>
        <w:spacing w:after="210" w:line="360" w:lineRule="auto"/>
      </w:pPr>
      <w:r>
        <w:fldChar w:fldCharType="begin"/>
      </w:r>
      <w:r>
        <w:instrText>HYPERLINK "https://coelsblog.wordpress.com/2017/11/10/another-philosopher-of-science-doesnt-understand-science/" \h</w:instrText>
      </w:r>
      <w:r>
        <w:fldChar w:fldCharType="separate"/>
      </w:r>
      <w:r>
        <w:rPr>
          <w:rFonts w:ascii="inter" w:eastAsia="inter" w:hAnsi="inter" w:cs="inter"/>
          <w:sz w:val="18"/>
          <w:u w:val="single"/>
        </w:rPr>
        <w:t>https://coelsblog.wordpress.com/2017/11/10/another-philosopher-of-science-doesnt-understand-science/</w:t>
      </w:r>
      <w:r>
        <w:fldChar w:fldCharType="end"/>
      </w:r>
      <w:r>
        <w:rPr>
          <w:rFonts w:ascii="inter" w:eastAsia="inter" w:hAnsi="inter" w:cs="inter"/>
          <w:color w:val="000000"/>
          <w:sz w:val="18"/>
        </w:rPr>
        <w:t xml:space="preserve"> </w:t>
      </w:r>
    </w:p>
    <w:bookmarkStart w:id="191" w:name="fn62"/>
    <w:bookmarkEnd w:id="191"/>
    <w:p w14:paraId="0B36BAB9" w14:textId="77777777" w:rsidR="0062429D" w:rsidRDefault="00000000">
      <w:pPr>
        <w:numPr>
          <w:ilvl w:val="0"/>
          <w:numId w:val="27"/>
        </w:numPr>
        <w:spacing w:after="210" w:line="360" w:lineRule="auto"/>
      </w:pPr>
      <w:r>
        <w:fldChar w:fldCharType="begin"/>
      </w:r>
      <w:r>
        <w:instrText>HYPERLINK "https://www.linkedin.com/posts/aaron-khoo-8807812_workstress-invisibleload-techleadership-activity-7415075671846334472-4aY9" \h</w:instrText>
      </w:r>
      <w:r>
        <w:fldChar w:fldCharType="separate"/>
      </w:r>
      <w:r>
        <w:rPr>
          <w:rFonts w:ascii="inter" w:eastAsia="inter" w:hAnsi="inter" w:cs="inter"/>
          <w:sz w:val="18"/>
          <w:u w:val="single"/>
        </w:rPr>
        <w:t>https://www.linkedin.com/posts/aaron-khoo-8807812_workstress-invisibleload-techleadership-activity-7415075671846334472-4aY9</w:t>
      </w:r>
      <w:r>
        <w:fldChar w:fldCharType="end"/>
      </w:r>
      <w:r>
        <w:rPr>
          <w:rFonts w:ascii="inter" w:eastAsia="inter" w:hAnsi="inter" w:cs="inter"/>
          <w:color w:val="000000"/>
          <w:sz w:val="18"/>
        </w:rPr>
        <w:t xml:space="preserve"> </w:t>
      </w:r>
    </w:p>
    <w:bookmarkStart w:id="192" w:name="fn63"/>
    <w:bookmarkEnd w:id="192"/>
    <w:p w14:paraId="4DA60BCB" w14:textId="77777777" w:rsidR="0062429D" w:rsidRDefault="00000000">
      <w:pPr>
        <w:numPr>
          <w:ilvl w:val="0"/>
          <w:numId w:val="27"/>
        </w:numPr>
        <w:spacing w:after="210" w:line="360" w:lineRule="auto"/>
      </w:pPr>
      <w:r>
        <w:fldChar w:fldCharType="begin"/>
      </w:r>
      <w:r>
        <w:instrText>HYPERLINK "https://www.sciencedirect.com/science/article/pii/S0896627308008362" \h</w:instrText>
      </w:r>
      <w:r>
        <w:fldChar w:fldCharType="separate"/>
      </w:r>
      <w:r>
        <w:rPr>
          <w:rFonts w:ascii="inter" w:eastAsia="inter" w:hAnsi="inter" w:cs="inter"/>
          <w:sz w:val="18"/>
          <w:u w:val="single"/>
        </w:rPr>
        <w:t>https://www.sciencedirect.com/science/article/pii/S0896627308008362</w:t>
      </w:r>
      <w:r>
        <w:fldChar w:fldCharType="end"/>
      </w:r>
      <w:r>
        <w:rPr>
          <w:rFonts w:ascii="inter" w:eastAsia="inter" w:hAnsi="inter" w:cs="inter"/>
          <w:color w:val="000000"/>
          <w:sz w:val="18"/>
        </w:rPr>
        <w:t xml:space="preserve"> </w:t>
      </w:r>
    </w:p>
    <w:bookmarkStart w:id="193" w:name="fn64"/>
    <w:bookmarkEnd w:id="193"/>
    <w:p w14:paraId="761F5A9C" w14:textId="77777777" w:rsidR="0062429D" w:rsidRDefault="00000000">
      <w:pPr>
        <w:numPr>
          <w:ilvl w:val="0"/>
          <w:numId w:val="27"/>
        </w:numPr>
        <w:spacing w:after="210" w:line="360" w:lineRule="auto"/>
      </w:pPr>
      <w:r>
        <w:fldChar w:fldCharType="begin"/>
      </w:r>
      <w:r>
        <w:instrText>HYPERLINK "https://www.reddit.com/r/Parahumans/comments/inz6mi/pho_sundays_yellow_though_the_fans_win/" \h</w:instrText>
      </w:r>
      <w:r>
        <w:fldChar w:fldCharType="separate"/>
      </w:r>
      <w:r>
        <w:rPr>
          <w:rFonts w:ascii="inter" w:eastAsia="inter" w:hAnsi="inter" w:cs="inter"/>
          <w:sz w:val="18"/>
          <w:u w:val="single"/>
        </w:rPr>
        <w:t>https://www.reddit.com/r/Parahumans/comments/inz6mi/pho_sundays_yellow_though_the_fans_win/</w:t>
      </w:r>
      <w:r>
        <w:fldChar w:fldCharType="end"/>
      </w:r>
      <w:r>
        <w:rPr>
          <w:rFonts w:ascii="inter" w:eastAsia="inter" w:hAnsi="inter" w:cs="inter"/>
          <w:color w:val="000000"/>
          <w:sz w:val="18"/>
        </w:rPr>
        <w:t xml:space="preserve"> </w:t>
      </w:r>
    </w:p>
    <w:bookmarkStart w:id="194" w:name="fn65"/>
    <w:bookmarkEnd w:id="194"/>
    <w:p w14:paraId="2BE41A25" w14:textId="77777777" w:rsidR="0062429D" w:rsidRDefault="00000000">
      <w:pPr>
        <w:numPr>
          <w:ilvl w:val="0"/>
          <w:numId w:val="27"/>
        </w:numPr>
        <w:spacing w:after="210" w:line="360" w:lineRule="auto"/>
      </w:pPr>
      <w:r>
        <w:fldChar w:fldCharType="begin"/>
      </w:r>
      <w:r>
        <w:instrText>HYPERLINK "https://www.sciencedirect.com/science/article/abs/pii/S0304406897000426" \h</w:instrText>
      </w:r>
      <w:r>
        <w:fldChar w:fldCharType="separate"/>
      </w:r>
      <w:r>
        <w:rPr>
          <w:rFonts w:ascii="inter" w:eastAsia="inter" w:hAnsi="inter" w:cs="inter"/>
          <w:sz w:val="18"/>
          <w:u w:val="single"/>
        </w:rPr>
        <w:t>https://www.sciencedirect.com/science/article/abs/pii/S0304406897000426</w:t>
      </w:r>
      <w:r>
        <w:fldChar w:fldCharType="end"/>
      </w:r>
      <w:r>
        <w:rPr>
          <w:rFonts w:ascii="inter" w:eastAsia="inter" w:hAnsi="inter" w:cs="inter"/>
          <w:color w:val="000000"/>
          <w:sz w:val="18"/>
        </w:rPr>
        <w:t xml:space="preserve"> </w:t>
      </w:r>
    </w:p>
    <w:bookmarkStart w:id="195" w:name="fn66"/>
    <w:bookmarkEnd w:id="195"/>
    <w:p w14:paraId="68CBC080" w14:textId="77777777" w:rsidR="0062429D" w:rsidRDefault="00000000">
      <w:pPr>
        <w:numPr>
          <w:ilvl w:val="0"/>
          <w:numId w:val="27"/>
        </w:numPr>
        <w:spacing w:after="210" w:line="360" w:lineRule="auto"/>
      </w:pPr>
      <w:r>
        <w:fldChar w:fldCharType="begin"/>
      </w:r>
      <w:r>
        <w:instrText>HYPERLINK "https://mitpress.ublish.com/book/rational-choice" \h</w:instrText>
      </w:r>
      <w:r>
        <w:fldChar w:fldCharType="separate"/>
      </w:r>
      <w:r>
        <w:rPr>
          <w:rFonts w:ascii="inter" w:eastAsia="inter" w:hAnsi="inter" w:cs="inter"/>
          <w:sz w:val="18"/>
          <w:u w:val="single"/>
        </w:rPr>
        <w:t>https://mitpress.ublish.com/book/rational-choice</w:t>
      </w:r>
      <w:r>
        <w:fldChar w:fldCharType="end"/>
      </w:r>
      <w:r>
        <w:rPr>
          <w:rFonts w:ascii="inter" w:eastAsia="inter" w:hAnsi="inter" w:cs="inter"/>
          <w:color w:val="000000"/>
          <w:sz w:val="18"/>
        </w:rPr>
        <w:t xml:space="preserve"> </w:t>
      </w:r>
    </w:p>
    <w:bookmarkStart w:id="196" w:name="fn67"/>
    <w:bookmarkEnd w:id="196"/>
    <w:p w14:paraId="6BA4DE24" w14:textId="77777777" w:rsidR="0062429D" w:rsidRDefault="00000000">
      <w:pPr>
        <w:numPr>
          <w:ilvl w:val="0"/>
          <w:numId w:val="27"/>
        </w:numPr>
        <w:spacing w:after="210" w:line="360" w:lineRule="auto"/>
      </w:pPr>
      <w:r>
        <w:fldChar w:fldCharType="begin"/>
      </w:r>
      <w:r>
        <w:instrText>HYPERLINK "http://www.geoffroydeclippel.net/Publications%20PDFs/good-enough.pdf" \h</w:instrText>
      </w:r>
      <w:r>
        <w:fldChar w:fldCharType="separate"/>
      </w:r>
      <w:r>
        <w:rPr>
          <w:rFonts w:ascii="inter" w:eastAsia="inter" w:hAnsi="inter" w:cs="inter"/>
          <w:sz w:val="18"/>
          <w:u w:val="single"/>
        </w:rPr>
        <w:t>http://www.geoffroydeclippel.net/Publications PDFs/good-enough.pdf</w:t>
      </w:r>
      <w:r>
        <w:fldChar w:fldCharType="end"/>
      </w:r>
      <w:r>
        <w:rPr>
          <w:rFonts w:ascii="inter" w:eastAsia="inter" w:hAnsi="inter" w:cs="inter"/>
          <w:color w:val="000000"/>
          <w:sz w:val="18"/>
        </w:rPr>
        <w:t xml:space="preserve"> </w:t>
      </w:r>
    </w:p>
    <w:bookmarkStart w:id="197" w:name="fn68"/>
    <w:bookmarkEnd w:id="197"/>
    <w:p w14:paraId="2EEAFDA5" w14:textId="77777777" w:rsidR="0062429D" w:rsidRDefault="00000000">
      <w:pPr>
        <w:numPr>
          <w:ilvl w:val="0"/>
          <w:numId w:val="27"/>
        </w:numPr>
        <w:spacing w:after="210" w:line="360" w:lineRule="auto"/>
      </w:pPr>
      <w:r>
        <w:fldChar w:fldCharType="begin"/>
      </w:r>
      <w:r>
        <w:instrText>HYPERLINK "https://economics.brown.edu/sites/default/files/papers/2018-12.pdf" \h</w:instrText>
      </w:r>
      <w:r>
        <w:fldChar w:fldCharType="separate"/>
      </w:r>
      <w:r>
        <w:rPr>
          <w:rFonts w:ascii="inter" w:eastAsia="inter" w:hAnsi="inter" w:cs="inter"/>
          <w:sz w:val="18"/>
          <w:u w:val="single"/>
        </w:rPr>
        <w:t>https://economics.brown.edu/sites/default/files/papers/2018-12.pdf</w:t>
      </w:r>
      <w:r>
        <w:fldChar w:fldCharType="end"/>
      </w:r>
      <w:r>
        <w:rPr>
          <w:rFonts w:ascii="inter" w:eastAsia="inter" w:hAnsi="inter" w:cs="inter"/>
          <w:color w:val="000000"/>
          <w:sz w:val="18"/>
        </w:rPr>
        <w:t xml:space="preserve"> </w:t>
      </w:r>
    </w:p>
    <w:bookmarkStart w:id="198" w:name="fn69"/>
    <w:bookmarkEnd w:id="198"/>
    <w:p w14:paraId="08117272" w14:textId="77777777" w:rsidR="0062429D" w:rsidRDefault="00000000">
      <w:pPr>
        <w:numPr>
          <w:ilvl w:val="0"/>
          <w:numId w:val="27"/>
        </w:numPr>
        <w:spacing w:after="210" w:line="360" w:lineRule="auto"/>
      </w:pPr>
      <w:r>
        <w:fldChar w:fldCharType="begin"/>
      </w:r>
      <w:r>
        <w:instrText>HYPERLINK "https://business.baylor.edu/steve_green/green1.doc" \h</w:instrText>
      </w:r>
      <w:r>
        <w:fldChar w:fldCharType="separate"/>
      </w:r>
      <w:r>
        <w:rPr>
          <w:rFonts w:ascii="inter" w:eastAsia="inter" w:hAnsi="inter" w:cs="inter"/>
          <w:sz w:val="18"/>
          <w:u w:val="single"/>
        </w:rPr>
        <w:t>https://business.baylor.edu/steve_green/green1.doc</w:t>
      </w:r>
      <w:r>
        <w:fldChar w:fldCharType="end"/>
      </w:r>
      <w:r>
        <w:rPr>
          <w:rFonts w:ascii="inter" w:eastAsia="inter" w:hAnsi="inter" w:cs="inter"/>
          <w:color w:val="000000"/>
          <w:sz w:val="18"/>
        </w:rPr>
        <w:t xml:space="preserve"> </w:t>
      </w:r>
    </w:p>
    <w:bookmarkStart w:id="199" w:name="fn70"/>
    <w:bookmarkEnd w:id="199"/>
    <w:p w14:paraId="2060282D" w14:textId="77777777" w:rsidR="0062429D" w:rsidRDefault="00000000">
      <w:pPr>
        <w:numPr>
          <w:ilvl w:val="0"/>
          <w:numId w:val="27"/>
        </w:numPr>
        <w:spacing w:after="210" w:line="360" w:lineRule="auto"/>
      </w:pPr>
      <w:r>
        <w:fldChar w:fldCharType="begin"/>
      </w:r>
      <w:r>
        <w:instrText>HYPERLINK "http://zhangjun.weebly.com/uploads/2/8/1/8/2818435/microistudent.pdf" \h</w:instrText>
      </w:r>
      <w:r>
        <w:fldChar w:fldCharType="separate"/>
      </w:r>
      <w:r>
        <w:rPr>
          <w:rFonts w:ascii="inter" w:eastAsia="inter" w:hAnsi="inter" w:cs="inter"/>
          <w:sz w:val="18"/>
          <w:u w:val="single"/>
        </w:rPr>
        <w:t>http://zhangjun.weebly.com/uploads/2/8/1/8/2818435/microistudent.pdf</w:t>
      </w:r>
      <w:r>
        <w:fldChar w:fldCharType="end"/>
      </w:r>
      <w:r>
        <w:rPr>
          <w:rFonts w:ascii="inter" w:eastAsia="inter" w:hAnsi="inter" w:cs="inter"/>
          <w:color w:val="000000"/>
          <w:sz w:val="18"/>
        </w:rPr>
        <w:t xml:space="preserve"> </w:t>
      </w:r>
    </w:p>
    <w:bookmarkStart w:id="200" w:name="fn71"/>
    <w:bookmarkEnd w:id="200"/>
    <w:p w14:paraId="23F218FF" w14:textId="77777777" w:rsidR="0062429D" w:rsidRDefault="00000000">
      <w:pPr>
        <w:numPr>
          <w:ilvl w:val="0"/>
          <w:numId w:val="27"/>
        </w:numPr>
        <w:spacing w:after="210" w:line="360" w:lineRule="auto"/>
      </w:pPr>
      <w:r>
        <w:fldChar w:fldCharType="begin"/>
      </w:r>
      <w:r>
        <w:instrText>HYPERLINK "https://cridaq.uqam.ca/IMG/pdf/Abizadeh_-" \h</w:instrText>
      </w:r>
      <w:r>
        <w:fldChar w:fldCharType="separate"/>
      </w:r>
      <w:r>
        <w:rPr>
          <w:rFonts w:ascii="inter" w:eastAsia="inter" w:hAnsi="inter" w:cs="inter"/>
          <w:sz w:val="18"/>
          <w:u w:val="single"/>
        </w:rPr>
        <w:t>https://cridaq.uqam.ca/IMG/pdf/Abizadeh_-</w:t>
      </w:r>
      <w:r>
        <w:fldChar w:fldCharType="end"/>
      </w:r>
      <w:r>
        <w:rPr>
          <w:rFonts w:ascii="inter" w:eastAsia="inter" w:hAnsi="inter" w:cs="inter"/>
          <w:i/>
          <w:color w:val="000000"/>
          <w:sz w:val="18"/>
        </w:rPr>
        <w:t>Philosophy</w:t>
      </w:r>
      <w:r>
        <w:rPr>
          <w:rFonts w:ascii="inter" w:eastAsia="inter" w:hAnsi="inter" w:cs="inter"/>
          <w:color w:val="000000"/>
          <w:sz w:val="18"/>
        </w:rPr>
        <w:t xml:space="preserve">-_Rhetoric.pdf </w:t>
      </w:r>
    </w:p>
    <w:bookmarkStart w:id="201" w:name="fn72"/>
    <w:bookmarkEnd w:id="201"/>
    <w:p w14:paraId="19B5AF87" w14:textId="77777777" w:rsidR="0062429D" w:rsidRDefault="00000000">
      <w:pPr>
        <w:numPr>
          <w:ilvl w:val="0"/>
          <w:numId w:val="27"/>
        </w:numPr>
        <w:spacing w:after="210" w:line="360" w:lineRule="auto"/>
      </w:pPr>
      <w:r>
        <w:fldChar w:fldCharType="begin"/>
      </w:r>
      <w:r>
        <w:instrText>HYPERLINK "https://oiccpress.com/ijps/article/download/7512/4172" \h</w:instrText>
      </w:r>
      <w:r>
        <w:fldChar w:fldCharType="separate"/>
      </w:r>
      <w:r>
        <w:rPr>
          <w:rFonts w:ascii="inter" w:eastAsia="inter" w:hAnsi="inter" w:cs="inter"/>
          <w:sz w:val="18"/>
          <w:u w:val="single"/>
        </w:rPr>
        <w:t>https://oiccpress.com/ijps/article/download/7512/4172</w:t>
      </w:r>
      <w:r>
        <w:fldChar w:fldCharType="end"/>
      </w:r>
      <w:r>
        <w:rPr>
          <w:rFonts w:ascii="inter" w:eastAsia="inter" w:hAnsi="inter" w:cs="inter"/>
          <w:color w:val="000000"/>
          <w:sz w:val="18"/>
        </w:rPr>
        <w:t xml:space="preserve"> </w:t>
      </w:r>
    </w:p>
    <w:bookmarkStart w:id="202" w:name="fn73"/>
    <w:bookmarkEnd w:id="202"/>
    <w:p w14:paraId="6A1B8D0E" w14:textId="77777777" w:rsidR="0062429D" w:rsidRDefault="00000000">
      <w:pPr>
        <w:numPr>
          <w:ilvl w:val="0"/>
          <w:numId w:val="27"/>
        </w:numPr>
        <w:spacing w:after="210" w:line="360" w:lineRule="auto"/>
      </w:pPr>
      <w:r>
        <w:fldChar w:fldCharType="begin"/>
      </w:r>
      <w:r>
        <w:instrText>HYPERLINK "https://montoya.econ.ubc.ca/book/preference_theory/preference_theory_304.pdf" \h</w:instrText>
      </w:r>
      <w:r>
        <w:fldChar w:fldCharType="separate"/>
      </w:r>
      <w:r>
        <w:rPr>
          <w:rFonts w:ascii="inter" w:eastAsia="inter" w:hAnsi="inter" w:cs="inter"/>
          <w:sz w:val="18"/>
          <w:u w:val="single"/>
        </w:rPr>
        <w:t>https://montoya.econ.ubc.ca/book/preference_theory/preference_theory_304.pdf</w:t>
      </w:r>
      <w:r>
        <w:fldChar w:fldCharType="end"/>
      </w:r>
      <w:r>
        <w:rPr>
          <w:rFonts w:ascii="inter" w:eastAsia="inter" w:hAnsi="inter" w:cs="inter"/>
          <w:color w:val="000000"/>
          <w:sz w:val="18"/>
        </w:rPr>
        <w:t xml:space="preserve"> </w:t>
      </w:r>
    </w:p>
    <w:bookmarkStart w:id="203" w:name="fn74"/>
    <w:bookmarkEnd w:id="203"/>
    <w:p w14:paraId="3DFF4913" w14:textId="77777777" w:rsidR="0062429D" w:rsidRDefault="00000000">
      <w:pPr>
        <w:numPr>
          <w:ilvl w:val="0"/>
          <w:numId w:val="27"/>
        </w:numPr>
        <w:spacing w:after="210" w:line="360" w:lineRule="auto"/>
      </w:pPr>
      <w:r>
        <w:fldChar w:fldCharType="begin"/>
      </w:r>
      <w:r>
        <w:instrText>HYPERLINK "https://plato.stanford.edu/archives/fall2020/entries/civil-disobedience/" \h</w:instrText>
      </w:r>
      <w:r>
        <w:fldChar w:fldCharType="separate"/>
      </w:r>
      <w:r>
        <w:rPr>
          <w:rFonts w:ascii="inter" w:eastAsia="inter" w:hAnsi="inter" w:cs="inter"/>
          <w:sz w:val="18"/>
          <w:u w:val="single"/>
        </w:rPr>
        <w:t>https://plato.stanford.edu/archives/fall2020/entries/civil-disobedience/</w:t>
      </w:r>
      <w:r>
        <w:fldChar w:fldCharType="end"/>
      </w:r>
      <w:r>
        <w:rPr>
          <w:rFonts w:ascii="inter" w:eastAsia="inter" w:hAnsi="inter" w:cs="inter"/>
          <w:color w:val="000000"/>
          <w:sz w:val="18"/>
        </w:rPr>
        <w:t xml:space="preserve"> </w:t>
      </w:r>
    </w:p>
    <w:sectPr w:rsidR="0062429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64E"/>
    <w:multiLevelType w:val="hybridMultilevel"/>
    <w:tmpl w:val="0876F940"/>
    <w:lvl w:ilvl="0" w:tplc="8E0CC5FE">
      <w:start w:val="1"/>
      <w:numFmt w:val="bullet"/>
      <w:lvlText w:val=""/>
      <w:lvlJc w:val="left"/>
      <w:pPr>
        <w:tabs>
          <w:tab w:val="num" w:pos="900"/>
        </w:tabs>
        <w:ind w:left="540" w:hanging="360"/>
      </w:pPr>
      <w:rPr>
        <w:rFonts w:ascii="Symbol" w:hAnsi="Symbol" w:hint="default"/>
      </w:rPr>
    </w:lvl>
    <w:lvl w:ilvl="1" w:tplc="3126EDDE">
      <w:numFmt w:val="decimal"/>
      <w:lvlText w:val=""/>
      <w:lvlJc w:val="left"/>
    </w:lvl>
    <w:lvl w:ilvl="2" w:tplc="1D661DFC">
      <w:numFmt w:val="decimal"/>
      <w:lvlText w:val=""/>
      <w:lvlJc w:val="left"/>
    </w:lvl>
    <w:lvl w:ilvl="3" w:tplc="A4165D6A">
      <w:numFmt w:val="decimal"/>
      <w:lvlText w:val=""/>
      <w:lvlJc w:val="left"/>
    </w:lvl>
    <w:lvl w:ilvl="4" w:tplc="249E3098">
      <w:numFmt w:val="decimal"/>
      <w:lvlText w:val=""/>
      <w:lvlJc w:val="left"/>
    </w:lvl>
    <w:lvl w:ilvl="5" w:tplc="8786C4FA">
      <w:numFmt w:val="decimal"/>
      <w:lvlText w:val=""/>
      <w:lvlJc w:val="left"/>
    </w:lvl>
    <w:lvl w:ilvl="6" w:tplc="6706E78A">
      <w:numFmt w:val="decimal"/>
      <w:lvlText w:val=""/>
      <w:lvlJc w:val="left"/>
    </w:lvl>
    <w:lvl w:ilvl="7" w:tplc="249CBA6A">
      <w:numFmt w:val="decimal"/>
      <w:lvlText w:val=""/>
      <w:lvlJc w:val="left"/>
    </w:lvl>
    <w:lvl w:ilvl="8" w:tplc="2DC64BE0">
      <w:numFmt w:val="decimal"/>
      <w:lvlText w:val=""/>
      <w:lvlJc w:val="left"/>
    </w:lvl>
  </w:abstractNum>
  <w:abstractNum w:abstractNumId="1" w15:restartNumberingAfterBreak="0">
    <w:nsid w:val="086D7832"/>
    <w:multiLevelType w:val="hybridMultilevel"/>
    <w:tmpl w:val="DED65B3E"/>
    <w:lvl w:ilvl="0" w:tplc="CB42585C">
      <w:start w:val="1"/>
      <w:numFmt w:val="bullet"/>
      <w:lvlText w:val=""/>
      <w:lvlJc w:val="left"/>
      <w:pPr>
        <w:tabs>
          <w:tab w:val="num" w:pos="900"/>
        </w:tabs>
        <w:ind w:left="540" w:hanging="360"/>
      </w:pPr>
      <w:rPr>
        <w:rFonts w:ascii="Symbol" w:hAnsi="Symbol" w:hint="default"/>
      </w:rPr>
    </w:lvl>
    <w:lvl w:ilvl="1" w:tplc="55AC39F8">
      <w:numFmt w:val="decimal"/>
      <w:lvlText w:val=""/>
      <w:lvlJc w:val="left"/>
    </w:lvl>
    <w:lvl w:ilvl="2" w:tplc="2D5ECF66">
      <w:numFmt w:val="decimal"/>
      <w:lvlText w:val=""/>
      <w:lvlJc w:val="left"/>
    </w:lvl>
    <w:lvl w:ilvl="3" w:tplc="F9E43FC0">
      <w:numFmt w:val="decimal"/>
      <w:lvlText w:val=""/>
      <w:lvlJc w:val="left"/>
    </w:lvl>
    <w:lvl w:ilvl="4" w:tplc="FD066188">
      <w:numFmt w:val="decimal"/>
      <w:lvlText w:val=""/>
      <w:lvlJc w:val="left"/>
    </w:lvl>
    <w:lvl w:ilvl="5" w:tplc="0D90A244">
      <w:numFmt w:val="decimal"/>
      <w:lvlText w:val=""/>
      <w:lvlJc w:val="left"/>
    </w:lvl>
    <w:lvl w:ilvl="6" w:tplc="B1F472A2">
      <w:numFmt w:val="decimal"/>
      <w:lvlText w:val=""/>
      <w:lvlJc w:val="left"/>
    </w:lvl>
    <w:lvl w:ilvl="7" w:tplc="3E42CCEE">
      <w:numFmt w:val="decimal"/>
      <w:lvlText w:val=""/>
      <w:lvlJc w:val="left"/>
    </w:lvl>
    <w:lvl w:ilvl="8" w:tplc="77C8922C">
      <w:numFmt w:val="decimal"/>
      <w:lvlText w:val=""/>
      <w:lvlJc w:val="left"/>
    </w:lvl>
  </w:abstractNum>
  <w:abstractNum w:abstractNumId="2" w15:restartNumberingAfterBreak="0">
    <w:nsid w:val="0B6849C1"/>
    <w:multiLevelType w:val="hybridMultilevel"/>
    <w:tmpl w:val="77789468"/>
    <w:lvl w:ilvl="0" w:tplc="D6BA363E">
      <w:start w:val="1"/>
      <w:numFmt w:val="bullet"/>
      <w:lvlText w:val=""/>
      <w:lvlJc w:val="left"/>
      <w:pPr>
        <w:tabs>
          <w:tab w:val="num" w:pos="900"/>
        </w:tabs>
        <w:ind w:left="540" w:hanging="360"/>
      </w:pPr>
      <w:rPr>
        <w:rFonts w:ascii="Symbol" w:hAnsi="Symbol" w:hint="default"/>
      </w:rPr>
    </w:lvl>
    <w:lvl w:ilvl="1" w:tplc="7A4AE56A">
      <w:numFmt w:val="decimal"/>
      <w:lvlText w:val=""/>
      <w:lvlJc w:val="left"/>
    </w:lvl>
    <w:lvl w:ilvl="2" w:tplc="CA221042">
      <w:numFmt w:val="decimal"/>
      <w:lvlText w:val=""/>
      <w:lvlJc w:val="left"/>
    </w:lvl>
    <w:lvl w:ilvl="3" w:tplc="18CCB478">
      <w:numFmt w:val="decimal"/>
      <w:lvlText w:val=""/>
      <w:lvlJc w:val="left"/>
    </w:lvl>
    <w:lvl w:ilvl="4" w:tplc="113A32F4">
      <w:numFmt w:val="decimal"/>
      <w:lvlText w:val=""/>
      <w:lvlJc w:val="left"/>
    </w:lvl>
    <w:lvl w:ilvl="5" w:tplc="32868500">
      <w:numFmt w:val="decimal"/>
      <w:lvlText w:val=""/>
      <w:lvlJc w:val="left"/>
    </w:lvl>
    <w:lvl w:ilvl="6" w:tplc="F9967B9A">
      <w:numFmt w:val="decimal"/>
      <w:lvlText w:val=""/>
      <w:lvlJc w:val="left"/>
    </w:lvl>
    <w:lvl w:ilvl="7" w:tplc="37C6143C">
      <w:numFmt w:val="decimal"/>
      <w:lvlText w:val=""/>
      <w:lvlJc w:val="left"/>
    </w:lvl>
    <w:lvl w:ilvl="8" w:tplc="B9743720">
      <w:numFmt w:val="decimal"/>
      <w:lvlText w:val=""/>
      <w:lvlJc w:val="left"/>
    </w:lvl>
  </w:abstractNum>
  <w:abstractNum w:abstractNumId="3" w15:restartNumberingAfterBreak="0">
    <w:nsid w:val="18401570"/>
    <w:multiLevelType w:val="hybridMultilevel"/>
    <w:tmpl w:val="5CF211A8"/>
    <w:lvl w:ilvl="0" w:tplc="C78618BA">
      <w:start w:val="1"/>
      <w:numFmt w:val="bullet"/>
      <w:lvlText w:val=""/>
      <w:lvlJc w:val="left"/>
      <w:pPr>
        <w:tabs>
          <w:tab w:val="num" w:pos="900"/>
        </w:tabs>
        <w:ind w:left="540" w:hanging="360"/>
      </w:pPr>
      <w:rPr>
        <w:rFonts w:ascii="Symbol" w:hAnsi="Symbol" w:hint="default"/>
      </w:rPr>
    </w:lvl>
    <w:lvl w:ilvl="1" w:tplc="0616D18E">
      <w:numFmt w:val="decimal"/>
      <w:lvlText w:val=""/>
      <w:lvlJc w:val="left"/>
    </w:lvl>
    <w:lvl w:ilvl="2" w:tplc="E358604C">
      <w:numFmt w:val="decimal"/>
      <w:lvlText w:val=""/>
      <w:lvlJc w:val="left"/>
    </w:lvl>
    <w:lvl w:ilvl="3" w:tplc="E1948916">
      <w:numFmt w:val="decimal"/>
      <w:lvlText w:val=""/>
      <w:lvlJc w:val="left"/>
    </w:lvl>
    <w:lvl w:ilvl="4" w:tplc="79C61600">
      <w:numFmt w:val="decimal"/>
      <w:lvlText w:val=""/>
      <w:lvlJc w:val="left"/>
    </w:lvl>
    <w:lvl w:ilvl="5" w:tplc="6718656E">
      <w:numFmt w:val="decimal"/>
      <w:lvlText w:val=""/>
      <w:lvlJc w:val="left"/>
    </w:lvl>
    <w:lvl w:ilvl="6" w:tplc="A13AB74A">
      <w:numFmt w:val="decimal"/>
      <w:lvlText w:val=""/>
      <w:lvlJc w:val="left"/>
    </w:lvl>
    <w:lvl w:ilvl="7" w:tplc="3AEE08A6">
      <w:numFmt w:val="decimal"/>
      <w:lvlText w:val=""/>
      <w:lvlJc w:val="left"/>
    </w:lvl>
    <w:lvl w:ilvl="8" w:tplc="3B8A8AC2">
      <w:numFmt w:val="decimal"/>
      <w:lvlText w:val=""/>
      <w:lvlJc w:val="left"/>
    </w:lvl>
  </w:abstractNum>
  <w:abstractNum w:abstractNumId="4" w15:restartNumberingAfterBreak="0">
    <w:nsid w:val="198E1576"/>
    <w:multiLevelType w:val="hybridMultilevel"/>
    <w:tmpl w:val="F9480282"/>
    <w:lvl w:ilvl="0" w:tplc="7C2C25F2">
      <w:start w:val="1"/>
      <w:numFmt w:val="bullet"/>
      <w:lvlText w:val=""/>
      <w:lvlJc w:val="left"/>
      <w:pPr>
        <w:tabs>
          <w:tab w:val="num" w:pos="900"/>
        </w:tabs>
        <w:ind w:left="540" w:hanging="360"/>
      </w:pPr>
      <w:rPr>
        <w:rFonts w:ascii="Symbol" w:hAnsi="Symbol" w:hint="default"/>
      </w:rPr>
    </w:lvl>
    <w:lvl w:ilvl="1" w:tplc="30DCC7FA">
      <w:numFmt w:val="decimal"/>
      <w:lvlText w:val=""/>
      <w:lvlJc w:val="left"/>
    </w:lvl>
    <w:lvl w:ilvl="2" w:tplc="4FD4FDEE">
      <w:numFmt w:val="decimal"/>
      <w:lvlText w:val=""/>
      <w:lvlJc w:val="left"/>
    </w:lvl>
    <w:lvl w:ilvl="3" w:tplc="3FF057C4">
      <w:numFmt w:val="decimal"/>
      <w:lvlText w:val=""/>
      <w:lvlJc w:val="left"/>
    </w:lvl>
    <w:lvl w:ilvl="4" w:tplc="849A914E">
      <w:numFmt w:val="decimal"/>
      <w:lvlText w:val=""/>
      <w:lvlJc w:val="left"/>
    </w:lvl>
    <w:lvl w:ilvl="5" w:tplc="FCF27D7A">
      <w:numFmt w:val="decimal"/>
      <w:lvlText w:val=""/>
      <w:lvlJc w:val="left"/>
    </w:lvl>
    <w:lvl w:ilvl="6" w:tplc="46126CDA">
      <w:numFmt w:val="decimal"/>
      <w:lvlText w:val=""/>
      <w:lvlJc w:val="left"/>
    </w:lvl>
    <w:lvl w:ilvl="7" w:tplc="77D0D220">
      <w:numFmt w:val="decimal"/>
      <w:lvlText w:val=""/>
      <w:lvlJc w:val="left"/>
    </w:lvl>
    <w:lvl w:ilvl="8" w:tplc="ADCC049C">
      <w:numFmt w:val="decimal"/>
      <w:lvlText w:val=""/>
      <w:lvlJc w:val="left"/>
    </w:lvl>
  </w:abstractNum>
  <w:abstractNum w:abstractNumId="5" w15:restartNumberingAfterBreak="0">
    <w:nsid w:val="20B45586"/>
    <w:multiLevelType w:val="hybridMultilevel"/>
    <w:tmpl w:val="831432FA"/>
    <w:lvl w:ilvl="0" w:tplc="FCBEBAD0">
      <w:start w:val="1"/>
      <w:numFmt w:val="bullet"/>
      <w:lvlText w:val=""/>
      <w:lvlJc w:val="left"/>
      <w:pPr>
        <w:tabs>
          <w:tab w:val="num" w:pos="900"/>
        </w:tabs>
        <w:ind w:left="540" w:hanging="360"/>
      </w:pPr>
      <w:rPr>
        <w:rFonts w:ascii="Symbol" w:hAnsi="Symbol" w:hint="default"/>
      </w:rPr>
    </w:lvl>
    <w:lvl w:ilvl="1" w:tplc="62ACFC16">
      <w:numFmt w:val="decimal"/>
      <w:lvlText w:val=""/>
      <w:lvlJc w:val="left"/>
    </w:lvl>
    <w:lvl w:ilvl="2" w:tplc="8D989554">
      <w:numFmt w:val="decimal"/>
      <w:lvlText w:val=""/>
      <w:lvlJc w:val="left"/>
    </w:lvl>
    <w:lvl w:ilvl="3" w:tplc="38FA1EE4">
      <w:numFmt w:val="decimal"/>
      <w:lvlText w:val=""/>
      <w:lvlJc w:val="left"/>
    </w:lvl>
    <w:lvl w:ilvl="4" w:tplc="9006A696">
      <w:numFmt w:val="decimal"/>
      <w:lvlText w:val=""/>
      <w:lvlJc w:val="left"/>
    </w:lvl>
    <w:lvl w:ilvl="5" w:tplc="72BE4AC2">
      <w:numFmt w:val="decimal"/>
      <w:lvlText w:val=""/>
      <w:lvlJc w:val="left"/>
    </w:lvl>
    <w:lvl w:ilvl="6" w:tplc="50DA3E4A">
      <w:numFmt w:val="decimal"/>
      <w:lvlText w:val=""/>
      <w:lvlJc w:val="left"/>
    </w:lvl>
    <w:lvl w:ilvl="7" w:tplc="EE32A276">
      <w:numFmt w:val="decimal"/>
      <w:lvlText w:val=""/>
      <w:lvlJc w:val="left"/>
    </w:lvl>
    <w:lvl w:ilvl="8" w:tplc="169A57AE">
      <w:numFmt w:val="decimal"/>
      <w:lvlText w:val=""/>
      <w:lvlJc w:val="left"/>
    </w:lvl>
  </w:abstractNum>
  <w:abstractNum w:abstractNumId="6" w15:restartNumberingAfterBreak="0">
    <w:nsid w:val="26A827D2"/>
    <w:multiLevelType w:val="hybridMultilevel"/>
    <w:tmpl w:val="B5DC2ED6"/>
    <w:lvl w:ilvl="0" w:tplc="23A273DA">
      <w:start w:val="1"/>
      <w:numFmt w:val="bullet"/>
      <w:lvlText w:val=""/>
      <w:lvlJc w:val="left"/>
      <w:pPr>
        <w:tabs>
          <w:tab w:val="num" w:pos="900"/>
        </w:tabs>
        <w:ind w:left="540" w:hanging="360"/>
      </w:pPr>
      <w:rPr>
        <w:rFonts w:ascii="Symbol" w:hAnsi="Symbol" w:hint="default"/>
      </w:rPr>
    </w:lvl>
    <w:lvl w:ilvl="1" w:tplc="015ECB44">
      <w:start w:val="1"/>
      <w:numFmt w:val="bullet"/>
      <w:lvlText w:val="o"/>
      <w:lvlJc w:val="left"/>
      <w:pPr>
        <w:tabs>
          <w:tab w:val="num" w:pos="1440"/>
        </w:tabs>
        <w:ind w:left="1080" w:hanging="360"/>
      </w:pPr>
      <w:rPr>
        <w:rFonts w:ascii="Courier New" w:hAnsi="Courier New" w:cs="Courier New" w:hint="default"/>
      </w:rPr>
    </w:lvl>
    <w:lvl w:ilvl="2" w:tplc="7E063A18">
      <w:numFmt w:val="decimal"/>
      <w:lvlText w:val=""/>
      <w:lvlJc w:val="left"/>
    </w:lvl>
    <w:lvl w:ilvl="3" w:tplc="236A2058">
      <w:numFmt w:val="decimal"/>
      <w:lvlText w:val=""/>
      <w:lvlJc w:val="left"/>
    </w:lvl>
    <w:lvl w:ilvl="4" w:tplc="38E64B60">
      <w:numFmt w:val="decimal"/>
      <w:lvlText w:val=""/>
      <w:lvlJc w:val="left"/>
    </w:lvl>
    <w:lvl w:ilvl="5" w:tplc="0F22D1EE">
      <w:numFmt w:val="decimal"/>
      <w:lvlText w:val=""/>
      <w:lvlJc w:val="left"/>
    </w:lvl>
    <w:lvl w:ilvl="6" w:tplc="3DF8A2E6">
      <w:numFmt w:val="decimal"/>
      <w:lvlText w:val=""/>
      <w:lvlJc w:val="left"/>
    </w:lvl>
    <w:lvl w:ilvl="7" w:tplc="CDC48BD0">
      <w:numFmt w:val="decimal"/>
      <w:lvlText w:val=""/>
      <w:lvlJc w:val="left"/>
    </w:lvl>
    <w:lvl w:ilvl="8" w:tplc="2A1E2E4A">
      <w:numFmt w:val="decimal"/>
      <w:lvlText w:val=""/>
      <w:lvlJc w:val="left"/>
    </w:lvl>
  </w:abstractNum>
  <w:abstractNum w:abstractNumId="7" w15:restartNumberingAfterBreak="0">
    <w:nsid w:val="289B0ABA"/>
    <w:multiLevelType w:val="hybridMultilevel"/>
    <w:tmpl w:val="5E74F342"/>
    <w:lvl w:ilvl="0" w:tplc="C150ADA8">
      <w:start w:val="1"/>
      <w:numFmt w:val="bullet"/>
      <w:lvlText w:val=""/>
      <w:lvlJc w:val="left"/>
      <w:pPr>
        <w:tabs>
          <w:tab w:val="num" w:pos="900"/>
        </w:tabs>
        <w:ind w:left="540" w:hanging="360"/>
      </w:pPr>
      <w:rPr>
        <w:rFonts w:ascii="Symbol" w:hAnsi="Symbol" w:hint="default"/>
      </w:rPr>
    </w:lvl>
    <w:lvl w:ilvl="1" w:tplc="9828E40E">
      <w:numFmt w:val="decimal"/>
      <w:lvlText w:val=""/>
      <w:lvlJc w:val="left"/>
    </w:lvl>
    <w:lvl w:ilvl="2" w:tplc="73EEF2E6">
      <w:numFmt w:val="decimal"/>
      <w:lvlText w:val=""/>
      <w:lvlJc w:val="left"/>
    </w:lvl>
    <w:lvl w:ilvl="3" w:tplc="EE7478AE">
      <w:numFmt w:val="decimal"/>
      <w:lvlText w:val=""/>
      <w:lvlJc w:val="left"/>
    </w:lvl>
    <w:lvl w:ilvl="4" w:tplc="0A70D89E">
      <w:numFmt w:val="decimal"/>
      <w:lvlText w:val=""/>
      <w:lvlJc w:val="left"/>
    </w:lvl>
    <w:lvl w:ilvl="5" w:tplc="B8E60618">
      <w:numFmt w:val="decimal"/>
      <w:lvlText w:val=""/>
      <w:lvlJc w:val="left"/>
    </w:lvl>
    <w:lvl w:ilvl="6" w:tplc="32821818">
      <w:numFmt w:val="decimal"/>
      <w:lvlText w:val=""/>
      <w:lvlJc w:val="left"/>
    </w:lvl>
    <w:lvl w:ilvl="7" w:tplc="B364A57A">
      <w:numFmt w:val="decimal"/>
      <w:lvlText w:val=""/>
      <w:lvlJc w:val="left"/>
    </w:lvl>
    <w:lvl w:ilvl="8" w:tplc="C6067F3A">
      <w:numFmt w:val="decimal"/>
      <w:lvlText w:val=""/>
      <w:lvlJc w:val="left"/>
    </w:lvl>
  </w:abstractNum>
  <w:abstractNum w:abstractNumId="8" w15:restartNumberingAfterBreak="0">
    <w:nsid w:val="2FF61FBA"/>
    <w:multiLevelType w:val="hybridMultilevel"/>
    <w:tmpl w:val="99E68D56"/>
    <w:lvl w:ilvl="0" w:tplc="B268BBE4">
      <w:start w:val="1"/>
      <w:numFmt w:val="bullet"/>
      <w:lvlText w:val=""/>
      <w:lvlJc w:val="left"/>
      <w:pPr>
        <w:tabs>
          <w:tab w:val="num" w:pos="900"/>
        </w:tabs>
        <w:ind w:left="540" w:hanging="360"/>
      </w:pPr>
      <w:rPr>
        <w:rFonts w:ascii="Symbol" w:hAnsi="Symbol" w:hint="default"/>
      </w:rPr>
    </w:lvl>
    <w:lvl w:ilvl="1" w:tplc="A25C2F06">
      <w:numFmt w:val="decimal"/>
      <w:lvlText w:val=""/>
      <w:lvlJc w:val="left"/>
    </w:lvl>
    <w:lvl w:ilvl="2" w:tplc="4934AB58">
      <w:numFmt w:val="decimal"/>
      <w:lvlText w:val=""/>
      <w:lvlJc w:val="left"/>
    </w:lvl>
    <w:lvl w:ilvl="3" w:tplc="E86AF1EE">
      <w:numFmt w:val="decimal"/>
      <w:lvlText w:val=""/>
      <w:lvlJc w:val="left"/>
    </w:lvl>
    <w:lvl w:ilvl="4" w:tplc="F0EAF72C">
      <w:numFmt w:val="decimal"/>
      <w:lvlText w:val=""/>
      <w:lvlJc w:val="left"/>
    </w:lvl>
    <w:lvl w:ilvl="5" w:tplc="EE942B8C">
      <w:numFmt w:val="decimal"/>
      <w:lvlText w:val=""/>
      <w:lvlJc w:val="left"/>
    </w:lvl>
    <w:lvl w:ilvl="6" w:tplc="25EC3692">
      <w:numFmt w:val="decimal"/>
      <w:lvlText w:val=""/>
      <w:lvlJc w:val="left"/>
    </w:lvl>
    <w:lvl w:ilvl="7" w:tplc="0AE08616">
      <w:numFmt w:val="decimal"/>
      <w:lvlText w:val=""/>
      <w:lvlJc w:val="left"/>
    </w:lvl>
    <w:lvl w:ilvl="8" w:tplc="9B3CBB1C">
      <w:numFmt w:val="decimal"/>
      <w:lvlText w:val=""/>
      <w:lvlJc w:val="left"/>
    </w:lvl>
  </w:abstractNum>
  <w:abstractNum w:abstractNumId="9" w15:restartNumberingAfterBreak="0">
    <w:nsid w:val="31F07FF4"/>
    <w:multiLevelType w:val="hybridMultilevel"/>
    <w:tmpl w:val="10166130"/>
    <w:lvl w:ilvl="0" w:tplc="DB06329E">
      <w:start w:val="1"/>
      <w:numFmt w:val="bullet"/>
      <w:lvlText w:val=""/>
      <w:lvlJc w:val="left"/>
      <w:pPr>
        <w:tabs>
          <w:tab w:val="num" w:pos="900"/>
        </w:tabs>
        <w:ind w:left="540" w:hanging="360"/>
      </w:pPr>
      <w:rPr>
        <w:rFonts w:ascii="Symbol" w:hAnsi="Symbol" w:hint="default"/>
      </w:rPr>
    </w:lvl>
    <w:lvl w:ilvl="1" w:tplc="620A9FDC">
      <w:numFmt w:val="decimal"/>
      <w:lvlText w:val=""/>
      <w:lvlJc w:val="left"/>
    </w:lvl>
    <w:lvl w:ilvl="2" w:tplc="42BA5042">
      <w:numFmt w:val="decimal"/>
      <w:lvlText w:val=""/>
      <w:lvlJc w:val="left"/>
    </w:lvl>
    <w:lvl w:ilvl="3" w:tplc="5FD8758C">
      <w:numFmt w:val="decimal"/>
      <w:lvlText w:val=""/>
      <w:lvlJc w:val="left"/>
    </w:lvl>
    <w:lvl w:ilvl="4" w:tplc="FAC28256">
      <w:numFmt w:val="decimal"/>
      <w:lvlText w:val=""/>
      <w:lvlJc w:val="left"/>
    </w:lvl>
    <w:lvl w:ilvl="5" w:tplc="9C8E81BA">
      <w:numFmt w:val="decimal"/>
      <w:lvlText w:val=""/>
      <w:lvlJc w:val="left"/>
    </w:lvl>
    <w:lvl w:ilvl="6" w:tplc="58B8F6B8">
      <w:numFmt w:val="decimal"/>
      <w:lvlText w:val=""/>
      <w:lvlJc w:val="left"/>
    </w:lvl>
    <w:lvl w:ilvl="7" w:tplc="832EF5DE">
      <w:numFmt w:val="decimal"/>
      <w:lvlText w:val=""/>
      <w:lvlJc w:val="left"/>
    </w:lvl>
    <w:lvl w:ilvl="8" w:tplc="ED64DE0A">
      <w:numFmt w:val="decimal"/>
      <w:lvlText w:val=""/>
      <w:lvlJc w:val="left"/>
    </w:lvl>
  </w:abstractNum>
  <w:abstractNum w:abstractNumId="10" w15:restartNumberingAfterBreak="0">
    <w:nsid w:val="33A15C3C"/>
    <w:multiLevelType w:val="hybridMultilevel"/>
    <w:tmpl w:val="723C0A5E"/>
    <w:lvl w:ilvl="0" w:tplc="3B4E881A">
      <w:start w:val="1"/>
      <w:numFmt w:val="bullet"/>
      <w:lvlText w:val=""/>
      <w:lvlJc w:val="left"/>
      <w:pPr>
        <w:tabs>
          <w:tab w:val="num" w:pos="900"/>
        </w:tabs>
        <w:ind w:left="540" w:hanging="360"/>
      </w:pPr>
      <w:rPr>
        <w:rFonts w:ascii="Symbol" w:hAnsi="Symbol" w:hint="default"/>
      </w:rPr>
    </w:lvl>
    <w:lvl w:ilvl="1" w:tplc="D86AD3A8">
      <w:start w:val="1"/>
      <w:numFmt w:val="bullet"/>
      <w:lvlText w:val="o"/>
      <w:lvlJc w:val="left"/>
      <w:pPr>
        <w:tabs>
          <w:tab w:val="num" w:pos="1440"/>
        </w:tabs>
        <w:ind w:left="1080" w:hanging="360"/>
      </w:pPr>
      <w:rPr>
        <w:rFonts w:ascii="Courier New" w:hAnsi="Courier New" w:cs="Courier New" w:hint="default"/>
      </w:rPr>
    </w:lvl>
    <w:lvl w:ilvl="2" w:tplc="7CA06618">
      <w:numFmt w:val="decimal"/>
      <w:lvlText w:val=""/>
      <w:lvlJc w:val="left"/>
    </w:lvl>
    <w:lvl w:ilvl="3" w:tplc="13424674">
      <w:numFmt w:val="decimal"/>
      <w:lvlText w:val=""/>
      <w:lvlJc w:val="left"/>
    </w:lvl>
    <w:lvl w:ilvl="4" w:tplc="31BA162A">
      <w:numFmt w:val="decimal"/>
      <w:lvlText w:val=""/>
      <w:lvlJc w:val="left"/>
    </w:lvl>
    <w:lvl w:ilvl="5" w:tplc="AAAAD01A">
      <w:numFmt w:val="decimal"/>
      <w:lvlText w:val=""/>
      <w:lvlJc w:val="left"/>
    </w:lvl>
    <w:lvl w:ilvl="6" w:tplc="FC26E672">
      <w:numFmt w:val="decimal"/>
      <w:lvlText w:val=""/>
      <w:lvlJc w:val="left"/>
    </w:lvl>
    <w:lvl w:ilvl="7" w:tplc="482E63EC">
      <w:numFmt w:val="decimal"/>
      <w:lvlText w:val=""/>
      <w:lvlJc w:val="left"/>
    </w:lvl>
    <w:lvl w:ilvl="8" w:tplc="E2A44CBC">
      <w:numFmt w:val="decimal"/>
      <w:lvlText w:val=""/>
      <w:lvlJc w:val="left"/>
    </w:lvl>
  </w:abstractNum>
  <w:abstractNum w:abstractNumId="11" w15:restartNumberingAfterBreak="0">
    <w:nsid w:val="355826BA"/>
    <w:multiLevelType w:val="hybridMultilevel"/>
    <w:tmpl w:val="A8FEBD7E"/>
    <w:lvl w:ilvl="0" w:tplc="443E60D6">
      <w:start w:val="1"/>
      <w:numFmt w:val="bullet"/>
      <w:lvlText w:val=""/>
      <w:lvlJc w:val="left"/>
      <w:pPr>
        <w:tabs>
          <w:tab w:val="num" w:pos="900"/>
        </w:tabs>
        <w:ind w:left="540" w:hanging="360"/>
      </w:pPr>
      <w:rPr>
        <w:rFonts w:ascii="Symbol" w:hAnsi="Symbol" w:hint="default"/>
      </w:rPr>
    </w:lvl>
    <w:lvl w:ilvl="1" w:tplc="45264928">
      <w:start w:val="1"/>
      <w:numFmt w:val="bullet"/>
      <w:lvlText w:val="o"/>
      <w:lvlJc w:val="left"/>
      <w:pPr>
        <w:tabs>
          <w:tab w:val="num" w:pos="1440"/>
        </w:tabs>
        <w:ind w:left="1080" w:hanging="360"/>
      </w:pPr>
      <w:rPr>
        <w:rFonts w:ascii="Courier New" w:hAnsi="Courier New" w:cs="Courier New" w:hint="default"/>
      </w:rPr>
    </w:lvl>
    <w:lvl w:ilvl="2" w:tplc="F12E030E">
      <w:numFmt w:val="decimal"/>
      <w:lvlText w:val=""/>
      <w:lvlJc w:val="left"/>
    </w:lvl>
    <w:lvl w:ilvl="3" w:tplc="94E0BE60">
      <w:numFmt w:val="decimal"/>
      <w:lvlText w:val=""/>
      <w:lvlJc w:val="left"/>
    </w:lvl>
    <w:lvl w:ilvl="4" w:tplc="0BE6D0EE">
      <w:numFmt w:val="decimal"/>
      <w:lvlText w:val=""/>
      <w:lvlJc w:val="left"/>
    </w:lvl>
    <w:lvl w:ilvl="5" w:tplc="C492A56A">
      <w:numFmt w:val="decimal"/>
      <w:lvlText w:val=""/>
      <w:lvlJc w:val="left"/>
    </w:lvl>
    <w:lvl w:ilvl="6" w:tplc="493E1D10">
      <w:numFmt w:val="decimal"/>
      <w:lvlText w:val=""/>
      <w:lvlJc w:val="left"/>
    </w:lvl>
    <w:lvl w:ilvl="7" w:tplc="49A478EC">
      <w:numFmt w:val="decimal"/>
      <w:lvlText w:val=""/>
      <w:lvlJc w:val="left"/>
    </w:lvl>
    <w:lvl w:ilvl="8" w:tplc="82CC37E8">
      <w:numFmt w:val="decimal"/>
      <w:lvlText w:val=""/>
      <w:lvlJc w:val="left"/>
    </w:lvl>
  </w:abstractNum>
  <w:abstractNum w:abstractNumId="12" w15:restartNumberingAfterBreak="0">
    <w:nsid w:val="373B137A"/>
    <w:multiLevelType w:val="hybridMultilevel"/>
    <w:tmpl w:val="E71E1B12"/>
    <w:lvl w:ilvl="0" w:tplc="007E643C">
      <w:start w:val="1"/>
      <w:numFmt w:val="bullet"/>
      <w:lvlText w:val=""/>
      <w:lvlJc w:val="left"/>
      <w:pPr>
        <w:tabs>
          <w:tab w:val="num" w:pos="900"/>
        </w:tabs>
        <w:ind w:left="540" w:hanging="360"/>
      </w:pPr>
      <w:rPr>
        <w:rFonts w:ascii="Symbol" w:hAnsi="Symbol" w:hint="default"/>
      </w:rPr>
    </w:lvl>
    <w:lvl w:ilvl="1" w:tplc="AD645962">
      <w:numFmt w:val="decimal"/>
      <w:lvlText w:val=""/>
      <w:lvlJc w:val="left"/>
    </w:lvl>
    <w:lvl w:ilvl="2" w:tplc="9028B172">
      <w:numFmt w:val="decimal"/>
      <w:lvlText w:val=""/>
      <w:lvlJc w:val="left"/>
    </w:lvl>
    <w:lvl w:ilvl="3" w:tplc="18783A44">
      <w:numFmt w:val="decimal"/>
      <w:lvlText w:val=""/>
      <w:lvlJc w:val="left"/>
    </w:lvl>
    <w:lvl w:ilvl="4" w:tplc="D4C8B766">
      <w:numFmt w:val="decimal"/>
      <w:lvlText w:val=""/>
      <w:lvlJc w:val="left"/>
    </w:lvl>
    <w:lvl w:ilvl="5" w:tplc="45CE795E">
      <w:numFmt w:val="decimal"/>
      <w:lvlText w:val=""/>
      <w:lvlJc w:val="left"/>
    </w:lvl>
    <w:lvl w:ilvl="6" w:tplc="9B42E0AC">
      <w:numFmt w:val="decimal"/>
      <w:lvlText w:val=""/>
      <w:lvlJc w:val="left"/>
    </w:lvl>
    <w:lvl w:ilvl="7" w:tplc="E1540D36">
      <w:numFmt w:val="decimal"/>
      <w:lvlText w:val=""/>
      <w:lvlJc w:val="left"/>
    </w:lvl>
    <w:lvl w:ilvl="8" w:tplc="54B288D0">
      <w:numFmt w:val="decimal"/>
      <w:lvlText w:val=""/>
      <w:lvlJc w:val="left"/>
    </w:lvl>
  </w:abstractNum>
  <w:abstractNum w:abstractNumId="13" w15:restartNumberingAfterBreak="0">
    <w:nsid w:val="43F54E6B"/>
    <w:multiLevelType w:val="hybridMultilevel"/>
    <w:tmpl w:val="6A0A5902"/>
    <w:lvl w:ilvl="0" w:tplc="26F00A30">
      <w:start w:val="1"/>
      <w:numFmt w:val="bullet"/>
      <w:lvlText w:val=""/>
      <w:lvlJc w:val="left"/>
      <w:pPr>
        <w:tabs>
          <w:tab w:val="num" w:pos="900"/>
        </w:tabs>
        <w:ind w:left="540" w:hanging="360"/>
      </w:pPr>
      <w:rPr>
        <w:rFonts w:ascii="Symbol" w:hAnsi="Symbol" w:hint="default"/>
      </w:rPr>
    </w:lvl>
    <w:lvl w:ilvl="1" w:tplc="2452C6B2">
      <w:start w:val="1"/>
      <w:numFmt w:val="bullet"/>
      <w:lvlText w:val="o"/>
      <w:lvlJc w:val="left"/>
      <w:pPr>
        <w:tabs>
          <w:tab w:val="num" w:pos="1440"/>
        </w:tabs>
        <w:ind w:left="1080" w:hanging="360"/>
      </w:pPr>
      <w:rPr>
        <w:rFonts w:ascii="Courier New" w:hAnsi="Courier New" w:cs="Courier New" w:hint="default"/>
      </w:rPr>
    </w:lvl>
    <w:lvl w:ilvl="2" w:tplc="1E18E2E6">
      <w:numFmt w:val="decimal"/>
      <w:lvlText w:val=""/>
      <w:lvlJc w:val="left"/>
    </w:lvl>
    <w:lvl w:ilvl="3" w:tplc="48204A86">
      <w:numFmt w:val="decimal"/>
      <w:lvlText w:val=""/>
      <w:lvlJc w:val="left"/>
    </w:lvl>
    <w:lvl w:ilvl="4" w:tplc="4846031E">
      <w:numFmt w:val="decimal"/>
      <w:lvlText w:val=""/>
      <w:lvlJc w:val="left"/>
    </w:lvl>
    <w:lvl w:ilvl="5" w:tplc="0AE42F68">
      <w:numFmt w:val="decimal"/>
      <w:lvlText w:val=""/>
      <w:lvlJc w:val="left"/>
    </w:lvl>
    <w:lvl w:ilvl="6" w:tplc="29AE5EEE">
      <w:numFmt w:val="decimal"/>
      <w:lvlText w:val=""/>
      <w:lvlJc w:val="left"/>
    </w:lvl>
    <w:lvl w:ilvl="7" w:tplc="6DF6CEEE">
      <w:numFmt w:val="decimal"/>
      <w:lvlText w:val=""/>
      <w:lvlJc w:val="left"/>
    </w:lvl>
    <w:lvl w:ilvl="8" w:tplc="F58811CA">
      <w:numFmt w:val="decimal"/>
      <w:lvlText w:val=""/>
      <w:lvlJc w:val="left"/>
    </w:lvl>
  </w:abstractNum>
  <w:abstractNum w:abstractNumId="14" w15:restartNumberingAfterBreak="0">
    <w:nsid w:val="45B5716F"/>
    <w:multiLevelType w:val="hybridMultilevel"/>
    <w:tmpl w:val="145C5EB4"/>
    <w:lvl w:ilvl="0" w:tplc="9640A4FA">
      <w:start w:val="1"/>
      <w:numFmt w:val="decimal"/>
      <w:lvlText w:val="%1."/>
      <w:lvlJc w:val="left"/>
      <w:pPr>
        <w:tabs>
          <w:tab w:val="num" w:pos="900"/>
        </w:tabs>
        <w:ind w:left="540" w:hanging="360"/>
      </w:pPr>
    </w:lvl>
    <w:lvl w:ilvl="1" w:tplc="9CB4492E">
      <w:numFmt w:val="decimal"/>
      <w:lvlText w:val=""/>
      <w:lvlJc w:val="left"/>
    </w:lvl>
    <w:lvl w:ilvl="2" w:tplc="01CEA66C">
      <w:numFmt w:val="decimal"/>
      <w:lvlText w:val=""/>
      <w:lvlJc w:val="left"/>
    </w:lvl>
    <w:lvl w:ilvl="3" w:tplc="0B669C7A">
      <w:numFmt w:val="decimal"/>
      <w:lvlText w:val=""/>
      <w:lvlJc w:val="left"/>
    </w:lvl>
    <w:lvl w:ilvl="4" w:tplc="850C825C">
      <w:numFmt w:val="decimal"/>
      <w:lvlText w:val=""/>
      <w:lvlJc w:val="left"/>
    </w:lvl>
    <w:lvl w:ilvl="5" w:tplc="73FE3578">
      <w:numFmt w:val="decimal"/>
      <w:lvlText w:val=""/>
      <w:lvlJc w:val="left"/>
    </w:lvl>
    <w:lvl w:ilvl="6" w:tplc="B4D03454">
      <w:numFmt w:val="decimal"/>
      <w:lvlText w:val=""/>
      <w:lvlJc w:val="left"/>
    </w:lvl>
    <w:lvl w:ilvl="7" w:tplc="C5B67026">
      <w:numFmt w:val="decimal"/>
      <w:lvlText w:val=""/>
      <w:lvlJc w:val="left"/>
    </w:lvl>
    <w:lvl w:ilvl="8" w:tplc="F3F49E9C">
      <w:numFmt w:val="decimal"/>
      <w:lvlText w:val=""/>
      <w:lvlJc w:val="left"/>
    </w:lvl>
  </w:abstractNum>
  <w:abstractNum w:abstractNumId="15" w15:restartNumberingAfterBreak="0">
    <w:nsid w:val="46D63358"/>
    <w:multiLevelType w:val="hybridMultilevel"/>
    <w:tmpl w:val="0BD8A872"/>
    <w:lvl w:ilvl="0" w:tplc="9438A53C">
      <w:start w:val="1"/>
      <w:numFmt w:val="bullet"/>
      <w:lvlText w:val=""/>
      <w:lvlJc w:val="left"/>
      <w:pPr>
        <w:tabs>
          <w:tab w:val="num" w:pos="900"/>
        </w:tabs>
        <w:ind w:left="540" w:hanging="360"/>
      </w:pPr>
      <w:rPr>
        <w:rFonts w:ascii="Symbol" w:hAnsi="Symbol" w:hint="default"/>
      </w:rPr>
    </w:lvl>
    <w:lvl w:ilvl="1" w:tplc="7788166E">
      <w:numFmt w:val="decimal"/>
      <w:lvlText w:val=""/>
      <w:lvlJc w:val="left"/>
    </w:lvl>
    <w:lvl w:ilvl="2" w:tplc="E83E48CC">
      <w:numFmt w:val="decimal"/>
      <w:lvlText w:val=""/>
      <w:lvlJc w:val="left"/>
    </w:lvl>
    <w:lvl w:ilvl="3" w:tplc="0ADA935C">
      <w:numFmt w:val="decimal"/>
      <w:lvlText w:val=""/>
      <w:lvlJc w:val="left"/>
    </w:lvl>
    <w:lvl w:ilvl="4" w:tplc="951E4C64">
      <w:numFmt w:val="decimal"/>
      <w:lvlText w:val=""/>
      <w:lvlJc w:val="left"/>
    </w:lvl>
    <w:lvl w:ilvl="5" w:tplc="10AC0740">
      <w:numFmt w:val="decimal"/>
      <w:lvlText w:val=""/>
      <w:lvlJc w:val="left"/>
    </w:lvl>
    <w:lvl w:ilvl="6" w:tplc="5E66F9C4">
      <w:numFmt w:val="decimal"/>
      <w:lvlText w:val=""/>
      <w:lvlJc w:val="left"/>
    </w:lvl>
    <w:lvl w:ilvl="7" w:tplc="5A04DAF4">
      <w:numFmt w:val="decimal"/>
      <w:lvlText w:val=""/>
      <w:lvlJc w:val="left"/>
    </w:lvl>
    <w:lvl w:ilvl="8" w:tplc="5A50004A">
      <w:numFmt w:val="decimal"/>
      <w:lvlText w:val=""/>
      <w:lvlJc w:val="left"/>
    </w:lvl>
  </w:abstractNum>
  <w:abstractNum w:abstractNumId="16" w15:restartNumberingAfterBreak="0">
    <w:nsid w:val="474900D0"/>
    <w:multiLevelType w:val="hybridMultilevel"/>
    <w:tmpl w:val="94A4DCE6"/>
    <w:lvl w:ilvl="0" w:tplc="E54E9334">
      <w:start w:val="1"/>
      <w:numFmt w:val="bullet"/>
      <w:lvlText w:val=""/>
      <w:lvlJc w:val="left"/>
      <w:pPr>
        <w:tabs>
          <w:tab w:val="num" w:pos="900"/>
        </w:tabs>
        <w:ind w:left="540" w:hanging="360"/>
      </w:pPr>
      <w:rPr>
        <w:rFonts w:ascii="Symbol" w:hAnsi="Symbol" w:hint="default"/>
      </w:rPr>
    </w:lvl>
    <w:lvl w:ilvl="1" w:tplc="A2C62186">
      <w:numFmt w:val="decimal"/>
      <w:lvlText w:val=""/>
      <w:lvlJc w:val="left"/>
    </w:lvl>
    <w:lvl w:ilvl="2" w:tplc="7CC8A56A">
      <w:numFmt w:val="decimal"/>
      <w:lvlText w:val=""/>
      <w:lvlJc w:val="left"/>
    </w:lvl>
    <w:lvl w:ilvl="3" w:tplc="8162FCA6">
      <w:numFmt w:val="decimal"/>
      <w:lvlText w:val=""/>
      <w:lvlJc w:val="left"/>
    </w:lvl>
    <w:lvl w:ilvl="4" w:tplc="0810A9CA">
      <w:numFmt w:val="decimal"/>
      <w:lvlText w:val=""/>
      <w:lvlJc w:val="left"/>
    </w:lvl>
    <w:lvl w:ilvl="5" w:tplc="35A4368E">
      <w:numFmt w:val="decimal"/>
      <w:lvlText w:val=""/>
      <w:lvlJc w:val="left"/>
    </w:lvl>
    <w:lvl w:ilvl="6" w:tplc="3A845B34">
      <w:numFmt w:val="decimal"/>
      <w:lvlText w:val=""/>
      <w:lvlJc w:val="left"/>
    </w:lvl>
    <w:lvl w:ilvl="7" w:tplc="5E3A33D6">
      <w:numFmt w:val="decimal"/>
      <w:lvlText w:val=""/>
      <w:lvlJc w:val="left"/>
    </w:lvl>
    <w:lvl w:ilvl="8" w:tplc="E21833EC">
      <w:numFmt w:val="decimal"/>
      <w:lvlText w:val=""/>
      <w:lvlJc w:val="left"/>
    </w:lvl>
  </w:abstractNum>
  <w:abstractNum w:abstractNumId="17" w15:restartNumberingAfterBreak="0">
    <w:nsid w:val="4E9A2205"/>
    <w:multiLevelType w:val="hybridMultilevel"/>
    <w:tmpl w:val="C28CEBC2"/>
    <w:lvl w:ilvl="0" w:tplc="1DC0B894">
      <w:numFmt w:val="decimal"/>
      <w:lvlText w:val=""/>
      <w:lvlJc w:val="left"/>
    </w:lvl>
    <w:lvl w:ilvl="1" w:tplc="9F285C74">
      <w:numFmt w:val="decimal"/>
      <w:lvlText w:val=""/>
      <w:lvlJc w:val="left"/>
    </w:lvl>
    <w:lvl w:ilvl="2" w:tplc="54709CD0">
      <w:numFmt w:val="decimal"/>
      <w:lvlText w:val=""/>
      <w:lvlJc w:val="left"/>
    </w:lvl>
    <w:lvl w:ilvl="3" w:tplc="4BD6E0E4">
      <w:numFmt w:val="decimal"/>
      <w:lvlText w:val=""/>
      <w:lvlJc w:val="left"/>
    </w:lvl>
    <w:lvl w:ilvl="4" w:tplc="0CFEA87E">
      <w:numFmt w:val="decimal"/>
      <w:lvlText w:val=""/>
      <w:lvlJc w:val="left"/>
    </w:lvl>
    <w:lvl w:ilvl="5" w:tplc="5E0A3C66">
      <w:numFmt w:val="decimal"/>
      <w:lvlText w:val=""/>
      <w:lvlJc w:val="left"/>
    </w:lvl>
    <w:lvl w:ilvl="6" w:tplc="89F4C236">
      <w:numFmt w:val="decimal"/>
      <w:lvlText w:val=""/>
      <w:lvlJc w:val="left"/>
    </w:lvl>
    <w:lvl w:ilvl="7" w:tplc="4B102912">
      <w:numFmt w:val="decimal"/>
      <w:lvlText w:val=""/>
      <w:lvlJc w:val="left"/>
    </w:lvl>
    <w:lvl w:ilvl="8" w:tplc="1DEA05CE">
      <w:numFmt w:val="decimal"/>
      <w:lvlText w:val=""/>
      <w:lvlJc w:val="left"/>
    </w:lvl>
  </w:abstractNum>
  <w:abstractNum w:abstractNumId="18" w15:restartNumberingAfterBreak="0">
    <w:nsid w:val="53CB60E8"/>
    <w:multiLevelType w:val="hybridMultilevel"/>
    <w:tmpl w:val="E42271A8"/>
    <w:lvl w:ilvl="0" w:tplc="D7FED548">
      <w:start w:val="1"/>
      <w:numFmt w:val="bullet"/>
      <w:lvlText w:val=""/>
      <w:lvlJc w:val="left"/>
      <w:pPr>
        <w:tabs>
          <w:tab w:val="num" w:pos="900"/>
        </w:tabs>
        <w:ind w:left="540" w:hanging="360"/>
      </w:pPr>
      <w:rPr>
        <w:rFonts w:ascii="Symbol" w:hAnsi="Symbol" w:hint="default"/>
      </w:rPr>
    </w:lvl>
    <w:lvl w:ilvl="1" w:tplc="B776A784">
      <w:numFmt w:val="decimal"/>
      <w:lvlText w:val=""/>
      <w:lvlJc w:val="left"/>
    </w:lvl>
    <w:lvl w:ilvl="2" w:tplc="123CCDC0">
      <w:numFmt w:val="decimal"/>
      <w:lvlText w:val=""/>
      <w:lvlJc w:val="left"/>
    </w:lvl>
    <w:lvl w:ilvl="3" w:tplc="BC4AFF7E">
      <w:numFmt w:val="decimal"/>
      <w:lvlText w:val=""/>
      <w:lvlJc w:val="left"/>
    </w:lvl>
    <w:lvl w:ilvl="4" w:tplc="1F0A2E70">
      <w:numFmt w:val="decimal"/>
      <w:lvlText w:val=""/>
      <w:lvlJc w:val="left"/>
    </w:lvl>
    <w:lvl w:ilvl="5" w:tplc="E81C33F4">
      <w:numFmt w:val="decimal"/>
      <w:lvlText w:val=""/>
      <w:lvlJc w:val="left"/>
    </w:lvl>
    <w:lvl w:ilvl="6" w:tplc="97922F9C">
      <w:numFmt w:val="decimal"/>
      <w:lvlText w:val=""/>
      <w:lvlJc w:val="left"/>
    </w:lvl>
    <w:lvl w:ilvl="7" w:tplc="D5D4B1B2">
      <w:numFmt w:val="decimal"/>
      <w:lvlText w:val=""/>
      <w:lvlJc w:val="left"/>
    </w:lvl>
    <w:lvl w:ilvl="8" w:tplc="A6AED19E">
      <w:numFmt w:val="decimal"/>
      <w:lvlText w:val=""/>
      <w:lvlJc w:val="left"/>
    </w:lvl>
  </w:abstractNum>
  <w:abstractNum w:abstractNumId="19" w15:restartNumberingAfterBreak="0">
    <w:nsid w:val="54534BEA"/>
    <w:multiLevelType w:val="hybridMultilevel"/>
    <w:tmpl w:val="30D233BC"/>
    <w:lvl w:ilvl="0" w:tplc="15AAA328">
      <w:start w:val="1"/>
      <w:numFmt w:val="bullet"/>
      <w:lvlText w:val=""/>
      <w:lvlJc w:val="left"/>
      <w:pPr>
        <w:tabs>
          <w:tab w:val="num" w:pos="900"/>
        </w:tabs>
        <w:ind w:left="540" w:hanging="360"/>
      </w:pPr>
      <w:rPr>
        <w:rFonts w:ascii="Symbol" w:hAnsi="Symbol" w:hint="default"/>
      </w:rPr>
    </w:lvl>
    <w:lvl w:ilvl="1" w:tplc="CD3632BE">
      <w:numFmt w:val="decimal"/>
      <w:lvlText w:val=""/>
      <w:lvlJc w:val="left"/>
    </w:lvl>
    <w:lvl w:ilvl="2" w:tplc="EC669884">
      <w:numFmt w:val="decimal"/>
      <w:lvlText w:val=""/>
      <w:lvlJc w:val="left"/>
    </w:lvl>
    <w:lvl w:ilvl="3" w:tplc="8166C782">
      <w:numFmt w:val="decimal"/>
      <w:lvlText w:val=""/>
      <w:lvlJc w:val="left"/>
    </w:lvl>
    <w:lvl w:ilvl="4" w:tplc="7EAAE194">
      <w:numFmt w:val="decimal"/>
      <w:lvlText w:val=""/>
      <w:lvlJc w:val="left"/>
    </w:lvl>
    <w:lvl w:ilvl="5" w:tplc="79D686B8">
      <w:numFmt w:val="decimal"/>
      <w:lvlText w:val=""/>
      <w:lvlJc w:val="left"/>
    </w:lvl>
    <w:lvl w:ilvl="6" w:tplc="B596CD08">
      <w:numFmt w:val="decimal"/>
      <w:lvlText w:val=""/>
      <w:lvlJc w:val="left"/>
    </w:lvl>
    <w:lvl w:ilvl="7" w:tplc="3A4491FC">
      <w:numFmt w:val="decimal"/>
      <w:lvlText w:val=""/>
      <w:lvlJc w:val="left"/>
    </w:lvl>
    <w:lvl w:ilvl="8" w:tplc="E806EB3C">
      <w:numFmt w:val="decimal"/>
      <w:lvlText w:val=""/>
      <w:lvlJc w:val="left"/>
    </w:lvl>
  </w:abstractNum>
  <w:abstractNum w:abstractNumId="20" w15:restartNumberingAfterBreak="0">
    <w:nsid w:val="59DF0E0D"/>
    <w:multiLevelType w:val="hybridMultilevel"/>
    <w:tmpl w:val="85BAD3C4"/>
    <w:lvl w:ilvl="0" w:tplc="BFA23EB0">
      <w:start w:val="1"/>
      <w:numFmt w:val="bullet"/>
      <w:lvlText w:val=""/>
      <w:lvlJc w:val="left"/>
      <w:pPr>
        <w:tabs>
          <w:tab w:val="num" w:pos="900"/>
        </w:tabs>
        <w:ind w:left="540" w:hanging="360"/>
      </w:pPr>
      <w:rPr>
        <w:rFonts w:ascii="Symbol" w:hAnsi="Symbol" w:hint="default"/>
      </w:rPr>
    </w:lvl>
    <w:lvl w:ilvl="1" w:tplc="68CA70E8">
      <w:numFmt w:val="decimal"/>
      <w:lvlText w:val=""/>
      <w:lvlJc w:val="left"/>
    </w:lvl>
    <w:lvl w:ilvl="2" w:tplc="DD3E358E">
      <w:numFmt w:val="decimal"/>
      <w:lvlText w:val=""/>
      <w:lvlJc w:val="left"/>
    </w:lvl>
    <w:lvl w:ilvl="3" w:tplc="07FA81E8">
      <w:numFmt w:val="decimal"/>
      <w:lvlText w:val=""/>
      <w:lvlJc w:val="left"/>
    </w:lvl>
    <w:lvl w:ilvl="4" w:tplc="1B6203EA">
      <w:numFmt w:val="decimal"/>
      <w:lvlText w:val=""/>
      <w:lvlJc w:val="left"/>
    </w:lvl>
    <w:lvl w:ilvl="5" w:tplc="5F78E202">
      <w:numFmt w:val="decimal"/>
      <w:lvlText w:val=""/>
      <w:lvlJc w:val="left"/>
    </w:lvl>
    <w:lvl w:ilvl="6" w:tplc="FE466212">
      <w:numFmt w:val="decimal"/>
      <w:lvlText w:val=""/>
      <w:lvlJc w:val="left"/>
    </w:lvl>
    <w:lvl w:ilvl="7" w:tplc="E61A0FC2">
      <w:numFmt w:val="decimal"/>
      <w:lvlText w:val=""/>
      <w:lvlJc w:val="left"/>
    </w:lvl>
    <w:lvl w:ilvl="8" w:tplc="EEC002E2">
      <w:numFmt w:val="decimal"/>
      <w:lvlText w:val=""/>
      <w:lvlJc w:val="left"/>
    </w:lvl>
  </w:abstractNum>
  <w:abstractNum w:abstractNumId="21" w15:restartNumberingAfterBreak="0">
    <w:nsid w:val="59E62687"/>
    <w:multiLevelType w:val="hybridMultilevel"/>
    <w:tmpl w:val="7BD64CA4"/>
    <w:lvl w:ilvl="0" w:tplc="9F6C831C">
      <w:start w:val="1"/>
      <w:numFmt w:val="bullet"/>
      <w:lvlText w:val=""/>
      <w:lvlJc w:val="left"/>
      <w:pPr>
        <w:tabs>
          <w:tab w:val="num" w:pos="900"/>
        </w:tabs>
        <w:ind w:left="540" w:hanging="360"/>
      </w:pPr>
      <w:rPr>
        <w:rFonts w:ascii="Symbol" w:hAnsi="Symbol" w:hint="default"/>
      </w:rPr>
    </w:lvl>
    <w:lvl w:ilvl="1" w:tplc="54C45A84">
      <w:numFmt w:val="decimal"/>
      <w:lvlText w:val=""/>
      <w:lvlJc w:val="left"/>
    </w:lvl>
    <w:lvl w:ilvl="2" w:tplc="E610B14E">
      <w:numFmt w:val="decimal"/>
      <w:lvlText w:val=""/>
      <w:lvlJc w:val="left"/>
    </w:lvl>
    <w:lvl w:ilvl="3" w:tplc="B0FAFFE4">
      <w:numFmt w:val="decimal"/>
      <w:lvlText w:val=""/>
      <w:lvlJc w:val="left"/>
    </w:lvl>
    <w:lvl w:ilvl="4" w:tplc="9336E334">
      <w:numFmt w:val="decimal"/>
      <w:lvlText w:val=""/>
      <w:lvlJc w:val="left"/>
    </w:lvl>
    <w:lvl w:ilvl="5" w:tplc="C9901110">
      <w:numFmt w:val="decimal"/>
      <w:lvlText w:val=""/>
      <w:lvlJc w:val="left"/>
    </w:lvl>
    <w:lvl w:ilvl="6" w:tplc="E7207E10">
      <w:numFmt w:val="decimal"/>
      <w:lvlText w:val=""/>
      <w:lvlJc w:val="left"/>
    </w:lvl>
    <w:lvl w:ilvl="7" w:tplc="B20AC8D0">
      <w:numFmt w:val="decimal"/>
      <w:lvlText w:val=""/>
      <w:lvlJc w:val="left"/>
    </w:lvl>
    <w:lvl w:ilvl="8" w:tplc="65087D62">
      <w:numFmt w:val="decimal"/>
      <w:lvlText w:val=""/>
      <w:lvlJc w:val="left"/>
    </w:lvl>
  </w:abstractNum>
  <w:abstractNum w:abstractNumId="22" w15:restartNumberingAfterBreak="0">
    <w:nsid w:val="5FA508D1"/>
    <w:multiLevelType w:val="hybridMultilevel"/>
    <w:tmpl w:val="F90863C0"/>
    <w:lvl w:ilvl="0" w:tplc="58DA1CC4">
      <w:start w:val="1"/>
      <w:numFmt w:val="bullet"/>
      <w:lvlText w:val=""/>
      <w:lvlJc w:val="left"/>
      <w:pPr>
        <w:tabs>
          <w:tab w:val="num" w:pos="900"/>
        </w:tabs>
        <w:ind w:left="540" w:hanging="360"/>
      </w:pPr>
      <w:rPr>
        <w:rFonts w:ascii="Symbol" w:hAnsi="Symbol" w:hint="default"/>
      </w:rPr>
    </w:lvl>
    <w:lvl w:ilvl="1" w:tplc="E7AC6866">
      <w:numFmt w:val="decimal"/>
      <w:lvlText w:val=""/>
      <w:lvlJc w:val="left"/>
    </w:lvl>
    <w:lvl w:ilvl="2" w:tplc="9BB4C1A0">
      <w:numFmt w:val="decimal"/>
      <w:lvlText w:val=""/>
      <w:lvlJc w:val="left"/>
    </w:lvl>
    <w:lvl w:ilvl="3" w:tplc="90D6D08C">
      <w:numFmt w:val="decimal"/>
      <w:lvlText w:val=""/>
      <w:lvlJc w:val="left"/>
    </w:lvl>
    <w:lvl w:ilvl="4" w:tplc="00287168">
      <w:numFmt w:val="decimal"/>
      <w:lvlText w:val=""/>
      <w:lvlJc w:val="left"/>
    </w:lvl>
    <w:lvl w:ilvl="5" w:tplc="0C4054AC">
      <w:numFmt w:val="decimal"/>
      <w:lvlText w:val=""/>
      <w:lvlJc w:val="left"/>
    </w:lvl>
    <w:lvl w:ilvl="6" w:tplc="CF044230">
      <w:numFmt w:val="decimal"/>
      <w:lvlText w:val=""/>
      <w:lvlJc w:val="left"/>
    </w:lvl>
    <w:lvl w:ilvl="7" w:tplc="9482A414">
      <w:numFmt w:val="decimal"/>
      <w:lvlText w:val=""/>
      <w:lvlJc w:val="left"/>
    </w:lvl>
    <w:lvl w:ilvl="8" w:tplc="FC969AEC">
      <w:numFmt w:val="decimal"/>
      <w:lvlText w:val=""/>
      <w:lvlJc w:val="left"/>
    </w:lvl>
  </w:abstractNum>
  <w:abstractNum w:abstractNumId="23" w15:restartNumberingAfterBreak="0">
    <w:nsid w:val="6F793B8A"/>
    <w:multiLevelType w:val="hybridMultilevel"/>
    <w:tmpl w:val="DAB87F92"/>
    <w:lvl w:ilvl="0" w:tplc="92C065A2">
      <w:start w:val="1"/>
      <w:numFmt w:val="bullet"/>
      <w:lvlText w:val=""/>
      <w:lvlJc w:val="left"/>
      <w:pPr>
        <w:tabs>
          <w:tab w:val="num" w:pos="900"/>
        </w:tabs>
        <w:ind w:left="540" w:hanging="360"/>
      </w:pPr>
      <w:rPr>
        <w:rFonts w:ascii="Symbol" w:hAnsi="Symbol" w:hint="default"/>
      </w:rPr>
    </w:lvl>
    <w:lvl w:ilvl="1" w:tplc="8B7CB7F0">
      <w:start w:val="1"/>
      <w:numFmt w:val="bullet"/>
      <w:lvlText w:val="o"/>
      <w:lvlJc w:val="left"/>
      <w:pPr>
        <w:tabs>
          <w:tab w:val="num" w:pos="1440"/>
        </w:tabs>
        <w:ind w:left="1080" w:hanging="360"/>
      </w:pPr>
      <w:rPr>
        <w:rFonts w:ascii="Courier New" w:hAnsi="Courier New" w:cs="Courier New" w:hint="default"/>
      </w:rPr>
    </w:lvl>
    <w:lvl w:ilvl="2" w:tplc="0A442550">
      <w:numFmt w:val="decimal"/>
      <w:lvlText w:val=""/>
      <w:lvlJc w:val="left"/>
    </w:lvl>
    <w:lvl w:ilvl="3" w:tplc="DECA824E">
      <w:numFmt w:val="decimal"/>
      <w:lvlText w:val=""/>
      <w:lvlJc w:val="left"/>
    </w:lvl>
    <w:lvl w:ilvl="4" w:tplc="5F082AE6">
      <w:numFmt w:val="decimal"/>
      <w:lvlText w:val=""/>
      <w:lvlJc w:val="left"/>
    </w:lvl>
    <w:lvl w:ilvl="5" w:tplc="17D25BA0">
      <w:numFmt w:val="decimal"/>
      <w:lvlText w:val=""/>
      <w:lvlJc w:val="left"/>
    </w:lvl>
    <w:lvl w:ilvl="6" w:tplc="990E3BAC">
      <w:numFmt w:val="decimal"/>
      <w:lvlText w:val=""/>
      <w:lvlJc w:val="left"/>
    </w:lvl>
    <w:lvl w:ilvl="7" w:tplc="9D80B422">
      <w:numFmt w:val="decimal"/>
      <w:lvlText w:val=""/>
      <w:lvlJc w:val="left"/>
    </w:lvl>
    <w:lvl w:ilvl="8" w:tplc="F6E2F1C0">
      <w:numFmt w:val="decimal"/>
      <w:lvlText w:val=""/>
      <w:lvlJc w:val="left"/>
    </w:lvl>
  </w:abstractNum>
  <w:abstractNum w:abstractNumId="24" w15:restartNumberingAfterBreak="0">
    <w:nsid w:val="77927A88"/>
    <w:multiLevelType w:val="hybridMultilevel"/>
    <w:tmpl w:val="FE34A62C"/>
    <w:lvl w:ilvl="0" w:tplc="4E20B2BE">
      <w:start w:val="1"/>
      <w:numFmt w:val="bullet"/>
      <w:lvlText w:val=""/>
      <w:lvlJc w:val="left"/>
      <w:pPr>
        <w:tabs>
          <w:tab w:val="num" w:pos="900"/>
        </w:tabs>
        <w:ind w:left="540" w:hanging="360"/>
      </w:pPr>
      <w:rPr>
        <w:rFonts w:ascii="Symbol" w:hAnsi="Symbol" w:hint="default"/>
      </w:rPr>
    </w:lvl>
    <w:lvl w:ilvl="1" w:tplc="D1346FBA">
      <w:numFmt w:val="decimal"/>
      <w:lvlText w:val=""/>
      <w:lvlJc w:val="left"/>
    </w:lvl>
    <w:lvl w:ilvl="2" w:tplc="AD6E02F4">
      <w:numFmt w:val="decimal"/>
      <w:lvlText w:val=""/>
      <w:lvlJc w:val="left"/>
    </w:lvl>
    <w:lvl w:ilvl="3" w:tplc="C82A769C">
      <w:numFmt w:val="decimal"/>
      <w:lvlText w:val=""/>
      <w:lvlJc w:val="left"/>
    </w:lvl>
    <w:lvl w:ilvl="4" w:tplc="C74E80C8">
      <w:numFmt w:val="decimal"/>
      <w:lvlText w:val=""/>
      <w:lvlJc w:val="left"/>
    </w:lvl>
    <w:lvl w:ilvl="5" w:tplc="119A84EC">
      <w:numFmt w:val="decimal"/>
      <w:lvlText w:val=""/>
      <w:lvlJc w:val="left"/>
    </w:lvl>
    <w:lvl w:ilvl="6" w:tplc="B8644FB2">
      <w:numFmt w:val="decimal"/>
      <w:lvlText w:val=""/>
      <w:lvlJc w:val="left"/>
    </w:lvl>
    <w:lvl w:ilvl="7" w:tplc="B20E36B6">
      <w:numFmt w:val="decimal"/>
      <w:lvlText w:val=""/>
      <w:lvlJc w:val="left"/>
    </w:lvl>
    <w:lvl w:ilvl="8" w:tplc="427AB180">
      <w:numFmt w:val="decimal"/>
      <w:lvlText w:val=""/>
      <w:lvlJc w:val="left"/>
    </w:lvl>
  </w:abstractNum>
  <w:abstractNum w:abstractNumId="25" w15:restartNumberingAfterBreak="0">
    <w:nsid w:val="7C0E65EC"/>
    <w:multiLevelType w:val="hybridMultilevel"/>
    <w:tmpl w:val="C8AAA888"/>
    <w:lvl w:ilvl="0" w:tplc="F260E290">
      <w:start w:val="1"/>
      <w:numFmt w:val="bullet"/>
      <w:lvlText w:val=""/>
      <w:lvlJc w:val="left"/>
      <w:pPr>
        <w:tabs>
          <w:tab w:val="num" w:pos="900"/>
        </w:tabs>
        <w:ind w:left="540" w:hanging="360"/>
      </w:pPr>
      <w:rPr>
        <w:rFonts w:ascii="Symbol" w:hAnsi="Symbol" w:hint="default"/>
      </w:rPr>
    </w:lvl>
    <w:lvl w:ilvl="1" w:tplc="37484D6A">
      <w:numFmt w:val="decimal"/>
      <w:lvlText w:val=""/>
      <w:lvlJc w:val="left"/>
    </w:lvl>
    <w:lvl w:ilvl="2" w:tplc="688059F8">
      <w:numFmt w:val="decimal"/>
      <w:lvlText w:val=""/>
      <w:lvlJc w:val="left"/>
    </w:lvl>
    <w:lvl w:ilvl="3" w:tplc="110C77B4">
      <w:numFmt w:val="decimal"/>
      <w:lvlText w:val=""/>
      <w:lvlJc w:val="left"/>
    </w:lvl>
    <w:lvl w:ilvl="4" w:tplc="D0F6F268">
      <w:numFmt w:val="decimal"/>
      <w:lvlText w:val=""/>
      <w:lvlJc w:val="left"/>
    </w:lvl>
    <w:lvl w:ilvl="5" w:tplc="1A300B62">
      <w:numFmt w:val="decimal"/>
      <w:lvlText w:val=""/>
      <w:lvlJc w:val="left"/>
    </w:lvl>
    <w:lvl w:ilvl="6" w:tplc="230CFB72">
      <w:numFmt w:val="decimal"/>
      <w:lvlText w:val=""/>
      <w:lvlJc w:val="left"/>
    </w:lvl>
    <w:lvl w:ilvl="7" w:tplc="056ECE5A">
      <w:numFmt w:val="decimal"/>
      <w:lvlText w:val=""/>
      <w:lvlJc w:val="left"/>
    </w:lvl>
    <w:lvl w:ilvl="8" w:tplc="CBA40A80">
      <w:numFmt w:val="decimal"/>
      <w:lvlText w:val=""/>
      <w:lvlJc w:val="left"/>
    </w:lvl>
  </w:abstractNum>
  <w:abstractNum w:abstractNumId="26" w15:restartNumberingAfterBreak="0">
    <w:nsid w:val="7CD53F38"/>
    <w:multiLevelType w:val="hybridMultilevel"/>
    <w:tmpl w:val="302C8F70"/>
    <w:lvl w:ilvl="0" w:tplc="3CC00256">
      <w:start w:val="1"/>
      <w:numFmt w:val="bullet"/>
      <w:lvlText w:val=""/>
      <w:lvlJc w:val="left"/>
      <w:pPr>
        <w:tabs>
          <w:tab w:val="num" w:pos="900"/>
        </w:tabs>
        <w:ind w:left="540" w:hanging="360"/>
      </w:pPr>
      <w:rPr>
        <w:rFonts w:ascii="Symbol" w:hAnsi="Symbol" w:hint="default"/>
      </w:rPr>
    </w:lvl>
    <w:lvl w:ilvl="1" w:tplc="DCB6B31A">
      <w:numFmt w:val="decimal"/>
      <w:lvlText w:val=""/>
      <w:lvlJc w:val="left"/>
    </w:lvl>
    <w:lvl w:ilvl="2" w:tplc="6C30C6EA">
      <w:numFmt w:val="decimal"/>
      <w:lvlText w:val=""/>
      <w:lvlJc w:val="left"/>
    </w:lvl>
    <w:lvl w:ilvl="3" w:tplc="AEB60DF0">
      <w:numFmt w:val="decimal"/>
      <w:lvlText w:val=""/>
      <w:lvlJc w:val="left"/>
    </w:lvl>
    <w:lvl w:ilvl="4" w:tplc="F448166A">
      <w:numFmt w:val="decimal"/>
      <w:lvlText w:val=""/>
      <w:lvlJc w:val="left"/>
    </w:lvl>
    <w:lvl w:ilvl="5" w:tplc="2CA41256">
      <w:numFmt w:val="decimal"/>
      <w:lvlText w:val=""/>
      <w:lvlJc w:val="left"/>
    </w:lvl>
    <w:lvl w:ilvl="6" w:tplc="CFF48164">
      <w:numFmt w:val="decimal"/>
      <w:lvlText w:val=""/>
      <w:lvlJc w:val="left"/>
    </w:lvl>
    <w:lvl w:ilvl="7" w:tplc="52CA936A">
      <w:numFmt w:val="decimal"/>
      <w:lvlText w:val=""/>
      <w:lvlJc w:val="left"/>
    </w:lvl>
    <w:lvl w:ilvl="8" w:tplc="BF2224F4">
      <w:numFmt w:val="decimal"/>
      <w:lvlText w:val=""/>
      <w:lvlJc w:val="left"/>
    </w:lvl>
  </w:abstractNum>
  <w:num w:numId="1" w16cid:durableId="2085955207">
    <w:abstractNumId w:val="0"/>
  </w:num>
  <w:num w:numId="2" w16cid:durableId="369497254">
    <w:abstractNumId w:val="6"/>
  </w:num>
  <w:num w:numId="3" w16cid:durableId="1347829958">
    <w:abstractNumId w:val="26"/>
  </w:num>
  <w:num w:numId="4" w16cid:durableId="840390957">
    <w:abstractNumId w:val="4"/>
  </w:num>
  <w:num w:numId="5" w16cid:durableId="1579242865">
    <w:abstractNumId w:val="11"/>
  </w:num>
  <w:num w:numId="6" w16cid:durableId="1054158193">
    <w:abstractNumId w:val="1"/>
  </w:num>
  <w:num w:numId="7" w16cid:durableId="1765417846">
    <w:abstractNumId w:val="15"/>
  </w:num>
  <w:num w:numId="8" w16cid:durableId="1158115860">
    <w:abstractNumId w:val="16"/>
  </w:num>
  <w:num w:numId="9" w16cid:durableId="1733041877">
    <w:abstractNumId w:val="9"/>
  </w:num>
  <w:num w:numId="10" w16cid:durableId="137187411">
    <w:abstractNumId w:val="7"/>
  </w:num>
  <w:num w:numId="11" w16cid:durableId="1946887866">
    <w:abstractNumId w:val="25"/>
  </w:num>
  <w:num w:numId="12" w16cid:durableId="1142389036">
    <w:abstractNumId w:val="12"/>
  </w:num>
  <w:num w:numId="13" w16cid:durableId="1455442176">
    <w:abstractNumId w:val="10"/>
  </w:num>
  <w:num w:numId="14" w16cid:durableId="1736590723">
    <w:abstractNumId w:val="19"/>
  </w:num>
  <w:num w:numId="15" w16cid:durableId="2004123313">
    <w:abstractNumId w:val="21"/>
  </w:num>
  <w:num w:numId="16" w16cid:durableId="1617329841">
    <w:abstractNumId w:val="18"/>
  </w:num>
  <w:num w:numId="17" w16cid:durableId="149257150">
    <w:abstractNumId w:val="20"/>
  </w:num>
  <w:num w:numId="18" w16cid:durableId="1932422185">
    <w:abstractNumId w:val="22"/>
  </w:num>
  <w:num w:numId="19" w16cid:durableId="900214766">
    <w:abstractNumId w:val="3"/>
  </w:num>
  <w:num w:numId="20" w16cid:durableId="312563264">
    <w:abstractNumId w:val="24"/>
  </w:num>
  <w:num w:numId="21" w16cid:durableId="2010403014">
    <w:abstractNumId w:val="8"/>
  </w:num>
  <w:num w:numId="22" w16cid:durableId="2043283231">
    <w:abstractNumId w:val="5"/>
  </w:num>
  <w:num w:numId="23" w16cid:durableId="1037773433">
    <w:abstractNumId w:val="13"/>
  </w:num>
  <w:num w:numId="24" w16cid:durableId="777876497">
    <w:abstractNumId w:val="23"/>
  </w:num>
  <w:num w:numId="25" w16cid:durableId="700865053">
    <w:abstractNumId w:val="2"/>
  </w:num>
  <w:num w:numId="26" w16cid:durableId="1556892991">
    <w:abstractNumId w:val="17"/>
  </w:num>
  <w:num w:numId="27" w16cid:durableId="14961871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9D"/>
    <w:rsid w:val="0062429D"/>
    <w:rsid w:val="008154B1"/>
    <w:rsid w:val="00EA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D1FDA4E"/>
  <w15:docId w15:val="{5BADB395-1129-4468-9F71-C15D5519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5074</Words>
  <Characters>28923</Characters>
  <Application>Microsoft Office Word</Application>
  <DocSecurity>0</DocSecurity>
  <Lines>241</Lines>
  <Paragraphs>67</Paragraphs>
  <ScaleCrop>false</ScaleCrop>
  <Company/>
  <LinksUpToDate>false</LinksUpToDate>
  <CharactersWithSpaces>33930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randolph nunez</cp:lastModifiedBy>
  <cp:revision>2</cp:revision>
  <dcterms:created xsi:type="dcterms:W3CDTF">2026-02-10T08:25:00Z</dcterms:created>
  <dcterms:modified xsi:type="dcterms:W3CDTF">2026-02-10T08:25:00Z</dcterms:modified>
</cp:coreProperties>
</file>