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85226" w14:textId="77777777" w:rsidR="00B1511E" w:rsidRDefault="00000000">
      <w:pPr>
        <w:spacing w:after="0" w:line="360" w:lineRule="auto"/>
      </w:pPr>
      <w:r>
        <w:rPr>
          <w:rFonts w:ascii="inter" w:eastAsia="inter" w:hAnsi="inter" w:cs="inter"/>
          <w:noProof/>
          <w:color w:val="000000"/>
        </w:rPr>
        <w:drawing>
          <wp:inline distT="0" distB="0" distL="0" distR="0" wp14:anchorId="0249C4A9" wp14:editId="630A32DA">
            <wp:extent cx="2420112" cy="609600"/>
            <wp:effectExtent l="0" t="0" r="0" b="0"/>
            <wp:docPr id="1" name="image-c5c66efc2896dac0e9e73f0d6389f94fc1e51e6c.png"/>
            <wp:cNvGraphicFramePr/>
            <a:graphic xmlns:a="http://schemas.openxmlformats.org/drawingml/2006/main">
              <a:graphicData uri="http://schemas.openxmlformats.org/drawingml/2006/picture">
                <pic:pic xmlns:pic="http://schemas.openxmlformats.org/drawingml/2006/picture">
                  <pic:nvPicPr>
                    <pic:cNvPr id="1" name="image-c5c66efc2896dac0e9e73f0d6389f94fc1e51e6c.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161461EF" w14:textId="77777777" w:rsidR="00B1511E" w:rsidRDefault="00000000">
      <w:pPr>
        <w:spacing w:before="157" w:after="157" w:line="270" w:lineRule="auto"/>
      </w:pPr>
      <w:bookmarkStart w:id="0" w:name="in_neuroscience_the_defense_casca_f15b1e"/>
      <w:r>
        <w:rPr>
          <w:rFonts w:ascii="inter" w:eastAsia="inter" w:hAnsi="inter" w:cs="inter"/>
          <w:b/>
          <w:color w:val="000000"/>
          <w:sz w:val="39"/>
        </w:rPr>
        <w:t>In neuroscience, the defense cascade (amygdala → periaqueductal gray → freeze/tonic immobility) is triggered by threat detection and overrides voluntary motor control. My question is about the nature of this override: Does the trauma-related freeze response operate as a pre-volitional input constraint — meaning it bypasses the goal-evaluation system entirely and blocks motor output before any cost-benefit computation occurs — or does it operate within the evaluative system as an extreme cost-aversion response, where the brain computes that the anticipated cost (re-traumatization) exceeds tolerance and outputs "don't act"? Specifically: (1) Does the amygdala-PAG freeze pathway receive input from prefrontal cost-evaluation circuits (</w:t>
      </w:r>
      <w:proofErr w:type="spellStart"/>
      <w:r>
        <w:rPr>
          <w:rFonts w:ascii="inter" w:eastAsia="inter" w:hAnsi="inter" w:cs="inter"/>
          <w:b/>
          <w:color w:val="000000"/>
          <w:sz w:val="39"/>
        </w:rPr>
        <w:t>dACC</w:t>
      </w:r>
      <w:proofErr w:type="spellEnd"/>
      <w:r>
        <w:rPr>
          <w:rFonts w:ascii="inter" w:eastAsia="inter" w:hAnsi="inter" w:cs="inter"/>
          <w:b/>
          <w:color w:val="000000"/>
          <w:sz w:val="39"/>
        </w:rPr>
        <w:t xml:space="preserve">, anterior insula, </w:t>
      </w:r>
      <w:proofErr w:type="spellStart"/>
      <w:r>
        <w:rPr>
          <w:rFonts w:ascii="inter" w:eastAsia="inter" w:hAnsi="inter" w:cs="inter"/>
          <w:b/>
          <w:color w:val="000000"/>
          <w:sz w:val="39"/>
        </w:rPr>
        <w:t>dlPFC</w:t>
      </w:r>
      <w:proofErr w:type="spellEnd"/>
      <w:r>
        <w:rPr>
          <w:rFonts w:ascii="inter" w:eastAsia="inter" w:hAnsi="inter" w:cs="inter"/>
          <w:b/>
          <w:color w:val="000000"/>
          <w:sz w:val="39"/>
        </w:rPr>
        <w:t xml:space="preserve">) before activating, or does it fire independently of them? (2) Can sufficient motivation override a trauma freeze, or is it motivation-invariant like a structural/biological constraint? (3) What does the latency data show — does freeze onset occur faster than cortical evaluation could complete? Cite primary neuroscience sources, especially LeDoux </w:t>
      </w:r>
      <w:r>
        <w:rPr>
          <w:rFonts w:ascii="inter" w:eastAsia="inter" w:hAnsi="inter" w:cs="inter"/>
          <w:b/>
          <w:color w:val="000000"/>
          <w:sz w:val="39"/>
        </w:rPr>
        <w:lastRenderedPageBreak/>
        <w:t>(2000, 2015), Mobbs et al. (2007, 2015), Kozlowska et al. (2015), and any recent work on defense cascade timing relative to prefrontal processing.</w:t>
      </w:r>
      <w:bookmarkEnd w:id="0"/>
    </w:p>
    <w:p w14:paraId="26FDD768" w14:textId="77777777" w:rsidR="00B1511E" w:rsidRDefault="00000000">
      <w:pPr>
        <w:spacing w:after="210" w:line="360" w:lineRule="auto"/>
      </w:pPr>
      <w:r>
        <w:rPr>
          <w:rFonts w:ascii="inter" w:eastAsia="inter" w:hAnsi="inter" w:cs="inter"/>
          <w:color w:val="000000"/>
        </w:rPr>
        <w:t xml:space="preserve">At the level of fast defensive circuitry, the trauma‑related freeze response is best thought of as a </w:t>
      </w:r>
      <w:r>
        <w:rPr>
          <w:rFonts w:ascii="inter" w:eastAsia="inter" w:hAnsi="inter" w:cs="inter"/>
          <w:b/>
          <w:color w:val="000000"/>
        </w:rPr>
        <w:t>pre‑volitional constraint implemented by subcortical “survival circuits”</w:t>
      </w:r>
      <w:r>
        <w:rPr>
          <w:rFonts w:ascii="inter" w:eastAsia="inter" w:hAnsi="inter" w:cs="inter"/>
          <w:color w:val="000000"/>
        </w:rPr>
        <w:t xml:space="preserve"> (in LeDoux’s terminology) that can be engaged before cortical cost–benefit evaluation is complete. However, these circuits are </w:t>
      </w:r>
      <w:r>
        <w:rPr>
          <w:rFonts w:ascii="inter" w:eastAsia="inter" w:hAnsi="inter" w:cs="inter"/>
          <w:i/>
          <w:color w:val="000000"/>
        </w:rPr>
        <w:t>not</w:t>
      </w:r>
      <w:r>
        <w:rPr>
          <w:rFonts w:ascii="inter" w:eastAsia="inter" w:hAnsi="inter" w:cs="inter"/>
          <w:color w:val="000000"/>
        </w:rPr>
        <w:t xml:space="preserve"> completely insulated from valuation: they are rapidly modulated by cortical networks (</w:t>
      </w:r>
      <w:proofErr w:type="spellStart"/>
      <w:r>
        <w:rPr>
          <w:rFonts w:ascii="inter" w:eastAsia="inter" w:hAnsi="inter" w:cs="inter"/>
          <w:color w:val="000000"/>
        </w:rPr>
        <w:t>vmPFC</w:t>
      </w:r>
      <w:proofErr w:type="spellEnd"/>
      <w:r>
        <w:rPr>
          <w:rFonts w:ascii="inter" w:eastAsia="inter" w:hAnsi="inter" w:cs="inter"/>
          <w:color w:val="000000"/>
        </w:rPr>
        <w:t xml:space="preserve">, </w:t>
      </w:r>
      <w:proofErr w:type="spellStart"/>
      <w:r>
        <w:rPr>
          <w:rFonts w:ascii="inter" w:eastAsia="inter" w:hAnsi="inter" w:cs="inter"/>
          <w:color w:val="000000"/>
        </w:rPr>
        <w:t>aMCC</w:t>
      </w:r>
      <w:proofErr w:type="spellEnd"/>
      <w:r>
        <w:rPr>
          <w:rFonts w:ascii="inter" w:eastAsia="inter" w:hAnsi="inter" w:cs="inter"/>
          <w:color w:val="000000"/>
        </w:rPr>
        <w:t>/</w:t>
      </w:r>
      <w:proofErr w:type="spellStart"/>
      <w:r>
        <w:rPr>
          <w:rFonts w:ascii="inter" w:eastAsia="inter" w:hAnsi="inter" w:cs="inter"/>
          <w:color w:val="000000"/>
        </w:rPr>
        <w:t>dACC</w:t>
      </w:r>
      <w:proofErr w:type="spellEnd"/>
      <w:r>
        <w:rPr>
          <w:rFonts w:ascii="inter" w:eastAsia="inter" w:hAnsi="inter" w:cs="inter"/>
          <w:color w:val="000000"/>
        </w:rPr>
        <w:t xml:space="preserve">, anterior insula, </w:t>
      </w:r>
      <w:proofErr w:type="spellStart"/>
      <w:r>
        <w:rPr>
          <w:rFonts w:ascii="inter" w:eastAsia="inter" w:hAnsi="inter" w:cs="inter"/>
          <w:color w:val="000000"/>
        </w:rPr>
        <w:t>dlPFC</w:t>
      </w:r>
      <w:proofErr w:type="spellEnd"/>
      <w:r>
        <w:rPr>
          <w:rFonts w:ascii="inter" w:eastAsia="inter" w:hAnsi="inter" w:cs="inter"/>
          <w:color w:val="000000"/>
        </w:rPr>
        <w:t>) that encode threat imminence and expected cost, and that can both prime freeze and help terminate it. So the answer is “hierarchical”: initial triggering is largely bottom‑up and pre‑volitional; maintenance, strength, and switching are shaped by ongoing evaluative processes.</w:t>
      </w:r>
      <w:bookmarkStart w:id="1" w:name="fnref1"/>
      <w:bookmarkEnd w:id="1"/>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2" w:name="fnref2"/>
      <w:bookmarkEnd w:id="2"/>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3" w:name="fnref3"/>
      <w:bookmarkEnd w:id="3"/>
      <w:r>
        <w:fldChar w:fldCharType="begin"/>
      </w:r>
      <w:r>
        <w:instrText>HYPERLINK \l "fn3" \h</w:instrText>
      </w:r>
      <w:r>
        <w:fldChar w:fldCharType="separate"/>
      </w:r>
      <w:r>
        <w:rPr>
          <w:rFonts w:ascii="inter" w:eastAsia="inter" w:hAnsi="inter" w:cs="inter"/>
          <w:u w:val="single"/>
          <w:vertAlign w:val="superscript"/>
        </w:rPr>
        <w:t>[3]</w:t>
      </w:r>
      <w:r>
        <w:fldChar w:fldCharType="end"/>
      </w:r>
    </w:p>
    <w:p w14:paraId="733D727E" w14:textId="77777777" w:rsidR="00B1511E" w:rsidRDefault="00000000">
      <w:pPr>
        <w:spacing w:after="210" w:line="360" w:lineRule="auto"/>
      </w:pPr>
      <w:r>
        <w:rPr>
          <w:rFonts w:ascii="inter" w:eastAsia="inter" w:hAnsi="inter" w:cs="inter"/>
          <w:color w:val="000000"/>
        </w:rPr>
        <w:t>Below, each of your three sub‑questions is addressed explicitly.</w:t>
      </w:r>
    </w:p>
    <w:p w14:paraId="175E3114" w14:textId="77777777" w:rsidR="00B1511E" w:rsidRDefault="00000000">
      <w:pPr>
        <w:spacing w:before="210" w:after="0" w:line="360" w:lineRule="auto"/>
      </w:pPr>
      <w:r>
        <w:rPr>
          <w:noProof/>
        </w:rPr>
      </w:r>
      <w:r>
        <w:rPr>
          <w:noProof/>
        </w:rPr>
        <w:pict w14:anchorId="56463DAA">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38D95EC" w14:textId="77777777" w:rsidR="00B1511E" w:rsidRDefault="00000000">
      <w:pPr>
        <w:spacing w:before="315" w:after="105" w:line="360" w:lineRule="auto"/>
        <w:ind w:left="-30"/>
      </w:pPr>
      <w:bookmarkStart w:id="4" w:name="bm_1_does_the_amygdala_pag_freeze_c85c5d"/>
      <w:r>
        <w:rPr>
          <w:rFonts w:ascii="inter" w:eastAsia="inter" w:hAnsi="inter" w:cs="inter"/>
          <w:b/>
          <w:color w:val="000000"/>
          <w:sz w:val="24"/>
        </w:rPr>
        <w:t>1. Does the amygdala–PAG freeze pathway get prefrontal cost‑evaluation input before it activates, or does it fire independently?</w:t>
      </w:r>
      <w:bookmarkEnd w:id="4"/>
    </w:p>
    <w:p w14:paraId="39BD476A" w14:textId="77777777" w:rsidR="00B1511E" w:rsidRDefault="00000000">
      <w:pPr>
        <w:spacing w:before="315" w:after="105" w:line="360" w:lineRule="auto"/>
        <w:ind w:left="-30"/>
      </w:pPr>
      <w:bookmarkStart w:id="5" w:name="circuit_architecture"/>
      <w:r>
        <w:rPr>
          <w:rFonts w:ascii="inter" w:eastAsia="inter" w:hAnsi="inter" w:cs="inter"/>
          <w:b/>
          <w:color w:val="000000"/>
          <w:sz w:val="24"/>
        </w:rPr>
        <w:t>Circuit architecture</w:t>
      </w:r>
      <w:bookmarkEnd w:id="5"/>
    </w:p>
    <w:p w14:paraId="2D698EB1" w14:textId="77777777" w:rsidR="00B1511E" w:rsidRDefault="00000000">
      <w:pPr>
        <w:spacing w:after="210" w:line="360" w:lineRule="auto"/>
      </w:pPr>
      <w:r>
        <w:rPr>
          <w:rFonts w:ascii="inter" w:eastAsia="inter" w:hAnsi="inter" w:cs="inter"/>
          <w:color w:val="000000"/>
        </w:rPr>
        <w:t>Across species, defensive freezing is implemented by a conserved circuit:</w:t>
      </w:r>
    </w:p>
    <w:p w14:paraId="4593E654" w14:textId="77777777" w:rsidR="00B1511E" w:rsidRDefault="00000000">
      <w:pPr>
        <w:numPr>
          <w:ilvl w:val="0"/>
          <w:numId w:val="1"/>
        </w:numPr>
        <w:spacing w:before="105" w:after="105" w:line="360" w:lineRule="auto"/>
      </w:pPr>
      <w:r>
        <w:rPr>
          <w:rFonts w:ascii="inter" w:eastAsia="inter" w:hAnsi="inter" w:cs="inter"/>
          <w:b/>
          <w:color w:val="000000"/>
        </w:rPr>
        <w:t>Threat detection / valuation (subcortical):</w:t>
      </w:r>
      <w:r>
        <w:rPr>
          <w:rFonts w:ascii="inter" w:eastAsia="inter" w:hAnsi="inter" w:cs="inter"/>
          <w:color w:val="000000"/>
        </w:rPr>
        <w:t xml:space="preserve"> lateral/basolateral amygdala (LA/BLA), medial amygdala (</w:t>
      </w:r>
      <w:proofErr w:type="spellStart"/>
      <w:r>
        <w:rPr>
          <w:rFonts w:ascii="inter" w:eastAsia="inter" w:hAnsi="inter" w:cs="inter"/>
          <w:color w:val="000000"/>
        </w:rPr>
        <w:t>MeA</w:t>
      </w:r>
      <w:proofErr w:type="spellEnd"/>
      <w:r>
        <w:rPr>
          <w:rFonts w:ascii="inter" w:eastAsia="inter" w:hAnsi="inter" w:cs="inter"/>
          <w:color w:val="000000"/>
        </w:rPr>
        <w:t xml:space="preserve">), ventromedial hypothalamus (VMH), </w:t>
      </w:r>
      <w:proofErr w:type="spellStart"/>
      <w:r>
        <w:rPr>
          <w:rFonts w:ascii="inter" w:eastAsia="inter" w:hAnsi="inter" w:cs="inter"/>
          <w:color w:val="000000"/>
        </w:rPr>
        <w:t>premammillary</w:t>
      </w:r>
      <w:proofErr w:type="spellEnd"/>
      <w:r>
        <w:rPr>
          <w:rFonts w:ascii="inter" w:eastAsia="inter" w:hAnsi="inter" w:cs="inter"/>
          <w:color w:val="000000"/>
        </w:rPr>
        <w:t xml:space="preserve"> nucleus.</w:t>
      </w:r>
      <w:bookmarkStart w:id="6" w:name="fnref3_1"/>
      <w:bookmarkEnd w:id="6"/>
      <w:r>
        <w:fldChar w:fldCharType="begin"/>
      </w:r>
      <w:r>
        <w:instrText>HYPERLINK \l "fn3" \h</w:instrText>
      </w:r>
      <w:r>
        <w:fldChar w:fldCharType="separate"/>
      </w:r>
      <w:r>
        <w:rPr>
          <w:rFonts w:ascii="inter" w:eastAsia="inter" w:hAnsi="inter" w:cs="inter"/>
          <w:u w:val="single"/>
          <w:vertAlign w:val="superscript"/>
        </w:rPr>
        <w:t>[3]</w:t>
      </w:r>
      <w:r>
        <w:fldChar w:fldCharType="end"/>
      </w:r>
    </w:p>
    <w:p w14:paraId="55F81009" w14:textId="77777777" w:rsidR="00B1511E" w:rsidRDefault="00000000">
      <w:pPr>
        <w:numPr>
          <w:ilvl w:val="0"/>
          <w:numId w:val="1"/>
        </w:numPr>
        <w:spacing w:before="105" w:after="105" w:line="360" w:lineRule="auto"/>
      </w:pPr>
      <w:r>
        <w:rPr>
          <w:rFonts w:ascii="inter" w:eastAsia="inter" w:hAnsi="inter" w:cs="inter"/>
          <w:b/>
          <w:color w:val="000000"/>
        </w:rPr>
        <w:t>Output for freezing:</w:t>
      </w:r>
      <w:r>
        <w:rPr>
          <w:rFonts w:ascii="inter" w:eastAsia="inter" w:hAnsi="inter" w:cs="inter"/>
          <w:color w:val="000000"/>
        </w:rPr>
        <w:t xml:space="preserve"> central amygdala (</w:t>
      </w:r>
      <w:proofErr w:type="spellStart"/>
      <w:r>
        <w:rPr>
          <w:rFonts w:ascii="inter" w:eastAsia="inter" w:hAnsi="inter" w:cs="inter"/>
          <w:color w:val="000000"/>
        </w:rPr>
        <w:t>CeA</w:t>
      </w:r>
      <w:proofErr w:type="spellEnd"/>
      <w:r>
        <w:rPr>
          <w:rFonts w:ascii="inter" w:eastAsia="inter" w:hAnsi="inter" w:cs="inter"/>
          <w:color w:val="000000"/>
        </w:rPr>
        <w:t xml:space="preserve">) → </w:t>
      </w:r>
      <w:r>
        <w:rPr>
          <w:rFonts w:ascii="inter" w:eastAsia="inter" w:hAnsi="inter" w:cs="inter"/>
          <w:b/>
          <w:color w:val="000000"/>
        </w:rPr>
        <w:t>ventrolateral PAG (</w:t>
      </w:r>
      <w:proofErr w:type="spellStart"/>
      <w:r>
        <w:rPr>
          <w:rFonts w:ascii="inter" w:eastAsia="inter" w:hAnsi="inter" w:cs="inter"/>
          <w:b/>
          <w:color w:val="000000"/>
        </w:rPr>
        <w:t>vlPAG</w:t>
      </w:r>
      <w:proofErr w:type="spellEnd"/>
      <w:r>
        <w:rPr>
          <w:rFonts w:ascii="inter" w:eastAsia="inter" w:hAnsi="inter" w:cs="inter"/>
          <w:b/>
          <w:color w:val="000000"/>
        </w:rPr>
        <w:t>)</w:t>
      </w:r>
      <w:r>
        <w:rPr>
          <w:rFonts w:ascii="inter" w:eastAsia="inter" w:hAnsi="inter" w:cs="inter"/>
          <w:color w:val="000000"/>
        </w:rPr>
        <w:t xml:space="preserve"> → brainstem premotor nuclei, spinal cord, cerebellar vermis.</w:t>
      </w:r>
      <w:bookmarkStart w:id="7" w:name="fnref4"/>
      <w:bookmarkEnd w:id="7"/>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8" w:name="fnref2_1"/>
      <w:bookmarkEnd w:id="8"/>
      <w:r>
        <w:fldChar w:fldCharType="begin"/>
      </w:r>
      <w:r>
        <w:instrText>HYPERLINK \l "fn2" \h</w:instrText>
      </w:r>
      <w:r>
        <w:fldChar w:fldCharType="separate"/>
      </w:r>
      <w:r>
        <w:rPr>
          <w:rFonts w:ascii="inter" w:eastAsia="inter" w:hAnsi="inter" w:cs="inter"/>
          <w:u w:val="single"/>
          <w:vertAlign w:val="superscript"/>
        </w:rPr>
        <w:t>[2]</w:t>
      </w:r>
      <w:r>
        <w:fldChar w:fldCharType="end"/>
      </w:r>
    </w:p>
    <w:p w14:paraId="288C1C36" w14:textId="77777777" w:rsidR="00B1511E" w:rsidRDefault="00000000">
      <w:pPr>
        <w:numPr>
          <w:ilvl w:val="0"/>
          <w:numId w:val="1"/>
        </w:numPr>
        <w:spacing w:before="105" w:after="105" w:line="360" w:lineRule="auto"/>
      </w:pPr>
      <w:r>
        <w:rPr>
          <w:rFonts w:ascii="inter" w:eastAsia="inter" w:hAnsi="inter" w:cs="inter"/>
          <w:b/>
          <w:color w:val="000000"/>
        </w:rPr>
        <w:t>Physiology of freeze:</w:t>
      </w:r>
      <w:r>
        <w:rPr>
          <w:rFonts w:ascii="inter" w:eastAsia="inter" w:hAnsi="inter" w:cs="inter"/>
          <w:color w:val="000000"/>
        </w:rPr>
        <w:t xml:space="preserve"> high muscle tone with motor output “brake” + parasympathetically driven bradycardia via dorsal motor nucleus of the </w:t>
      </w:r>
      <w:proofErr w:type="spellStart"/>
      <w:r>
        <w:rPr>
          <w:rFonts w:ascii="inter" w:eastAsia="inter" w:hAnsi="inter" w:cs="inter"/>
          <w:color w:val="000000"/>
        </w:rPr>
        <w:t>vagus</w:t>
      </w:r>
      <w:proofErr w:type="spellEnd"/>
      <w:r>
        <w:rPr>
          <w:rFonts w:ascii="inter" w:eastAsia="inter" w:hAnsi="inter" w:cs="inter"/>
          <w:color w:val="000000"/>
        </w:rPr>
        <w:t>.</w:t>
      </w:r>
      <w:bookmarkStart w:id="9" w:name="fnref5"/>
      <w:bookmarkEnd w:id="9"/>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0" w:name="fnref2_2"/>
      <w:bookmarkEnd w:id="10"/>
      <w:r>
        <w:fldChar w:fldCharType="begin"/>
      </w:r>
      <w:r>
        <w:instrText>HYPERLINK \l "fn2" \h</w:instrText>
      </w:r>
      <w:r>
        <w:fldChar w:fldCharType="separate"/>
      </w:r>
      <w:r>
        <w:rPr>
          <w:rFonts w:ascii="inter" w:eastAsia="inter" w:hAnsi="inter" w:cs="inter"/>
          <w:u w:val="single"/>
          <w:vertAlign w:val="superscript"/>
        </w:rPr>
        <w:t>[2]</w:t>
      </w:r>
      <w:r>
        <w:fldChar w:fldCharType="end"/>
      </w:r>
    </w:p>
    <w:p w14:paraId="22230F86" w14:textId="77777777" w:rsidR="00B1511E" w:rsidRDefault="00000000">
      <w:pPr>
        <w:spacing w:after="210" w:line="360" w:lineRule="auto"/>
      </w:pPr>
      <w:r>
        <w:rPr>
          <w:rFonts w:ascii="inter" w:eastAsia="inter" w:hAnsi="inter" w:cs="inter"/>
          <w:color w:val="000000"/>
        </w:rPr>
        <w:t xml:space="preserve">LeDoux’s rodent work shows that both unconditioned and conditioned threats reach </w:t>
      </w:r>
      <w:proofErr w:type="spellStart"/>
      <w:r>
        <w:rPr>
          <w:rFonts w:ascii="inter" w:eastAsia="inter" w:hAnsi="inter" w:cs="inter"/>
          <w:b/>
          <w:color w:val="000000"/>
        </w:rPr>
        <w:t>CeA</w:t>
      </w:r>
      <w:proofErr w:type="spellEnd"/>
      <w:r>
        <w:rPr>
          <w:rFonts w:ascii="inter" w:eastAsia="inter" w:hAnsi="inter" w:cs="inter"/>
          <w:b/>
          <w:color w:val="000000"/>
        </w:rPr>
        <w:t xml:space="preserve"> → PAG</w:t>
      </w:r>
      <w:r>
        <w:rPr>
          <w:rFonts w:ascii="inter" w:eastAsia="inter" w:hAnsi="inter" w:cs="inter"/>
          <w:color w:val="000000"/>
        </w:rPr>
        <w:t xml:space="preserve"> via thalamus–amygdala pathways with very short latencies, and that </w:t>
      </w:r>
      <w:proofErr w:type="spellStart"/>
      <w:r>
        <w:rPr>
          <w:rFonts w:ascii="inter" w:eastAsia="inter" w:hAnsi="inter" w:cs="inter"/>
          <w:color w:val="000000"/>
        </w:rPr>
        <w:t>vlPAG</w:t>
      </w:r>
      <w:proofErr w:type="spellEnd"/>
      <w:r>
        <w:rPr>
          <w:rFonts w:ascii="inter" w:eastAsia="inter" w:hAnsi="inter" w:cs="inter"/>
          <w:color w:val="000000"/>
        </w:rPr>
        <w:t xml:space="preserve"> activation is sufficient to generate freezing even in decerebrate animals. Kozlowska et al. explicitly characterize the defense cascade (arousal → freeze → fight/flight → tonic immobility) as </w:t>
      </w:r>
      <w:r>
        <w:rPr>
          <w:rFonts w:ascii="inter" w:eastAsia="inter" w:hAnsi="inter" w:cs="inter"/>
          <w:b/>
          <w:color w:val="000000"/>
        </w:rPr>
        <w:t>“innate, hard‑wired, automatically activated defense behaviors”</w:t>
      </w:r>
      <w:r>
        <w:rPr>
          <w:rFonts w:ascii="inter" w:eastAsia="inter" w:hAnsi="inter" w:cs="inter"/>
          <w:color w:val="000000"/>
        </w:rPr>
        <w:t xml:space="preserve"> mediated by extended amygdala–hypothalamus–PAG–brainstem circuits.</w:t>
      </w:r>
      <w:bookmarkStart w:id="11" w:name="fnref5_1"/>
      <w:bookmarkEnd w:id="11"/>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2" w:name="fnref3_2"/>
      <w:bookmarkEnd w:id="12"/>
      <w:r>
        <w:fldChar w:fldCharType="begin"/>
      </w:r>
      <w:r>
        <w:instrText>HYPERLINK \l "fn3" \h</w:instrText>
      </w:r>
      <w:r>
        <w:fldChar w:fldCharType="separate"/>
      </w:r>
      <w:r>
        <w:rPr>
          <w:rFonts w:ascii="inter" w:eastAsia="inter" w:hAnsi="inter" w:cs="inter"/>
          <w:u w:val="single"/>
          <w:vertAlign w:val="superscript"/>
        </w:rPr>
        <w:t>[3]</w:t>
      </w:r>
      <w:r>
        <w:fldChar w:fldCharType="end"/>
      </w:r>
    </w:p>
    <w:p w14:paraId="36173B3B" w14:textId="77777777" w:rsidR="00B1511E" w:rsidRDefault="00000000">
      <w:pPr>
        <w:spacing w:before="315" w:after="105" w:line="360" w:lineRule="auto"/>
        <w:ind w:left="-30"/>
      </w:pPr>
      <w:bookmarkStart w:id="13" w:name="evidence_for_independence_of_pref_e9221d"/>
      <w:r>
        <w:rPr>
          <w:rFonts w:ascii="inter" w:eastAsia="inter" w:hAnsi="inter" w:cs="inter"/>
          <w:b/>
          <w:color w:val="000000"/>
          <w:sz w:val="24"/>
        </w:rPr>
        <w:t>Evidence for independence of prefrontal input at onset</w:t>
      </w:r>
      <w:bookmarkEnd w:id="13"/>
    </w:p>
    <w:p w14:paraId="34481F13" w14:textId="77777777" w:rsidR="00B1511E" w:rsidRDefault="00000000">
      <w:pPr>
        <w:spacing w:after="210" w:line="360" w:lineRule="auto"/>
      </w:pPr>
      <w:r>
        <w:rPr>
          <w:rFonts w:ascii="inter" w:eastAsia="inter" w:hAnsi="inter" w:cs="inter"/>
          <w:b/>
          <w:color w:val="000000"/>
        </w:rPr>
        <w:t>Timing data</w:t>
      </w:r>
      <w:r>
        <w:rPr>
          <w:rFonts w:ascii="inter" w:eastAsia="inter" w:hAnsi="inter" w:cs="inter"/>
          <w:color w:val="000000"/>
        </w:rPr>
        <w:t xml:space="preserve"> show that subcortical threat processing precedes prefrontal engagement:</w:t>
      </w:r>
    </w:p>
    <w:p w14:paraId="4DDCF12C" w14:textId="77777777" w:rsidR="00B1511E" w:rsidRDefault="00000000">
      <w:pPr>
        <w:numPr>
          <w:ilvl w:val="0"/>
          <w:numId w:val="2"/>
        </w:numPr>
        <w:spacing w:before="105" w:after="105" w:line="360" w:lineRule="auto"/>
      </w:pPr>
      <w:r>
        <w:rPr>
          <w:rFonts w:ascii="inter" w:eastAsia="inter" w:hAnsi="inter" w:cs="inter"/>
          <w:color w:val="000000"/>
        </w:rPr>
        <w:t xml:space="preserve">In rodents, auditory threat signals reach LA from the thalamus in ~12 </w:t>
      </w:r>
      <w:proofErr w:type="spellStart"/>
      <w:r>
        <w:rPr>
          <w:rFonts w:ascii="inter" w:eastAsia="inter" w:hAnsi="inter" w:cs="inter"/>
          <w:color w:val="000000"/>
        </w:rPr>
        <w:t>ms</w:t>
      </w:r>
      <w:proofErr w:type="spellEnd"/>
      <w:r>
        <w:rPr>
          <w:rFonts w:ascii="inter" w:eastAsia="inter" w:hAnsi="inter" w:cs="inter"/>
          <w:color w:val="000000"/>
        </w:rPr>
        <w:t>, and from cortex only later; LA–</w:t>
      </w:r>
      <w:proofErr w:type="spellStart"/>
      <w:r>
        <w:rPr>
          <w:rFonts w:ascii="inter" w:eastAsia="inter" w:hAnsi="inter" w:cs="inter"/>
          <w:color w:val="000000"/>
        </w:rPr>
        <w:t>CeA</w:t>
      </w:r>
      <w:proofErr w:type="spellEnd"/>
      <w:r>
        <w:rPr>
          <w:rFonts w:ascii="inter" w:eastAsia="inter" w:hAnsi="inter" w:cs="inter"/>
          <w:color w:val="000000"/>
        </w:rPr>
        <w:t>–PAG circuitry can generate freezing via this “low road” without cortical participation.</w:t>
      </w:r>
      <w:bookmarkStart w:id="14" w:name="fnref3_3"/>
      <w:bookmarkEnd w:id="14"/>
      <w:r>
        <w:fldChar w:fldCharType="begin"/>
      </w:r>
      <w:r>
        <w:instrText>HYPERLINK \l "fn3" \h</w:instrText>
      </w:r>
      <w:r>
        <w:fldChar w:fldCharType="separate"/>
      </w:r>
      <w:r>
        <w:rPr>
          <w:rFonts w:ascii="inter" w:eastAsia="inter" w:hAnsi="inter" w:cs="inter"/>
          <w:u w:val="single"/>
          <w:vertAlign w:val="superscript"/>
        </w:rPr>
        <w:t>[3]</w:t>
      </w:r>
      <w:r>
        <w:fldChar w:fldCharType="end"/>
      </w:r>
    </w:p>
    <w:p w14:paraId="301CF396" w14:textId="77777777" w:rsidR="00B1511E" w:rsidRDefault="00000000">
      <w:pPr>
        <w:numPr>
          <w:ilvl w:val="0"/>
          <w:numId w:val="2"/>
        </w:numPr>
        <w:spacing w:before="105" w:after="105" w:line="360" w:lineRule="auto"/>
      </w:pPr>
      <w:r>
        <w:rPr>
          <w:rFonts w:ascii="inter" w:eastAsia="inter" w:hAnsi="inter" w:cs="inter"/>
          <w:color w:val="000000"/>
        </w:rPr>
        <w:t>In humans, MEG and intracranial EEG show:</w:t>
      </w:r>
    </w:p>
    <w:p w14:paraId="61B989B9" w14:textId="77777777" w:rsidR="00B1511E" w:rsidRDefault="00000000">
      <w:pPr>
        <w:numPr>
          <w:ilvl w:val="1"/>
          <w:numId w:val="2"/>
        </w:numPr>
        <w:spacing w:before="105" w:after="105" w:line="360" w:lineRule="auto"/>
      </w:pPr>
      <w:r>
        <w:rPr>
          <w:rFonts w:ascii="inter" w:eastAsia="inter" w:hAnsi="inter" w:cs="inter"/>
          <w:color w:val="000000"/>
        </w:rPr>
        <w:t xml:space="preserve">Thalamus/hypothalamus gamma ERS at </w:t>
      </w:r>
      <w:r>
        <w:rPr>
          <w:rFonts w:ascii="inter" w:eastAsia="inter" w:hAnsi="inter" w:cs="inter"/>
          <w:b/>
          <w:color w:val="000000"/>
        </w:rPr>
        <w:t xml:space="preserve">10–20 </w:t>
      </w:r>
      <w:proofErr w:type="spellStart"/>
      <w:r>
        <w:rPr>
          <w:rFonts w:ascii="inter" w:eastAsia="inter" w:hAnsi="inter" w:cs="inter"/>
          <w:b/>
          <w:color w:val="000000"/>
        </w:rPr>
        <w:t>ms</w:t>
      </w:r>
      <w:proofErr w:type="spellEnd"/>
      <w:r>
        <w:rPr>
          <w:rFonts w:ascii="inter" w:eastAsia="inter" w:hAnsi="inter" w:cs="inter"/>
          <w:color w:val="000000"/>
        </w:rPr>
        <w:t xml:space="preserve"> and amygdala at </w:t>
      </w:r>
      <w:r>
        <w:rPr>
          <w:rFonts w:ascii="inter" w:eastAsia="inter" w:hAnsi="inter" w:cs="inter"/>
          <w:b/>
          <w:color w:val="000000"/>
        </w:rPr>
        <w:t xml:space="preserve">20–30 </w:t>
      </w:r>
      <w:proofErr w:type="spellStart"/>
      <w:r>
        <w:rPr>
          <w:rFonts w:ascii="inter" w:eastAsia="inter" w:hAnsi="inter" w:cs="inter"/>
          <w:b/>
          <w:color w:val="000000"/>
        </w:rPr>
        <w:t>ms</w:t>
      </w:r>
      <w:proofErr w:type="spellEnd"/>
      <w:r>
        <w:rPr>
          <w:rFonts w:ascii="inter" w:eastAsia="inter" w:hAnsi="inter" w:cs="inter"/>
          <w:color w:val="000000"/>
        </w:rPr>
        <w:t xml:space="preserve"> in response to fearful faces.</w:t>
      </w:r>
      <w:bookmarkStart w:id="15" w:name="fnref6"/>
      <w:bookmarkEnd w:id="15"/>
      <w:r>
        <w:fldChar w:fldCharType="begin"/>
      </w:r>
      <w:r>
        <w:instrText>HYPERLINK \l "fn6" \h</w:instrText>
      </w:r>
      <w:r>
        <w:fldChar w:fldCharType="separate"/>
      </w:r>
      <w:r>
        <w:rPr>
          <w:rFonts w:ascii="inter" w:eastAsia="inter" w:hAnsi="inter" w:cs="inter"/>
          <w:u w:val="single"/>
          <w:vertAlign w:val="superscript"/>
        </w:rPr>
        <w:t>[6]</w:t>
      </w:r>
      <w:r>
        <w:fldChar w:fldCharType="end"/>
      </w:r>
    </w:p>
    <w:p w14:paraId="25E55BF2" w14:textId="77777777" w:rsidR="00B1511E" w:rsidRDefault="00000000">
      <w:pPr>
        <w:numPr>
          <w:ilvl w:val="1"/>
          <w:numId w:val="2"/>
        </w:numPr>
        <w:spacing w:before="105" w:after="105" w:line="360" w:lineRule="auto"/>
      </w:pPr>
      <w:r>
        <w:rPr>
          <w:rFonts w:ascii="inter" w:eastAsia="inter" w:hAnsi="inter" w:cs="inter"/>
          <w:color w:val="000000"/>
        </w:rPr>
        <w:t xml:space="preserve">Amygdala gamma peaks for fearful expressions at ~100–135 </w:t>
      </w:r>
      <w:proofErr w:type="spellStart"/>
      <w:r>
        <w:rPr>
          <w:rFonts w:ascii="inter" w:eastAsia="inter" w:hAnsi="inter" w:cs="inter"/>
          <w:color w:val="000000"/>
        </w:rPr>
        <w:t>ms</w:t>
      </w:r>
      <w:proofErr w:type="spellEnd"/>
      <w:r>
        <w:rPr>
          <w:rFonts w:ascii="inter" w:eastAsia="inter" w:hAnsi="inter" w:cs="inter"/>
          <w:color w:val="000000"/>
        </w:rPr>
        <w:t xml:space="preserve">, for gaze at ~200 </w:t>
      </w:r>
      <w:proofErr w:type="spellStart"/>
      <w:r>
        <w:rPr>
          <w:rFonts w:ascii="inter" w:eastAsia="inter" w:hAnsi="inter" w:cs="inter"/>
          <w:color w:val="000000"/>
        </w:rPr>
        <w:t>ms</w:t>
      </w:r>
      <w:proofErr w:type="spellEnd"/>
      <w:r>
        <w:rPr>
          <w:rFonts w:ascii="inter" w:eastAsia="inter" w:hAnsi="inter" w:cs="inter"/>
          <w:color w:val="000000"/>
        </w:rPr>
        <w:t xml:space="preserve">, for full faces ~250 </w:t>
      </w:r>
      <w:proofErr w:type="spellStart"/>
      <w:r>
        <w:rPr>
          <w:rFonts w:ascii="inter" w:eastAsia="inter" w:hAnsi="inter" w:cs="inter"/>
          <w:color w:val="000000"/>
        </w:rPr>
        <w:t>ms.</w:t>
      </w:r>
      <w:bookmarkStart w:id="16" w:name="fnref7"/>
      <w:bookmarkEnd w:id="16"/>
      <w:proofErr w:type="spellEnd"/>
      <w:r>
        <w:fldChar w:fldCharType="begin"/>
      </w:r>
      <w:r>
        <w:instrText>HYPERLINK \l "fn7" \h</w:instrText>
      </w:r>
      <w:r>
        <w:fldChar w:fldCharType="separate"/>
      </w:r>
      <w:r>
        <w:rPr>
          <w:rFonts w:ascii="inter" w:eastAsia="inter" w:hAnsi="inter" w:cs="inter"/>
          <w:u w:val="single"/>
          <w:vertAlign w:val="superscript"/>
        </w:rPr>
        <w:t>[7]</w:t>
      </w:r>
      <w:r>
        <w:fldChar w:fldCharType="end"/>
      </w:r>
    </w:p>
    <w:p w14:paraId="6B050F4E" w14:textId="77777777" w:rsidR="00B1511E" w:rsidRDefault="00000000">
      <w:pPr>
        <w:numPr>
          <w:ilvl w:val="1"/>
          <w:numId w:val="2"/>
        </w:numPr>
        <w:spacing w:before="105" w:after="105" w:line="360" w:lineRule="auto"/>
      </w:pPr>
      <w:r>
        <w:rPr>
          <w:rFonts w:ascii="inter" w:eastAsia="inter" w:hAnsi="inter" w:cs="inter"/>
          <w:color w:val="000000"/>
        </w:rPr>
        <w:t xml:space="preserve">Prefrontal cortex (IFG, ACC/OFC) shows onset around </w:t>
      </w:r>
      <w:r>
        <w:rPr>
          <w:rFonts w:ascii="inter" w:eastAsia="inter" w:hAnsi="inter" w:cs="inter"/>
          <w:b/>
          <w:color w:val="000000"/>
        </w:rPr>
        <w:t xml:space="preserve">170–210 </w:t>
      </w:r>
      <w:proofErr w:type="spellStart"/>
      <w:r>
        <w:rPr>
          <w:rFonts w:ascii="inter" w:eastAsia="inter" w:hAnsi="inter" w:cs="inter"/>
          <w:b/>
          <w:color w:val="000000"/>
        </w:rPr>
        <w:t>ms</w:t>
      </w:r>
      <w:proofErr w:type="spellEnd"/>
      <w:r>
        <w:rPr>
          <w:rFonts w:ascii="inter" w:eastAsia="inter" w:hAnsi="inter" w:cs="inter"/>
          <w:color w:val="000000"/>
        </w:rPr>
        <w:t xml:space="preserve">, clearly </w:t>
      </w:r>
      <w:r>
        <w:rPr>
          <w:rFonts w:ascii="inter" w:eastAsia="inter" w:hAnsi="inter" w:cs="inter"/>
          <w:i/>
          <w:color w:val="000000"/>
        </w:rPr>
        <w:t>after</w:t>
      </w:r>
      <w:r>
        <w:rPr>
          <w:rFonts w:ascii="inter" w:eastAsia="inter" w:hAnsi="inter" w:cs="inter"/>
          <w:color w:val="000000"/>
        </w:rPr>
        <w:t xml:space="preserve"> amygdala.</w:t>
      </w:r>
      <w:bookmarkStart w:id="17" w:name="fnref6_1"/>
      <w:bookmarkEnd w:id="17"/>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8" w:name="fnref7_1"/>
      <w:bookmarkEnd w:id="18"/>
      <w:r>
        <w:fldChar w:fldCharType="begin"/>
      </w:r>
      <w:r>
        <w:instrText>HYPERLINK \l "fn7" \h</w:instrText>
      </w:r>
      <w:r>
        <w:fldChar w:fldCharType="separate"/>
      </w:r>
      <w:r>
        <w:rPr>
          <w:rFonts w:ascii="inter" w:eastAsia="inter" w:hAnsi="inter" w:cs="inter"/>
          <w:u w:val="single"/>
          <w:vertAlign w:val="superscript"/>
        </w:rPr>
        <w:t>[7]</w:t>
      </w:r>
      <w:r>
        <w:fldChar w:fldCharType="end"/>
      </w:r>
    </w:p>
    <w:p w14:paraId="3C290C9C" w14:textId="77777777" w:rsidR="00B1511E" w:rsidRDefault="00000000">
      <w:pPr>
        <w:spacing w:after="210" w:line="360" w:lineRule="auto"/>
      </w:pPr>
      <w:r>
        <w:rPr>
          <w:rFonts w:ascii="inter" w:eastAsia="inter" w:hAnsi="inter" w:cs="inter"/>
          <w:color w:val="000000"/>
        </w:rPr>
        <w:t xml:space="preserve">These latencies imply that </w:t>
      </w:r>
      <w:r>
        <w:rPr>
          <w:rFonts w:ascii="inter" w:eastAsia="inter" w:hAnsi="inter" w:cs="inter"/>
          <w:b/>
          <w:color w:val="000000"/>
        </w:rPr>
        <w:t>initial amygdala activation is not contingent on prior prefrontal evaluation</w:t>
      </w:r>
      <w:r>
        <w:rPr>
          <w:rFonts w:ascii="inter" w:eastAsia="inter" w:hAnsi="inter" w:cs="inter"/>
          <w:color w:val="000000"/>
        </w:rPr>
        <w:t>. In LeDoux’s terms, survival circuits compute stimulus significance (“is this dangerous?”) using subcortical routes that can bypass cortex; conscious feelings and reflective evaluations are constructed later in higher‑order cortical networks.</w:t>
      </w:r>
      <w:bookmarkStart w:id="19" w:name="fnref8"/>
      <w:bookmarkEnd w:id="19"/>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20" w:name="fnref3_4"/>
      <w:bookmarkEnd w:id="20"/>
      <w:r>
        <w:fldChar w:fldCharType="begin"/>
      </w:r>
      <w:r>
        <w:instrText>HYPERLINK \l "fn3" \h</w:instrText>
      </w:r>
      <w:r>
        <w:fldChar w:fldCharType="separate"/>
      </w:r>
      <w:r>
        <w:rPr>
          <w:rFonts w:ascii="inter" w:eastAsia="inter" w:hAnsi="inter" w:cs="inter"/>
          <w:u w:val="single"/>
          <w:vertAlign w:val="superscript"/>
        </w:rPr>
        <w:t>[3]</w:t>
      </w:r>
      <w:r>
        <w:fldChar w:fldCharType="end"/>
      </w:r>
    </w:p>
    <w:p w14:paraId="0DD59E75" w14:textId="77777777" w:rsidR="00B1511E" w:rsidRDefault="00000000">
      <w:pPr>
        <w:spacing w:after="210" w:line="360" w:lineRule="auto"/>
      </w:pPr>
      <w:r>
        <w:rPr>
          <w:rFonts w:ascii="inter" w:eastAsia="inter" w:hAnsi="inter" w:cs="inter"/>
          <w:color w:val="000000"/>
        </w:rPr>
        <w:t xml:space="preserve">Similarly, PAG‑mediated effects on motor circuits can be extremely rapid. In rats, </w:t>
      </w:r>
      <w:proofErr w:type="spellStart"/>
      <w:r>
        <w:rPr>
          <w:rFonts w:ascii="inter" w:eastAsia="inter" w:hAnsi="inter" w:cs="inter"/>
          <w:color w:val="000000"/>
        </w:rPr>
        <w:t>vlPAG</w:t>
      </w:r>
      <w:proofErr w:type="spellEnd"/>
      <w:r>
        <w:rPr>
          <w:rFonts w:ascii="inter" w:eastAsia="inter" w:hAnsi="inter" w:cs="inter"/>
          <w:color w:val="000000"/>
        </w:rPr>
        <w:t xml:space="preserve"> stimulation drives cerebellar climbing </w:t>
      </w:r>
      <w:proofErr w:type="spellStart"/>
      <w:r>
        <w:rPr>
          <w:rFonts w:ascii="inter" w:eastAsia="inter" w:hAnsi="inter" w:cs="inter"/>
          <w:color w:val="000000"/>
        </w:rPr>
        <w:t>fibres</w:t>
      </w:r>
      <w:proofErr w:type="spellEnd"/>
      <w:r>
        <w:rPr>
          <w:rFonts w:ascii="inter" w:eastAsia="inter" w:hAnsi="inter" w:cs="inter"/>
          <w:color w:val="000000"/>
        </w:rPr>
        <w:t xml:space="preserve"> with ~15 </w:t>
      </w:r>
      <w:proofErr w:type="spellStart"/>
      <w:r>
        <w:rPr>
          <w:rFonts w:ascii="inter" w:eastAsia="inter" w:hAnsi="inter" w:cs="inter"/>
          <w:color w:val="000000"/>
        </w:rPr>
        <w:t>ms</w:t>
      </w:r>
      <w:proofErr w:type="spellEnd"/>
      <w:r>
        <w:rPr>
          <w:rFonts w:ascii="inter" w:eastAsia="inter" w:hAnsi="inter" w:cs="inter"/>
          <w:color w:val="000000"/>
        </w:rPr>
        <w:t xml:space="preserve"> latency and increases α‑motoneuron excitability in concert with freezing behavior, even under anesthesia. This again indicates that the core amygdala–PAG–spinal machinery operates at a timescale not compatible with prior </w:t>
      </w:r>
      <w:proofErr w:type="spellStart"/>
      <w:r>
        <w:rPr>
          <w:rFonts w:ascii="inter" w:eastAsia="inter" w:hAnsi="inter" w:cs="inter"/>
          <w:color w:val="000000"/>
        </w:rPr>
        <w:t>dACC</w:t>
      </w:r>
      <w:proofErr w:type="spellEnd"/>
      <w:r>
        <w:rPr>
          <w:rFonts w:ascii="inter" w:eastAsia="inter" w:hAnsi="inter" w:cs="inter"/>
          <w:color w:val="000000"/>
        </w:rPr>
        <w:t>/</w:t>
      </w:r>
      <w:proofErr w:type="spellStart"/>
      <w:r>
        <w:rPr>
          <w:rFonts w:ascii="inter" w:eastAsia="inter" w:hAnsi="inter" w:cs="inter"/>
          <w:color w:val="000000"/>
        </w:rPr>
        <w:t>dlPFC</w:t>
      </w:r>
      <w:proofErr w:type="spellEnd"/>
      <w:r>
        <w:rPr>
          <w:rFonts w:ascii="inter" w:eastAsia="inter" w:hAnsi="inter" w:cs="inter"/>
          <w:color w:val="000000"/>
        </w:rPr>
        <w:t xml:space="preserve"> evaluation.</w:t>
      </w:r>
      <w:bookmarkStart w:id="21" w:name="fnref4_1"/>
      <w:bookmarkEnd w:id="21"/>
      <w:r>
        <w:fldChar w:fldCharType="begin"/>
      </w:r>
      <w:r>
        <w:instrText>HYPERLINK \l "fn4" \h</w:instrText>
      </w:r>
      <w:r>
        <w:fldChar w:fldCharType="separate"/>
      </w:r>
      <w:r>
        <w:rPr>
          <w:rFonts w:ascii="inter" w:eastAsia="inter" w:hAnsi="inter" w:cs="inter"/>
          <w:u w:val="single"/>
          <w:vertAlign w:val="superscript"/>
        </w:rPr>
        <w:t>[4]</w:t>
      </w:r>
      <w:r>
        <w:fldChar w:fldCharType="end"/>
      </w:r>
    </w:p>
    <w:p w14:paraId="572CA38D" w14:textId="77777777" w:rsidR="00B1511E" w:rsidRDefault="00000000">
      <w:pPr>
        <w:spacing w:before="315" w:after="105" w:line="360" w:lineRule="auto"/>
        <w:ind w:left="-30"/>
      </w:pPr>
      <w:bookmarkStart w:id="22" w:name="but_there_is_prefrontal_input_and_b340f5"/>
      <w:r>
        <w:rPr>
          <w:rFonts w:ascii="inter" w:eastAsia="inter" w:hAnsi="inter" w:cs="inter"/>
          <w:b/>
          <w:color w:val="000000"/>
          <w:sz w:val="24"/>
        </w:rPr>
        <w:t>But there is prefrontal input, and it matters</w:t>
      </w:r>
      <w:bookmarkEnd w:id="22"/>
    </w:p>
    <w:p w14:paraId="668B4923" w14:textId="77777777" w:rsidR="00B1511E" w:rsidRDefault="00000000">
      <w:pPr>
        <w:spacing w:after="210" w:line="360" w:lineRule="auto"/>
      </w:pPr>
      <w:r>
        <w:rPr>
          <w:rFonts w:ascii="inter" w:eastAsia="inter" w:hAnsi="inter" w:cs="inter"/>
          <w:color w:val="000000"/>
        </w:rPr>
        <w:t xml:space="preserve">Anatomically, there are </w:t>
      </w:r>
      <w:r>
        <w:rPr>
          <w:rFonts w:ascii="inter" w:eastAsia="inter" w:hAnsi="inter" w:cs="inter"/>
          <w:b/>
          <w:color w:val="000000"/>
        </w:rPr>
        <w:t>strong top‑down projections</w:t>
      </w:r>
      <w:r>
        <w:rPr>
          <w:rFonts w:ascii="inter" w:eastAsia="inter" w:hAnsi="inter" w:cs="inter"/>
          <w:color w:val="000000"/>
        </w:rPr>
        <w:t xml:space="preserve"> from medial and orbital PFC (including </w:t>
      </w:r>
      <w:proofErr w:type="spellStart"/>
      <w:r>
        <w:rPr>
          <w:rFonts w:ascii="inter" w:eastAsia="inter" w:hAnsi="inter" w:cs="inter"/>
          <w:color w:val="000000"/>
        </w:rPr>
        <w:t>vmPFC</w:t>
      </w:r>
      <w:proofErr w:type="spellEnd"/>
      <w:r>
        <w:rPr>
          <w:rFonts w:ascii="inter" w:eastAsia="inter" w:hAnsi="inter" w:cs="inter"/>
          <w:color w:val="000000"/>
        </w:rPr>
        <w:t>/</w:t>
      </w:r>
      <w:proofErr w:type="spellStart"/>
      <w:r>
        <w:rPr>
          <w:rFonts w:ascii="inter" w:eastAsia="inter" w:hAnsi="inter" w:cs="inter"/>
          <w:color w:val="000000"/>
        </w:rPr>
        <w:t>perigenual</w:t>
      </w:r>
      <w:proofErr w:type="spellEnd"/>
      <w:r>
        <w:rPr>
          <w:rFonts w:ascii="inter" w:eastAsia="inter" w:hAnsi="inter" w:cs="inter"/>
          <w:color w:val="000000"/>
        </w:rPr>
        <w:t xml:space="preserve"> ACC and parts of </w:t>
      </w:r>
      <w:proofErr w:type="spellStart"/>
      <w:r>
        <w:rPr>
          <w:rFonts w:ascii="inter" w:eastAsia="inter" w:hAnsi="inter" w:cs="inter"/>
          <w:color w:val="000000"/>
        </w:rPr>
        <w:t>dACC</w:t>
      </w:r>
      <w:proofErr w:type="spellEnd"/>
      <w:r>
        <w:rPr>
          <w:rFonts w:ascii="inter" w:eastAsia="inter" w:hAnsi="inter" w:cs="inter"/>
          <w:color w:val="000000"/>
        </w:rPr>
        <w:t>/MCC) to both amygdala and PAG:</w:t>
      </w:r>
    </w:p>
    <w:p w14:paraId="0881B9A8" w14:textId="77777777" w:rsidR="00B1511E" w:rsidRDefault="00000000">
      <w:pPr>
        <w:numPr>
          <w:ilvl w:val="0"/>
          <w:numId w:val="3"/>
        </w:numPr>
        <w:spacing w:before="105" w:after="105" w:line="360" w:lineRule="auto"/>
      </w:pPr>
      <w:r>
        <w:rPr>
          <w:rFonts w:ascii="inter" w:eastAsia="inter" w:hAnsi="inter" w:cs="inter"/>
          <w:color w:val="000000"/>
        </w:rPr>
        <w:t xml:space="preserve">Tracing work in primates shows </w:t>
      </w:r>
      <w:proofErr w:type="spellStart"/>
      <w:r>
        <w:rPr>
          <w:rFonts w:ascii="inter" w:eastAsia="inter" w:hAnsi="inter" w:cs="inter"/>
          <w:color w:val="000000"/>
        </w:rPr>
        <w:t>vmPFC</w:t>
      </w:r>
      <w:proofErr w:type="spellEnd"/>
      <w:r>
        <w:rPr>
          <w:rFonts w:ascii="inter" w:eastAsia="inter" w:hAnsi="inter" w:cs="inter"/>
          <w:color w:val="000000"/>
        </w:rPr>
        <w:t xml:space="preserve"> and </w:t>
      </w:r>
      <w:proofErr w:type="spellStart"/>
      <w:r>
        <w:rPr>
          <w:rFonts w:ascii="inter" w:eastAsia="inter" w:hAnsi="inter" w:cs="inter"/>
          <w:color w:val="000000"/>
        </w:rPr>
        <w:t>orbitomedial</w:t>
      </w:r>
      <w:proofErr w:type="spellEnd"/>
      <w:r>
        <w:rPr>
          <w:rFonts w:ascii="inter" w:eastAsia="inter" w:hAnsi="inter" w:cs="inter"/>
          <w:color w:val="000000"/>
        </w:rPr>
        <w:t xml:space="preserve"> PFC projecting to specific longitudinal columns of the PAG, as well as dense projections to BLA and </w:t>
      </w:r>
      <w:proofErr w:type="spellStart"/>
      <w:r>
        <w:rPr>
          <w:rFonts w:ascii="inter" w:eastAsia="inter" w:hAnsi="inter" w:cs="inter"/>
          <w:color w:val="000000"/>
        </w:rPr>
        <w:t>CeA</w:t>
      </w:r>
      <w:proofErr w:type="spellEnd"/>
      <w:r>
        <w:rPr>
          <w:rFonts w:ascii="inter" w:eastAsia="inter" w:hAnsi="inter" w:cs="inter"/>
          <w:color w:val="000000"/>
        </w:rPr>
        <w:t>.</w:t>
      </w:r>
      <w:bookmarkStart w:id="23" w:name="fnref9"/>
      <w:bookmarkEnd w:id="23"/>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24" w:name="fnref1_1"/>
      <w:bookmarkEnd w:id="2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73BC11C2" w14:textId="77777777" w:rsidR="00B1511E" w:rsidRDefault="00000000">
      <w:pPr>
        <w:numPr>
          <w:ilvl w:val="0"/>
          <w:numId w:val="3"/>
        </w:numPr>
        <w:spacing w:before="105" w:after="105" w:line="360" w:lineRule="auto"/>
      </w:pPr>
      <w:r>
        <w:rPr>
          <w:rFonts w:ascii="inter" w:eastAsia="inter" w:hAnsi="inter" w:cs="inter"/>
          <w:color w:val="000000"/>
        </w:rPr>
        <w:t xml:space="preserve">Roelofs’ “Freeze for action” review emphasizes that </w:t>
      </w:r>
      <w:r>
        <w:rPr>
          <w:rFonts w:ascii="inter" w:eastAsia="inter" w:hAnsi="inter" w:cs="inter"/>
          <w:b/>
          <w:color w:val="000000"/>
        </w:rPr>
        <w:t xml:space="preserve">flexible shifting between freezing and active fight/flight “relies on </w:t>
      </w:r>
      <w:proofErr w:type="spellStart"/>
      <w:r>
        <w:rPr>
          <w:rFonts w:ascii="inter" w:eastAsia="inter" w:hAnsi="inter" w:cs="inter"/>
          <w:b/>
          <w:color w:val="000000"/>
        </w:rPr>
        <w:t>fronto</w:t>
      </w:r>
      <w:proofErr w:type="spellEnd"/>
      <w:r>
        <w:rPr>
          <w:rFonts w:ascii="inter" w:eastAsia="inter" w:hAnsi="inter" w:cs="inter"/>
          <w:b/>
          <w:color w:val="000000"/>
        </w:rPr>
        <w:t>–amygdala connections”</w:t>
      </w:r>
      <w:r>
        <w:rPr>
          <w:rFonts w:ascii="inter" w:eastAsia="inter" w:hAnsi="inter" w:cs="inter"/>
          <w:color w:val="000000"/>
        </w:rPr>
        <w:t xml:space="preserve">, with </w:t>
      </w:r>
      <w:proofErr w:type="spellStart"/>
      <w:r>
        <w:rPr>
          <w:rFonts w:ascii="inter" w:eastAsia="inter" w:hAnsi="inter" w:cs="inter"/>
          <w:color w:val="000000"/>
        </w:rPr>
        <w:t>perigenual</w:t>
      </w:r>
      <w:proofErr w:type="spellEnd"/>
      <w:r>
        <w:rPr>
          <w:rFonts w:ascii="inter" w:eastAsia="inter" w:hAnsi="inter" w:cs="inter"/>
          <w:color w:val="000000"/>
        </w:rPr>
        <w:t xml:space="preserve"> ACC and </w:t>
      </w:r>
      <w:proofErr w:type="spellStart"/>
      <w:r>
        <w:rPr>
          <w:rFonts w:ascii="inter" w:eastAsia="inter" w:hAnsi="inter" w:cs="inter"/>
          <w:color w:val="000000"/>
        </w:rPr>
        <w:t>vmPFC</w:t>
      </w:r>
      <w:proofErr w:type="spellEnd"/>
      <w:r>
        <w:rPr>
          <w:rFonts w:ascii="inter" w:eastAsia="inter" w:hAnsi="inter" w:cs="inter"/>
          <w:color w:val="000000"/>
        </w:rPr>
        <w:t xml:space="preserve"> projections to </w:t>
      </w:r>
      <w:proofErr w:type="spellStart"/>
      <w:r>
        <w:rPr>
          <w:rFonts w:ascii="inter" w:eastAsia="inter" w:hAnsi="inter" w:cs="inter"/>
          <w:color w:val="000000"/>
        </w:rPr>
        <w:t>CeA</w:t>
      </w:r>
      <w:proofErr w:type="spellEnd"/>
      <w:r>
        <w:rPr>
          <w:rFonts w:ascii="inter" w:eastAsia="inter" w:hAnsi="inter" w:cs="inter"/>
          <w:color w:val="000000"/>
        </w:rPr>
        <w:t xml:space="preserve">/PAG enabling release of the </w:t>
      </w:r>
      <w:proofErr w:type="spellStart"/>
      <w:r>
        <w:rPr>
          <w:rFonts w:ascii="inter" w:eastAsia="inter" w:hAnsi="inter" w:cs="inter"/>
          <w:color w:val="000000"/>
        </w:rPr>
        <w:t>vlPAG</w:t>
      </w:r>
      <w:proofErr w:type="spellEnd"/>
      <w:r>
        <w:rPr>
          <w:rFonts w:ascii="inter" w:eastAsia="inter" w:hAnsi="inter" w:cs="inter"/>
          <w:color w:val="000000"/>
        </w:rPr>
        <w:t xml:space="preserve"> brake.</w:t>
      </w:r>
      <w:bookmarkStart w:id="25" w:name="fnref2_3"/>
      <w:bookmarkEnd w:id="25"/>
      <w:r>
        <w:fldChar w:fldCharType="begin"/>
      </w:r>
      <w:r>
        <w:instrText>HYPERLINK \l "fn2" \h</w:instrText>
      </w:r>
      <w:r>
        <w:fldChar w:fldCharType="separate"/>
      </w:r>
      <w:r>
        <w:rPr>
          <w:rFonts w:ascii="inter" w:eastAsia="inter" w:hAnsi="inter" w:cs="inter"/>
          <w:u w:val="single"/>
          <w:vertAlign w:val="superscript"/>
        </w:rPr>
        <w:t>[2]</w:t>
      </w:r>
      <w:r>
        <w:fldChar w:fldCharType="end"/>
      </w:r>
    </w:p>
    <w:p w14:paraId="1102345E" w14:textId="77777777" w:rsidR="00B1511E" w:rsidRDefault="00000000">
      <w:pPr>
        <w:numPr>
          <w:ilvl w:val="0"/>
          <w:numId w:val="3"/>
        </w:numPr>
        <w:spacing w:before="105" w:after="105" w:line="360" w:lineRule="auto"/>
      </w:pPr>
      <w:r>
        <w:rPr>
          <w:rFonts w:ascii="inter" w:eastAsia="inter" w:hAnsi="inter" w:cs="inter"/>
          <w:color w:val="000000"/>
        </w:rPr>
        <w:t xml:space="preserve">Mobbs et al. (2007) show that as a virtual predator approaches, activity </w:t>
      </w:r>
      <w:r>
        <w:rPr>
          <w:rFonts w:ascii="inter" w:eastAsia="inter" w:hAnsi="inter" w:cs="inter"/>
          <w:b/>
          <w:color w:val="000000"/>
        </w:rPr>
        <w:t xml:space="preserve">shifts from </w:t>
      </w:r>
      <w:proofErr w:type="spellStart"/>
      <w:r>
        <w:rPr>
          <w:rFonts w:ascii="inter" w:eastAsia="inter" w:hAnsi="inter" w:cs="inter"/>
          <w:b/>
          <w:color w:val="000000"/>
        </w:rPr>
        <w:t>vmPFC</w:t>
      </w:r>
      <w:proofErr w:type="spellEnd"/>
      <w:r>
        <w:rPr>
          <w:rFonts w:ascii="inter" w:eastAsia="inter" w:hAnsi="inter" w:cs="inter"/>
          <w:b/>
          <w:color w:val="000000"/>
        </w:rPr>
        <w:t xml:space="preserve"> to PAG</w:t>
      </w:r>
      <w:r>
        <w:rPr>
          <w:rFonts w:ascii="inter" w:eastAsia="inter" w:hAnsi="inter" w:cs="inter"/>
          <w:color w:val="000000"/>
        </w:rPr>
        <w:t xml:space="preserve">, and interpret this as a forebrain–midbrain switch wherein </w:t>
      </w:r>
      <w:proofErr w:type="spellStart"/>
      <w:r>
        <w:rPr>
          <w:rFonts w:ascii="inter" w:eastAsia="inter" w:hAnsi="inter" w:cs="inter"/>
          <w:color w:val="000000"/>
        </w:rPr>
        <w:t>vmPFC</w:t>
      </w:r>
      <w:proofErr w:type="spellEnd"/>
      <w:r>
        <w:rPr>
          <w:rFonts w:ascii="inter" w:eastAsia="inter" w:hAnsi="inter" w:cs="inter"/>
          <w:color w:val="000000"/>
        </w:rPr>
        <w:t xml:space="preserve">/BLA appraise options at distal threat, but </w:t>
      </w:r>
      <w:proofErr w:type="spellStart"/>
      <w:r>
        <w:rPr>
          <w:rFonts w:ascii="inter" w:eastAsia="inter" w:hAnsi="inter" w:cs="inter"/>
          <w:color w:val="000000"/>
        </w:rPr>
        <w:t>CeA</w:t>
      </w:r>
      <w:proofErr w:type="spellEnd"/>
      <w:r>
        <w:rPr>
          <w:rFonts w:ascii="inter" w:eastAsia="inter" w:hAnsi="inter" w:cs="inter"/>
          <w:color w:val="000000"/>
        </w:rPr>
        <w:t>/PAG dominate responses as threat becomes proximal.</w:t>
      </w:r>
      <w:bookmarkStart w:id="26" w:name="fnref9_1"/>
      <w:bookmarkEnd w:id="26"/>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C9FBB6A" w14:textId="77777777" w:rsidR="00B1511E" w:rsidRDefault="00000000">
      <w:pPr>
        <w:spacing w:after="210" w:line="360" w:lineRule="auto"/>
      </w:pPr>
      <w:r>
        <w:rPr>
          <w:rFonts w:ascii="inter" w:eastAsia="inter" w:hAnsi="inter" w:cs="inter"/>
          <w:color w:val="000000"/>
        </w:rPr>
        <w:t xml:space="preserve">More recent human work generalizes this: dynamic threat‑avoidance and reward‑seeking tasks show </w:t>
      </w:r>
      <w:r>
        <w:rPr>
          <w:rFonts w:ascii="inter" w:eastAsia="inter" w:hAnsi="inter" w:cs="inter"/>
          <w:b/>
          <w:color w:val="000000"/>
        </w:rPr>
        <w:t>ramping activity in dorsal anterior insula and anterior midcingulate cortex (</w:t>
      </w:r>
      <w:proofErr w:type="spellStart"/>
      <w:r>
        <w:rPr>
          <w:rFonts w:ascii="inter" w:eastAsia="inter" w:hAnsi="inter" w:cs="inter"/>
          <w:b/>
          <w:color w:val="000000"/>
        </w:rPr>
        <w:t>aMCC</w:t>
      </w:r>
      <w:proofErr w:type="spellEnd"/>
      <w:r>
        <w:rPr>
          <w:rFonts w:ascii="inter" w:eastAsia="inter" w:hAnsi="inter" w:cs="inter"/>
          <w:b/>
          <w:color w:val="000000"/>
        </w:rPr>
        <w:t>)</w:t>
      </w:r>
      <w:r>
        <w:rPr>
          <w:rFonts w:ascii="inter" w:eastAsia="inter" w:hAnsi="inter" w:cs="inter"/>
          <w:color w:val="000000"/>
        </w:rPr>
        <w:t xml:space="preserve"> together with PAG and bed nucleus of the stria terminalis (BNST) as threat or reward becomes imminent. These regions encode </w:t>
      </w:r>
      <w:r>
        <w:rPr>
          <w:rFonts w:ascii="inter" w:eastAsia="inter" w:hAnsi="inter" w:cs="inter"/>
          <w:b/>
          <w:color w:val="000000"/>
        </w:rPr>
        <w:t>imminence and arousal</w:t>
      </w:r>
      <w:r>
        <w:rPr>
          <w:rFonts w:ascii="inter" w:eastAsia="inter" w:hAnsi="inter" w:cs="inter"/>
          <w:color w:val="000000"/>
        </w:rPr>
        <w:t>, not just simple valence, and thus look like cost/threat monitors feeding into survival circuits.</w:t>
      </w:r>
      <w:bookmarkStart w:id="27" w:name="fnref10"/>
      <w:bookmarkEnd w:id="27"/>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36E58D00" w14:textId="77777777" w:rsidR="00B1511E" w:rsidRDefault="00000000">
      <w:pPr>
        <w:spacing w:after="210" w:line="360" w:lineRule="auto"/>
      </w:pPr>
      <w:r>
        <w:rPr>
          <w:rFonts w:ascii="inter" w:eastAsia="inter" w:hAnsi="inter" w:cs="inter"/>
          <w:color w:val="000000"/>
        </w:rPr>
        <w:t xml:space="preserve">In parallel, value‑based escape paradigms (Qi et al. 2018) show that </w:t>
      </w:r>
      <w:r>
        <w:rPr>
          <w:rFonts w:ascii="inter" w:eastAsia="inter" w:hAnsi="inter" w:cs="inter"/>
          <w:b/>
          <w:color w:val="000000"/>
        </w:rPr>
        <w:t>“cognitive fear” circuits</w:t>
      </w:r>
      <w:r>
        <w:rPr>
          <w:rFonts w:ascii="inter" w:eastAsia="inter" w:hAnsi="inter" w:cs="inter"/>
          <w:color w:val="000000"/>
        </w:rPr>
        <w:t xml:space="preserve"> (</w:t>
      </w:r>
      <w:proofErr w:type="spellStart"/>
      <w:r>
        <w:rPr>
          <w:rFonts w:ascii="inter" w:eastAsia="inter" w:hAnsi="inter" w:cs="inter"/>
          <w:color w:val="000000"/>
        </w:rPr>
        <w:t>vmPFC</w:t>
      </w:r>
      <w:proofErr w:type="spellEnd"/>
      <w:r>
        <w:rPr>
          <w:rFonts w:ascii="inter" w:eastAsia="inter" w:hAnsi="inter" w:cs="inter"/>
          <w:color w:val="000000"/>
        </w:rPr>
        <w:t xml:space="preserve">, PCC, hippocampus, BLA) are preferentially engaged when there is time for strategic decision‑making, whereas </w:t>
      </w:r>
      <w:r>
        <w:rPr>
          <w:rFonts w:ascii="inter" w:eastAsia="inter" w:hAnsi="inter" w:cs="inter"/>
          <w:b/>
          <w:color w:val="000000"/>
        </w:rPr>
        <w:t>“reactive fear” circuits</w:t>
      </w:r>
      <w:r>
        <w:rPr>
          <w:rFonts w:ascii="inter" w:eastAsia="inter" w:hAnsi="inter" w:cs="inter"/>
          <w:color w:val="000000"/>
        </w:rPr>
        <w:t xml:space="preserve"> (PAG, </w:t>
      </w:r>
      <w:proofErr w:type="spellStart"/>
      <w:r>
        <w:rPr>
          <w:rFonts w:ascii="inter" w:eastAsia="inter" w:hAnsi="inter" w:cs="inter"/>
          <w:color w:val="000000"/>
        </w:rPr>
        <w:t>CeA</w:t>
      </w:r>
      <w:proofErr w:type="spellEnd"/>
      <w:r>
        <w:rPr>
          <w:rFonts w:ascii="inter" w:eastAsia="inter" w:hAnsi="inter" w:cs="inter"/>
          <w:color w:val="000000"/>
        </w:rPr>
        <w:t>, hypothalamus, MCC) dominate when rapid flight is required.</w:t>
      </w:r>
      <w:bookmarkStart w:id="28" w:name="fnref1_2"/>
      <w:bookmarkEnd w:id="28"/>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F5F1B62" w14:textId="77777777" w:rsidR="00B1511E" w:rsidRDefault="00000000">
      <w:pPr>
        <w:spacing w:after="210" w:line="360" w:lineRule="auto"/>
      </w:pPr>
      <w:r>
        <w:rPr>
          <w:rFonts w:ascii="inter" w:eastAsia="inter" w:hAnsi="inter" w:cs="inter"/>
          <w:b/>
          <w:color w:val="000000"/>
        </w:rPr>
        <w:t>Synthesis for Q1:</w:t>
      </w:r>
    </w:p>
    <w:p w14:paraId="1EAA4509" w14:textId="77777777" w:rsidR="00B1511E" w:rsidRDefault="00000000">
      <w:pPr>
        <w:numPr>
          <w:ilvl w:val="0"/>
          <w:numId w:val="4"/>
        </w:numPr>
        <w:spacing w:before="105" w:after="105" w:line="360" w:lineRule="auto"/>
      </w:pPr>
      <w:r>
        <w:rPr>
          <w:rFonts w:ascii="inter" w:eastAsia="inter" w:hAnsi="inter" w:cs="inter"/>
          <w:color w:val="000000"/>
        </w:rPr>
        <w:t xml:space="preserve">The </w:t>
      </w:r>
      <w:r>
        <w:rPr>
          <w:rFonts w:ascii="inter" w:eastAsia="inter" w:hAnsi="inter" w:cs="inter"/>
          <w:b/>
          <w:color w:val="000000"/>
        </w:rPr>
        <w:t>first wave</w:t>
      </w:r>
      <w:r>
        <w:rPr>
          <w:rFonts w:ascii="inter" w:eastAsia="inter" w:hAnsi="inter" w:cs="inter"/>
          <w:color w:val="000000"/>
        </w:rPr>
        <w:t xml:space="preserve"> of freeze‑related activation in amygdala and </w:t>
      </w:r>
      <w:proofErr w:type="spellStart"/>
      <w:r>
        <w:rPr>
          <w:rFonts w:ascii="inter" w:eastAsia="inter" w:hAnsi="inter" w:cs="inter"/>
          <w:color w:val="000000"/>
        </w:rPr>
        <w:t>vlPAG</w:t>
      </w:r>
      <w:proofErr w:type="spellEnd"/>
      <w:r>
        <w:rPr>
          <w:rFonts w:ascii="inter" w:eastAsia="inter" w:hAnsi="inter" w:cs="inter"/>
          <w:color w:val="000000"/>
        </w:rPr>
        <w:t xml:space="preserve"> is largely </w:t>
      </w:r>
      <w:r>
        <w:rPr>
          <w:rFonts w:ascii="inter" w:eastAsia="inter" w:hAnsi="inter" w:cs="inter"/>
          <w:b/>
          <w:color w:val="000000"/>
        </w:rPr>
        <w:t>independent of prefrontal cost‑evaluation circuits</w:t>
      </w:r>
      <w:r>
        <w:rPr>
          <w:rFonts w:ascii="inter" w:eastAsia="inter" w:hAnsi="inter" w:cs="inter"/>
          <w:color w:val="000000"/>
        </w:rPr>
        <w:t xml:space="preserve"> in the sense that it can be triggered via thalamic/brainstem routes before </w:t>
      </w:r>
      <w:proofErr w:type="spellStart"/>
      <w:r>
        <w:rPr>
          <w:rFonts w:ascii="inter" w:eastAsia="inter" w:hAnsi="inter" w:cs="inter"/>
          <w:color w:val="000000"/>
        </w:rPr>
        <w:t>dACC</w:t>
      </w:r>
      <w:proofErr w:type="spellEnd"/>
      <w:r>
        <w:rPr>
          <w:rFonts w:ascii="inter" w:eastAsia="inter" w:hAnsi="inter" w:cs="inter"/>
          <w:color w:val="000000"/>
        </w:rPr>
        <w:t>/</w:t>
      </w:r>
      <w:proofErr w:type="spellStart"/>
      <w:r>
        <w:rPr>
          <w:rFonts w:ascii="inter" w:eastAsia="inter" w:hAnsi="inter" w:cs="inter"/>
          <w:color w:val="000000"/>
        </w:rPr>
        <w:t>dlPFC</w:t>
      </w:r>
      <w:proofErr w:type="spellEnd"/>
      <w:r>
        <w:rPr>
          <w:rFonts w:ascii="inter" w:eastAsia="inter" w:hAnsi="inter" w:cs="inter"/>
          <w:color w:val="000000"/>
        </w:rPr>
        <w:t xml:space="preserve"> have time to compute explicit costs and goals.</w:t>
      </w:r>
    </w:p>
    <w:p w14:paraId="05273A39" w14:textId="77777777" w:rsidR="00B1511E" w:rsidRDefault="00000000">
      <w:pPr>
        <w:numPr>
          <w:ilvl w:val="0"/>
          <w:numId w:val="4"/>
        </w:numPr>
        <w:spacing w:before="105" w:after="105" w:line="360" w:lineRule="auto"/>
      </w:pPr>
      <w:r>
        <w:rPr>
          <w:rFonts w:ascii="inter" w:eastAsia="inter" w:hAnsi="inter" w:cs="inter"/>
          <w:color w:val="000000"/>
        </w:rPr>
        <w:t xml:space="preserve">However, </w:t>
      </w:r>
      <w:r>
        <w:rPr>
          <w:rFonts w:ascii="inter" w:eastAsia="inter" w:hAnsi="inter" w:cs="inter"/>
          <w:b/>
          <w:color w:val="000000"/>
        </w:rPr>
        <w:t xml:space="preserve">very quickly (150–300 </w:t>
      </w:r>
      <w:proofErr w:type="spellStart"/>
      <w:r>
        <w:rPr>
          <w:rFonts w:ascii="inter" w:eastAsia="inter" w:hAnsi="inter" w:cs="inter"/>
          <w:b/>
          <w:color w:val="000000"/>
        </w:rPr>
        <w:t>ms</w:t>
      </w:r>
      <w:proofErr w:type="spellEnd"/>
      <w:r>
        <w:rPr>
          <w:rFonts w:ascii="inter" w:eastAsia="inter" w:hAnsi="inter" w:cs="inter"/>
          <w:b/>
          <w:color w:val="000000"/>
        </w:rPr>
        <w:t xml:space="preserve"> onward)</w:t>
      </w:r>
      <w:r>
        <w:rPr>
          <w:rFonts w:ascii="inter" w:eastAsia="inter" w:hAnsi="inter" w:cs="inter"/>
          <w:color w:val="000000"/>
        </w:rPr>
        <w:t xml:space="preserve">, </w:t>
      </w:r>
      <w:proofErr w:type="spellStart"/>
      <w:r>
        <w:rPr>
          <w:rFonts w:ascii="inter" w:eastAsia="inter" w:hAnsi="inter" w:cs="inter"/>
          <w:color w:val="000000"/>
        </w:rPr>
        <w:t>dACC</w:t>
      </w:r>
      <w:proofErr w:type="spellEnd"/>
      <w:r>
        <w:rPr>
          <w:rFonts w:ascii="inter" w:eastAsia="inter" w:hAnsi="inter" w:cs="inter"/>
          <w:color w:val="000000"/>
        </w:rPr>
        <w:t xml:space="preserve">/MCC, anterior insula, </w:t>
      </w:r>
      <w:proofErr w:type="spellStart"/>
      <w:r>
        <w:rPr>
          <w:rFonts w:ascii="inter" w:eastAsia="inter" w:hAnsi="inter" w:cs="inter"/>
          <w:color w:val="000000"/>
        </w:rPr>
        <w:t>vmPFC</w:t>
      </w:r>
      <w:proofErr w:type="spellEnd"/>
      <w:r>
        <w:rPr>
          <w:rFonts w:ascii="inter" w:eastAsia="inter" w:hAnsi="inter" w:cs="inter"/>
          <w:color w:val="000000"/>
        </w:rPr>
        <w:t xml:space="preserve">, and </w:t>
      </w:r>
      <w:proofErr w:type="spellStart"/>
      <w:r>
        <w:rPr>
          <w:rFonts w:ascii="inter" w:eastAsia="inter" w:hAnsi="inter" w:cs="inter"/>
          <w:color w:val="000000"/>
        </w:rPr>
        <w:t>dlPFC</w:t>
      </w:r>
      <w:proofErr w:type="spellEnd"/>
      <w:r>
        <w:rPr>
          <w:rFonts w:ascii="inter" w:eastAsia="inter" w:hAnsi="inter" w:cs="inter"/>
          <w:color w:val="000000"/>
        </w:rPr>
        <w:t xml:space="preserve"> are engaged, signal threat imminence and expected cost, and </w:t>
      </w:r>
      <w:r>
        <w:rPr>
          <w:rFonts w:ascii="inter" w:eastAsia="inter" w:hAnsi="inter" w:cs="inter"/>
          <w:b/>
          <w:color w:val="000000"/>
        </w:rPr>
        <w:t>modulate</w:t>
      </w:r>
      <w:r>
        <w:rPr>
          <w:rFonts w:ascii="inter" w:eastAsia="inter" w:hAnsi="inter" w:cs="inter"/>
          <w:color w:val="000000"/>
        </w:rPr>
        <w:t xml:space="preserve"> survival circuits via their projections to amygdala and PAG.</w:t>
      </w:r>
      <w:bookmarkStart w:id="29" w:name="fnref10_1"/>
      <w:bookmarkEnd w:id="29"/>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30" w:name="fnref2_4"/>
      <w:bookmarkEnd w:id="30"/>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31" w:name="fnref6_2"/>
      <w:bookmarkEnd w:id="31"/>
      <w:r>
        <w:fldChar w:fldCharType="begin"/>
      </w:r>
      <w:r>
        <w:instrText>HYPERLINK \l "fn6" \h</w:instrText>
      </w:r>
      <w:r>
        <w:fldChar w:fldCharType="separate"/>
      </w:r>
      <w:r>
        <w:rPr>
          <w:rFonts w:ascii="inter" w:eastAsia="inter" w:hAnsi="inter" w:cs="inter"/>
          <w:u w:val="single"/>
          <w:vertAlign w:val="superscript"/>
        </w:rPr>
        <w:t>[6]</w:t>
      </w:r>
      <w:r>
        <w:fldChar w:fldCharType="end"/>
      </w:r>
    </w:p>
    <w:p w14:paraId="4CF148EA" w14:textId="77777777" w:rsidR="00B1511E" w:rsidRDefault="00000000">
      <w:pPr>
        <w:numPr>
          <w:ilvl w:val="0"/>
          <w:numId w:val="4"/>
        </w:numPr>
        <w:spacing w:before="105" w:after="105" w:line="360" w:lineRule="auto"/>
      </w:pPr>
      <w:r>
        <w:rPr>
          <w:rFonts w:ascii="inter" w:eastAsia="inter" w:hAnsi="inter" w:cs="inter"/>
          <w:color w:val="000000"/>
        </w:rPr>
        <w:t>In LeDoux’s framework, survival circuits perform nonconscious “significance computations”; prefrontal circuits implement slower, more flexible cost‑benefit and goal evaluation that can bias or override survival‑circuit output.</w:t>
      </w:r>
      <w:bookmarkStart w:id="32" w:name="fnref11"/>
      <w:bookmarkEnd w:id="32"/>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33" w:name="fnref3_5"/>
      <w:bookmarkEnd w:id="33"/>
      <w:r>
        <w:fldChar w:fldCharType="begin"/>
      </w:r>
      <w:r>
        <w:instrText>HYPERLINK \l "fn3" \h</w:instrText>
      </w:r>
      <w:r>
        <w:fldChar w:fldCharType="separate"/>
      </w:r>
      <w:r>
        <w:rPr>
          <w:rFonts w:ascii="inter" w:eastAsia="inter" w:hAnsi="inter" w:cs="inter"/>
          <w:u w:val="single"/>
          <w:vertAlign w:val="superscript"/>
        </w:rPr>
        <w:t>[3]</w:t>
      </w:r>
      <w:r>
        <w:fldChar w:fldCharType="end"/>
      </w:r>
    </w:p>
    <w:p w14:paraId="5F87194A" w14:textId="77777777" w:rsidR="00B1511E" w:rsidRDefault="00000000">
      <w:pPr>
        <w:spacing w:after="210" w:line="360" w:lineRule="auto"/>
      </w:pPr>
      <w:proofErr w:type="gramStart"/>
      <w:r>
        <w:rPr>
          <w:rFonts w:ascii="inter" w:eastAsia="inter" w:hAnsi="inter" w:cs="inter"/>
          <w:color w:val="000000"/>
        </w:rPr>
        <w:t>So</w:t>
      </w:r>
      <w:proofErr w:type="gramEnd"/>
      <w:r>
        <w:rPr>
          <w:rFonts w:ascii="inter" w:eastAsia="inter" w:hAnsi="inter" w:cs="inter"/>
          <w:color w:val="000000"/>
        </w:rPr>
        <w:t xml:space="preserve"> the trauma‑related freeze uses a </w:t>
      </w:r>
      <w:r>
        <w:rPr>
          <w:rFonts w:ascii="inter" w:eastAsia="inter" w:hAnsi="inter" w:cs="inter"/>
          <w:b/>
          <w:color w:val="000000"/>
        </w:rPr>
        <w:t>bottom‑up trigger with top‑down modulation</w:t>
      </w:r>
      <w:r>
        <w:rPr>
          <w:rFonts w:ascii="inter" w:eastAsia="inter" w:hAnsi="inter" w:cs="inter"/>
          <w:color w:val="000000"/>
        </w:rPr>
        <w:t>, rather than being a pure product of the cortical valuation system itself.</w:t>
      </w:r>
    </w:p>
    <w:p w14:paraId="5CE21561" w14:textId="77777777" w:rsidR="00B1511E" w:rsidRDefault="00000000">
      <w:pPr>
        <w:spacing w:before="210" w:after="0" w:line="360" w:lineRule="auto"/>
      </w:pPr>
      <w:r>
        <w:rPr>
          <w:noProof/>
        </w:rPr>
      </w:r>
      <w:r>
        <w:rPr>
          <w:noProof/>
        </w:rPr>
        <w:pict w14:anchorId="45F50FB5">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85B20D9" w14:textId="77777777" w:rsidR="00B1511E" w:rsidRDefault="00000000">
      <w:pPr>
        <w:spacing w:before="315" w:after="105" w:line="360" w:lineRule="auto"/>
        <w:ind w:left="-30"/>
      </w:pPr>
      <w:bookmarkStart w:id="34" w:name="bm_2_can_sufficient_motivation_ov_753be0"/>
      <w:r>
        <w:rPr>
          <w:rFonts w:ascii="inter" w:eastAsia="inter" w:hAnsi="inter" w:cs="inter"/>
          <w:b/>
          <w:color w:val="000000"/>
          <w:sz w:val="24"/>
        </w:rPr>
        <w:t>2. Can sufficient motivation override a trauma freeze, or is it motivation‑invariant?</w:t>
      </w:r>
      <w:bookmarkEnd w:id="34"/>
    </w:p>
    <w:p w14:paraId="0B081348" w14:textId="77777777" w:rsidR="00B1511E" w:rsidRDefault="00000000">
      <w:pPr>
        <w:spacing w:after="210" w:line="360" w:lineRule="auto"/>
      </w:pPr>
      <w:r>
        <w:rPr>
          <w:rFonts w:ascii="inter" w:eastAsia="inter" w:hAnsi="inter" w:cs="inter"/>
          <w:color w:val="000000"/>
        </w:rPr>
        <w:t xml:space="preserve">The answer depends on </w:t>
      </w:r>
      <w:r>
        <w:rPr>
          <w:rFonts w:ascii="inter" w:eastAsia="inter" w:hAnsi="inter" w:cs="inter"/>
          <w:b/>
          <w:color w:val="000000"/>
        </w:rPr>
        <w:t>timescale</w:t>
      </w:r>
      <w:r>
        <w:rPr>
          <w:rFonts w:ascii="inter" w:eastAsia="inter" w:hAnsi="inter" w:cs="inter"/>
          <w:color w:val="000000"/>
        </w:rPr>
        <w:t xml:space="preserve"> and </w:t>
      </w:r>
      <w:r>
        <w:rPr>
          <w:rFonts w:ascii="inter" w:eastAsia="inter" w:hAnsi="inter" w:cs="inter"/>
          <w:b/>
          <w:color w:val="000000"/>
        </w:rPr>
        <w:t>threat regime</w:t>
      </w:r>
      <w:r>
        <w:rPr>
          <w:rFonts w:ascii="inter" w:eastAsia="inter" w:hAnsi="inter" w:cs="inter"/>
          <w:color w:val="000000"/>
        </w:rPr>
        <w:t>.</w:t>
      </w:r>
    </w:p>
    <w:p w14:paraId="4FD85A97" w14:textId="77777777" w:rsidR="00B1511E" w:rsidRDefault="00000000">
      <w:pPr>
        <w:spacing w:before="315" w:after="105" w:line="360" w:lineRule="auto"/>
        <w:ind w:left="-30"/>
      </w:pPr>
      <w:bookmarkStart w:id="35" w:name="experimental_evidence_freezing_is_e70b71"/>
      <w:r>
        <w:rPr>
          <w:rFonts w:ascii="inter" w:eastAsia="inter" w:hAnsi="inter" w:cs="inter"/>
          <w:b/>
          <w:color w:val="000000"/>
          <w:sz w:val="24"/>
        </w:rPr>
        <w:t>Experimental evidence: freezing is not motivation‑invariant</w:t>
      </w:r>
      <w:bookmarkEnd w:id="35"/>
    </w:p>
    <w:p w14:paraId="3A183DDB" w14:textId="77777777" w:rsidR="00B1511E" w:rsidRDefault="00000000">
      <w:pPr>
        <w:spacing w:after="210" w:line="360" w:lineRule="auto"/>
      </w:pPr>
      <w:r>
        <w:rPr>
          <w:rFonts w:ascii="inter" w:eastAsia="inter" w:hAnsi="inter" w:cs="inter"/>
          <w:color w:val="000000"/>
        </w:rPr>
        <w:t xml:space="preserve">Several human paradigms show that freezing (measured as bradycardia + reduced body sway) is </w:t>
      </w:r>
      <w:r>
        <w:rPr>
          <w:rFonts w:ascii="inter" w:eastAsia="inter" w:hAnsi="inter" w:cs="inter"/>
          <w:b/>
          <w:color w:val="000000"/>
        </w:rPr>
        <w:t>sensitive to task context and value</w:t>
      </w:r>
      <w:r>
        <w:rPr>
          <w:rFonts w:ascii="inter" w:eastAsia="inter" w:hAnsi="inter" w:cs="inter"/>
          <w:color w:val="000000"/>
        </w:rPr>
        <w:t>, which argues against a strictly motivation‑invariant motor block:</w:t>
      </w:r>
    </w:p>
    <w:p w14:paraId="4F09BCB8" w14:textId="77777777" w:rsidR="00B1511E" w:rsidRDefault="00000000">
      <w:pPr>
        <w:numPr>
          <w:ilvl w:val="0"/>
          <w:numId w:val="5"/>
        </w:numPr>
        <w:spacing w:before="105" w:after="105" w:line="360" w:lineRule="auto"/>
      </w:pPr>
      <w:r>
        <w:rPr>
          <w:rFonts w:ascii="inter" w:eastAsia="inter" w:hAnsi="inter" w:cs="inter"/>
          <w:color w:val="000000"/>
        </w:rPr>
        <w:t xml:space="preserve">Under threat of shock, subjects show stronger fear‑bradycardia and postural freezing when they are </w:t>
      </w:r>
      <w:r>
        <w:rPr>
          <w:rFonts w:ascii="inter" w:eastAsia="inter" w:hAnsi="inter" w:cs="inter"/>
          <w:b/>
          <w:color w:val="000000"/>
        </w:rPr>
        <w:t>armed and can act</w:t>
      </w:r>
      <w:r>
        <w:rPr>
          <w:rFonts w:ascii="inter" w:eastAsia="inter" w:hAnsi="inter" w:cs="inter"/>
          <w:color w:val="000000"/>
        </w:rPr>
        <w:t xml:space="preserve"> (shoot/no‑shoot task) than when they are helpless. Freezing increases as the moment of required action approaches, and greater PAG activity during freezing predicts faster subsequent responses.</w:t>
      </w:r>
      <w:bookmarkStart w:id="36" w:name="fnref2_5"/>
      <w:bookmarkEnd w:id="36"/>
      <w:r>
        <w:fldChar w:fldCharType="begin"/>
      </w:r>
      <w:r>
        <w:instrText>HYPERLINK \l "fn2" \h</w:instrText>
      </w:r>
      <w:r>
        <w:fldChar w:fldCharType="separate"/>
      </w:r>
      <w:r>
        <w:rPr>
          <w:rFonts w:ascii="inter" w:eastAsia="inter" w:hAnsi="inter" w:cs="inter"/>
          <w:u w:val="single"/>
          <w:vertAlign w:val="superscript"/>
        </w:rPr>
        <w:t>[2]</w:t>
      </w:r>
      <w:r>
        <w:fldChar w:fldCharType="end"/>
      </w:r>
    </w:p>
    <w:p w14:paraId="4399C798" w14:textId="77777777" w:rsidR="00B1511E" w:rsidRDefault="00000000">
      <w:pPr>
        <w:numPr>
          <w:ilvl w:val="0"/>
          <w:numId w:val="5"/>
        </w:numPr>
        <w:spacing w:before="105" w:after="105" w:line="360" w:lineRule="auto"/>
      </w:pPr>
      <w:proofErr w:type="spellStart"/>
      <w:r>
        <w:rPr>
          <w:rFonts w:ascii="inter" w:eastAsia="inter" w:hAnsi="inter" w:cs="inter"/>
          <w:color w:val="000000"/>
        </w:rPr>
        <w:t>Lojowska</w:t>
      </w:r>
      <w:proofErr w:type="spellEnd"/>
      <w:r>
        <w:rPr>
          <w:rFonts w:ascii="inter" w:eastAsia="inter" w:hAnsi="inter" w:cs="inter"/>
          <w:color w:val="000000"/>
        </w:rPr>
        <w:t xml:space="preserve"> et al. show that threat‑induced bradycardia is associated with </w:t>
      </w:r>
      <w:r>
        <w:rPr>
          <w:rFonts w:ascii="inter" w:eastAsia="inter" w:hAnsi="inter" w:cs="inter"/>
          <w:b/>
          <w:color w:val="000000"/>
        </w:rPr>
        <w:t>enhanced detection of low‑spatial‑frequency (coarse) visual features</w:t>
      </w:r>
      <w:r>
        <w:rPr>
          <w:rFonts w:ascii="inter" w:eastAsia="inter" w:hAnsi="inter" w:cs="inter"/>
          <w:color w:val="000000"/>
        </w:rPr>
        <w:t xml:space="preserve"> at the expense of detail, consistent with a state optimized for rapid, action‑relevant perception (“better safe than sorry”).</w:t>
      </w:r>
      <w:bookmarkStart w:id="37" w:name="fnref2_6"/>
      <w:bookmarkEnd w:id="37"/>
      <w:r>
        <w:fldChar w:fldCharType="begin"/>
      </w:r>
      <w:r>
        <w:instrText>HYPERLINK \l "fn2" \h</w:instrText>
      </w:r>
      <w:r>
        <w:fldChar w:fldCharType="separate"/>
      </w:r>
      <w:r>
        <w:rPr>
          <w:rFonts w:ascii="inter" w:eastAsia="inter" w:hAnsi="inter" w:cs="inter"/>
          <w:u w:val="single"/>
          <w:vertAlign w:val="superscript"/>
        </w:rPr>
        <w:t>[2]</w:t>
      </w:r>
      <w:r>
        <w:fldChar w:fldCharType="end"/>
      </w:r>
    </w:p>
    <w:p w14:paraId="7D8AE982" w14:textId="77777777" w:rsidR="00B1511E" w:rsidRDefault="00000000">
      <w:pPr>
        <w:numPr>
          <w:ilvl w:val="0"/>
          <w:numId w:val="5"/>
        </w:numPr>
        <w:spacing w:before="105" w:after="105" w:line="360" w:lineRule="auto"/>
      </w:pPr>
      <w:r>
        <w:rPr>
          <w:rFonts w:ascii="inter" w:eastAsia="inter" w:hAnsi="inter" w:cs="inter"/>
          <w:color w:val="000000"/>
        </w:rPr>
        <w:t>In approach–avoidance tasks with mixed money and shock outcomes, stronger freezing‑related bradycardia is linked to more systematic, value‑sensitive avoidance choices, and recent computational work shows that freezing states modulate how reward and threat magnitudes are weighted in approach–avoidance arbitration.</w:t>
      </w:r>
      <w:bookmarkStart w:id="38" w:name="fnref12"/>
      <w:bookmarkEnd w:id="38"/>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39" w:name="fnref13"/>
      <w:bookmarkEnd w:id="39"/>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552D1184" w14:textId="77777777" w:rsidR="00B1511E" w:rsidRDefault="00000000">
      <w:pPr>
        <w:spacing w:after="210" w:line="360" w:lineRule="auto"/>
      </w:pPr>
      <w:r>
        <w:rPr>
          <w:rFonts w:ascii="inter" w:eastAsia="inter" w:hAnsi="inter" w:cs="inter"/>
          <w:color w:val="000000"/>
        </w:rPr>
        <w:t xml:space="preserve">In Qi et al.’s FID paradigm, </w:t>
      </w:r>
      <w:r>
        <w:rPr>
          <w:rFonts w:ascii="inter" w:eastAsia="inter" w:hAnsi="inter" w:cs="inter"/>
          <w:b/>
          <w:color w:val="000000"/>
        </w:rPr>
        <w:t>slow‑attacking predators</w:t>
      </w:r>
      <w:r>
        <w:rPr>
          <w:rFonts w:ascii="inter" w:eastAsia="inter" w:hAnsi="inter" w:cs="inter"/>
          <w:color w:val="000000"/>
        </w:rPr>
        <w:t xml:space="preserve"> (time to plan) engage </w:t>
      </w:r>
      <w:proofErr w:type="spellStart"/>
      <w:r>
        <w:rPr>
          <w:rFonts w:ascii="inter" w:eastAsia="inter" w:hAnsi="inter" w:cs="inter"/>
          <w:color w:val="000000"/>
        </w:rPr>
        <w:t>vmPFC</w:t>
      </w:r>
      <w:proofErr w:type="spellEnd"/>
      <w:r>
        <w:rPr>
          <w:rFonts w:ascii="inter" w:eastAsia="inter" w:hAnsi="inter" w:cs="inter"/>
          <w:color w:val="000000"/>
        </w:rPr>
        <w:t xml:space="preserve">/PCC/hippocampus, and subjects’ flight distances scale with both reward level and shock level—i.e., with explicit cost‑benefit. In </w:t>
      </w:r>
      <w:r>
        <w:rPr>
          <w:rFonts w:ascii="inter" w:eastAsia="inter" w:hAnsi="inter" w:cs="inter"/>
          <w:b/>
          <w:color w:val="000000"/>
        </w:rPr>
        <w:t>fast‑attacking conditions</w:t>
      </w:r>
      <w:r>
        <w:rPr>
          <w:rFonts w:ascii="inter" w:eastAsia="inter" w:hAnsi="inter" w:cs="inter"/>
          <w:color w:val="000000"/>
        </w:rPr>
        <w:t>, “reactive fear” circuits (PAG, MCC) dominate, but even here PAG and insula responses are parametrically modulated by shock magnitude, indicating graded cost sensitivity inside the reactive circuit.</w:t>
      </w:r>
      <w:bookmarkStart w:id="40" w:name="fnref1_3"/>
      <w:bookmarkEnd w:id="40"/>
      <w:r>
        <w:fldChar w:fldCharType="begin"/>
      </w:r>
      <w:r>
        <w:instrText>HYPERLINK \l "fn1" \h</w:instrText>
      </w:r>
      <w:r>
        <w:fldChar w:fldCharType="separate"/>
      </w:r>
      <w:r>
        <w:rPr>
          <w:rFonts w:ascii="inter" w:eastAsia="inter" w:hAnsi="inter" w:cs="inter"/>
          <w:u w:val="single"/>
          <w:vertAlign w:val="superscript"/>
        </w:rPr>
        <w:t>[1]</w:t>
      </w:r>
      <w:r>
        <w:fldChar w:fldCharType="end"/>
      </w:r>
    </w:p>
    <w:p w14:paraId="3D05E75E" w14:textId="77777777" w:rsidR="00B1511E" w:rsidRDefault="00000000">
      <w:pPr>
        <w:spacing w:after="210" w:line="360" w:lineRule="auto"/>
      </w:pPr>
      <w:proofErr w:type="gramStart"/>
      <w:r>
        <w:rPr>
          <w:rFonts w:ascii="inter" w:eastAsia="inter" w:hAnsi="inter" w:cs="inter"/>
          <w:color w:val="000000"/>
        </w:rPr>
        <w:t>So</w:t>
      </w:r>
      <w:proofErr w:type="gramEnd"/>
      <w:r>
        <w:rPr>
          <w:rFonts w:ascii="inter" w:eastAsia="inter" w:hAnsi="inter" w:cs="inter"/>
          <w:color w:val="000000"/>
        </w:rPr>
        <w:t xml:space="preserve"> in non‑traumatic laboratory settings, freezing is </w:t>
      </w:r>
      <w:r>
        <w:rPr>
          <w:rFonts w:ascii="inter" w:eastAsia="inter" w:hAnsi="inter" w:cs="inter"/>
          <w:b/>
          <w:color w:val="000000"/>
        </w:rPr>
        <w:t>highly state‑ and value‑dependent</w:t>
      </w:r>
      <w:r>
        <w:rPr>
          <w:rFonts w:ascii="inter" w:eastAsia="inter" w:hAnsi="inter" w:cs="inter"/>
          <w:color w:val="000000"/>
        </w:rPr>
        <w:t>, integrating both bottom‑up threat signals and top‑down task demands.</w:t>
      </w:r>
    </w:p>
    <w:p w14:paraId="2689E900" w14:textId="77777777" w:rsidR="00B1511E" w:rsidRDefault="00000000">
      <w:pPr>
        <w:spacing w:before="315" w:after="105" w:line="360" w:lineRule="auto"/>
        <w:ind w:left="-30"/>
      </w:pPr>
      <w:bookmarkStart w:id="41" w:name="clinical_and_peritraumatic_freeze"/>
      <w:r>
        <w:rPr>
          <w:rFonts w:ascii="inter" w:eastAsia="inter" w:hAnsi="inter" w:cs="inter"/>
          <w:b/>
          <w:color w:val="000000"/>
          <w:sz w:val="24"/>
        </w:rPr>
        <w:t>Clinical and peritraumatic freeze</w:t>
      </w:r>
      <w:bookmarkEnd w:id="41"/>
    </w:p>
    <w:p w14:paraId="13BC7567" w14:textId="77777777" w:rsidR="00B1511E" w:rsidRDefault="00000000">
      <w:pPr>
        <w:spacing w:after="210" w:line="360" w:lineRule="auto"/>
      </w:pPr>
      <w:r>
        <w:rPr>
          <w:rFonts w:ascii="inter" w:eastAsia="inter" w:hAnsi="inter" w:cs="inter"/>
          <w:color w:val="000000"/>
        </w:rPr>
        <w:t xml:space="preserve">For </w:t>
      </w:r>
      <w:r>
        <w:rPr>
          <w:rFonts w:ascii="inter" w:eastAsia="inter" w:hAnsi="inter" w:cs="inter"/>
          <w:b/>
          <w:color w:val="000000"/>
        </w:rPr>
        <w:t>peritraumatic tonic immobility</w:t>
      </w:r>
      <w:r>
        <w:rPr>
          <w:rFonts w:ascii="inter" w:eastAsia="inter" w:hAnsi="inter" w:cs="inter"/>
          <w:color w:val="000000"/>
        </w:rPr>
        <w:t xml:space="preserve"> (rape, assault, combat), the picture is different:</w:t>
      </w:r>
    </w:p>
    <w:p w14:paraId="3FF0A013" w14:textId="77777777" w:rsidR="00B1511E" w:rsidRDefault="00000000">
      <w:pPr>
        <w:numPr>
          <w:ilvl w:val="0"/>
          <w:numId w:val="6"/>
        </w:numPr>
        <w:spacing w:before="105" w:after="105" w:line="360" w:lineRule="auto"/>
      </w:pPr>
      <w:r>
        <w:rPr>
          <w:rFonts w:ascii="inter" w:eastAsia="inter" w:hAnsi="inter" w:cs="inter"/>
          <w:color w:val="000000"/>
        </w:rPr>
        <w:t xml:space="preserve">Kozlowska et al. emphasize that tonic immobility is a </w:t>
      </w:r>
      <w:r>
        <w:rPr>
          <w:rFonts w:ascii="inter" w:eastAsia="inter" w:hAnsi="inter" w:cs="inter"/>
          <w:b/>
          <w:color w:val="000000"/>
        </w:rPr>
        <w:t>“strategy of last resort”</w:t>
      </w:r>
      <w:r>
        <w:rPr>
          <w:rFonts w:ascii="inter" w:eastAsia="inter" w:hAnsi="inter" w:cs="inter"/>
          <w:color w:val="000000"/>
        </w:rPr>
        <w:t>, mediated by phylogenetically old brainstem/</w:t>
      </w:r>
      <w:proofErr w:type="spellStart"/>
      <w:r>
        <w:rPr>
          <w:rFonts w:ascii="inter" w:eastAsia="inter" w:hAnsi="inter" w:cs="inter"/>
          <w:color w:val="000000"/>
        </w:rPr>
        <w:t>vlPAG</w:t>
      </w:r>
      <w:proofErr w:type="spellEnd"/>
      <w:r>
        <w:rPr>
          <w:rFonts w:ascii="inter" w:eastAsia="inter" w:hAnsi="inter" w:cs="inter"/>
          <w:color w:val="000000"/>
        </w:rPr>
        <w:t xml:space="preserve"> circuits that can be elicited even in animals without a cerebrum, and that subjects commonly experience these states as “overwhelming and beyond conscious control.”</w:t>
      </w:r>
      <w:bookmarkStart w:id="42" w:name="fnref5_2"/>
      <w:bookmarkEnd w:id="42"/>
      <w:r>
        <w:fldChar w:fldCharType="begin"/>
      </w:r>
      <w:r>
        <w:instrText>HYPERLINK \l "fn5" \h</w:instrText>
      </w:r>
      <w:r>
        <w:fldChar w:fldCharType="separate"/>
      </w:r>
      <w:r>
        <w:rPr>
          <w:rFonts w:ascii="inter" w:eastAsia="inter" w:hAnsi="inter" w:cs="inter"/>
          <w:u w:val="single"/>
          <w:vertAlign w:val="superscript"/>
        </w:rPr>
        <w:t>[5]</w:t>
      </w:r>
      <w:r>
        <w:fldChar w:fldCharType="end"/>
      </w:r>
    </w:p>
    <w:p w14:paraId="0D39C076" w14:textId="77777777" w:rsidR="00B1511E" w:rsidRDefault="00000000">
      <w:pPr>
        <w:numPr>
          <w:ilvl w:val="0"/>
          <w:numId w:val="6"/>
        </w:numPr>
        <w:spacing w:before="105" w:after="105" w:line="360" w:lineRule="auto"/>
      </w:pPr>
      <w:r>
        <w:rPr>
          <w:rFonts w:ascii="inter" w:eastAsia="inter" w:hAnsi="inter" w:cs="inter"/>
          <w:color w:val="000000"/>
        </w:rPr>
        <w:t>Tonic immobility can be induced by restraint + fear in decerebrate animals, showing that the basic shutdown program does not require cortical motivation or cost computation at all.</w:t>
      </w:r>
      <w:bookmarkStart w:id="43" w:name="fnref5_3"/>
      <w:bookmarkEnd w:id="43"/>
      <w:r>
        <w:fldChar w:fldCharType="begin"/>
      </w:r>
      <w:r>
        <w:instrText>HYPERLINK \l "fn5" \h</w:instrText>
      </w:r>
      <w:r>
        <w:fldChar w:fldCharType="separate"/>
      </w:r>
      <w:r>
        <w:rPr>
          <w:rFonts w:ascii="inter" w:eastAsia="inter" w:hAnsi="inter" w:cs="inter"/>
          <w:u w:val="single"/>
          <w:vertAlign w:val="superscript"/>
        </w:rPr>
        <w:t>[5]</w:t>
      </w:r>
      <w:r>
        <w:fldChar w:fldCharType="end"/>
      </w:r>
    </w:p>
    <w:p w14:paraId="7B99343F" w14:textId="77777777" w:rsidR="00B1511E" w:rsidRDefault="00000000">
      <w:pPr>
        <w:numPr>
          <w:ilvl w:val="0"/>
          <w:numId w:val="6"/>
        </w:numPr>
        <w:spacing w:before="105" w:after="105" w:line="360" w:lineRule="auto"/>
      </w:pPr>
      <w:r>
        <w:rPr>
          <w:rFonts w:ascii="inter" w:eastAsia="inter" w:hAnsi="inter" w:cs="inter"/>
          <w:color w:val="000000"/>
        </w:rPr>
        <w:t xml:space="preserve">In humans, peritraumatic reports frequently describe intense wish to act (run, fight, scream) coupled with inability to move or speak. This phenomenology is consistent with </w:t>
      </w:r>
      <w:r>
        <w:rPr>
          <w:rFonts w:ascii="inter" w:eastAsia="inter" w:hAnsi="inter" w:cs="inter"/>
          <w:b/>
          <w:color w:val="000000"/>
        </w:rPr>
        <w:t>reactive survival circuits overriding cortical intentions</w:t>
      </w:r>
      <w:r>
        <w:rPr>
          <w:rFonts w:ascii="inter" w:eastAsia="inter" w:hAnsi="inter" w:cs="inter"/>
          <w:color w:val="000000"/>
        </w:rPr>
        <w:t>.</w:t>
      </w:r>
    </w:p>
    <w:p w14:paraId="3F765CBB" w14:textId="77777777" w:rsidR="00B1511E" w:rsidRDefault="00000000">
      <w:pPr>
        <w:spacing w:after="210" w:line="360" w:lineRule="auto"/>
      </w:pPr>
      <w:r>
        <w:rPr>
          <w:rFonts w:ascii="inter" w:eastAsia="inter" w:hAnsi="inter" w:cs="inter"/>
          <w:color w:val="000000"/>
        </w:rPr>
        <w:t>At the same time, trauma history and trait anxiety clearly modulate freezing propensity:</w:t>
      </w:r>
    </w:p>
    <w:p w14:paraId="3AD057E9" w14:textId="77777777" w:rsidR="00B1511E" w:rsidRDefault="00000000">
      <w:pPr>
        <w:numPr>
          <w:ilvl w:val="0"/>
          <w:numId w:val="7"/>
        </w:numPr>
        <w:spacing w:before="105" w:after="105" w:line="360" w:lineRule="auto"/>
      </w:pPr>
      <w:r>
        <w:rPr>
          <w:rFonts w:ascii="inter" w:eastAsia="inter" w:hAnsi="inter" w:cs="inter"/>
          <w:color w:val="000000"/>
        </w:rPr>
        <w:t xml:space="preserve">Individuals with prior trauma show </w:t>
      </w:r>
      <w:r>
        <w:rPr>
          <w:rFonts w:ascii="inter" w:eastAsia="inter" w:hAnsi="inter" w:cs="inter"/>
          <w:b/>
          <w:color w:val="000000"/>
        </w:rPr>
        <w:t>stronger freezing‑like reductions in sway and stronger bradycardia</w:t>
      </w:r>
      <w:r>
        <w:rPr>
          <w:rFonts w:ascii="inter" w:eastAsia="inter" w:hAnsi="inter" w:cs="inter"/>
          <w:color w:val="000000"/>
        </w:rPr>
        <w:t xml:space="preserve"> to aversive images and social threat cues.</w:t>
      </w:r>
      <w:bookmarkStart w:id="44" w:name="fnref2_7"/>
      <w:bookmarkEnd w:id="44"/>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45" w:name="fnref5_4"/>
      <w:bookmarkEnd w:id="45"/>
      <w:r>
        <w:fldChar w:fldCharType="begin"/>
      </w:r>
      <w:r>
        <w:instrText>HYPERLINK \l "fn5" \h</w:instrText>
      </w:r>
      <w:r>
        <w:fldChar w:fldCharType="separate"/>
      </w:r>
      <w:r>
        <w:rPr>
          <w:rFonts w:ascii="inter" w:eastAsia="inter" w:hAnsi="inter" w:cs="inter"/>
          <w:u w:val="single"/>
          <w:vertAlign w:val="superscript"/>
        </w:rPr>
        <w:t>[5]</w:t>
      </w:r>
      <w:r>
        <w:fldChar w:fldCharType="end"/>
      </w:r>
    </w:p>
    <w:p w14:paraId="65C967A6" w14:textId="77777777" w:rsidR="00B1511E" w:rsidRDefault="00000000">
      <w:pPr>
        <w:numPr>
          <w:ilvl w:val="0"/>
          <w:numId w:val="7"/>
        </w:numPr>
        <w:spacing w:before="105" w:after="105" w:line="360" w:lineRule="auto"/>
      </w:pPr>
      <w:r>
        <w:rPr>
          <w:rFonts w:ascii="inter" w:eastAsia="inter" w:hAnsi="inter" w:cs="inter"/>
          <w:color w:val="000000"/>
        </w:rPr>
        <w:t>Early‑life attachment insecurity predicts stronger bodily freezing in adolescence.</w:t>
      </w:r>
      <w:bookmarkStart w:id="46" w:name="fnref2_8"/>
      <w:bookmarkEnd w:id="46"/>
      <w:r>
        <w:fldChar w:fldCharType="begin"/>
      </w:r>
      <w:r>
        <w:instrText>HYPERLINK \l "fn2" \h</w:instrText>
      </w:r>
      <w:r>
        <w:fldChar w:fldCharType="separate"/>
      </w:r>
      <w:r>
        <w:rPr>
          <w:rFonts w:ascii="inter" w:eastAsia="inter" w:hAnsi="inter" w:cs="inter"/>
          <w:u w:val="single"/>
          <w:vertAlign w:val="superscript"/>
        </w:rPr>
        <w:t>[2]</w:t>
      </w:r>
      <w:r>
        <w:fldChar w:fldCharType="end"/>
      </w:r>
    </w:p>
    <w:p w14:paraId="7A9A3B9E" w14:textId="77777777" w:rsidR="00B1511E" w:rsidRDefault="00000000">
      <w:pPr>
        <w:numPr>
          <w:ilvl w:val="0"/>
          <w:numId w:val="7"/>
        </w:numPr>
        <w:spacing w:before="105" w:after="105" w:line="360" w:lineRule="auto"/>
      </w:pPr>
      <w:r>
        <w:rPr>
          <w:rFonts w:ascii="inter" w:eastAsia="inter" w:hAnsi="inter" w:cs="inter"/>
          <w:color w:val="000000"/>
        </w:rPr>
        <w:t xml:space="preserve">PTSD patients in some paradigms show </w:t>
      </w:r>
      <w:r>
        <w:rPr>
          <w:rFonts w:ascii="inter" w:eastAsia="inter" w:hAnsi="inter" w:cs="inter"/>
          <w:b/>
          <w:color w:val="000000"/>
        </w:rPr>
        <w:t>reduced freezing</w:t>
      </w:r>
      <w:r>
        <w:rPr>
          <w:rFonts w:ascii="inter" w:eastAsia="inter" w:hAnsi="inter" w:cs="inter"/>
          <w:color w:val="000000"/>
        </w:rPr>
        <w:t xml:space="preserve"> to unpleasant pictures (and more hypervigilant scanning), suggesting maladaptive shifts between defensive modes rather than uniformly exaggerated freeze.</w:t>
      </w:r>
      <w:bookmarkStart w:id="47" w:name="fnref14"/>
      <w:bookmarkEnd w:id="47"/>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09EE2752" w14:textId="77777777" w:rsidR="00B1511E" w:rsidRDefault="00000000">
      <w:pPr>
        <w:spacing w:before="315" w:after="105" w:line="360" w:lineRule="auto"/>
        <w:ind w:left="-30"/>
      </w:pPr>
      <w:bookmarkStart w:id="48" w:name="role_of_prefrontal_motivation_in_cac28e"/>
      <w:r>
        <w:rPr>
          <w:rFonts w:ascii="inter" w:eastAsia="inter" w:hAnsi="inter" w:cs="inter"/>
          <w:b/>
          <w:color w:val="000000"/>
          <w:sz w:val="24"/>
        </w:rPr>
        <w:t>Role of prefrontal “motivation” in override</w:t>
      </w:r>
      <w:bookmarkEnd w:id="48"/>
    </w:p>
    <w:p w14:paraId="10671F47" w14:textId="77777777" w:rsidR="00B1511E" w:rsidRDefault="00000000">
      <w:pPr>
        <w:spacing w:after="210" w:line="360" w:lineRule="auto"/>
      </w:pPr>
      <w:r>
        <w:rPr>
          <w:rFonts w:ascii="inter" w:eastAsia="inter" w:hAnsi="inter" w:cs="inter"/>
          <w:color w:val="000000"/>
        </w:rPr>
        <w:t>At the circuit level:</w:t>
      </w:r>
    </w:p>
    <w:p w14:paraId="5F2799E4" w14:textId="77777777" w:rsidR="00B1511E" w:rsidRDefault="00000000">
      <w:pPr>
        <w:numPr>
          <w:ilvl w:val="0"/>
          <w:numId w:val="8"/>
        </w:numPr>
        <w:spacing w:before="105" w:after="105" w:line="360" w:lineRule="auto"/>
      </w:pPr>
      <w:proofErr w:type="spellStart"/>
      <w:r>
        <w:rPr>
          <w:rFonts w:ascii="inter" w:eastAsia="inter" w:hAnsi="inter" w:cs="inter"/>
          <w:color w:val="000000"/>
        </w:rPr>
        <w:t>vmPFC</w:t>
      </w:r>
      <w:proofErr w:type="spellEnd"/>
      <w:r>
        <w:rPr>
          <w:rFonts w:ascii="inter" w:eastAsia="inter" w:hAnsi="inter" w:cs="inter"/>
          <w:color w:val="000000"/>
        </w:rPr>
        <w:t xml:space="preserve"> and </w:t>
      </w:r>
      <w:proofErr w:type="spellStart"/>
      <w:r>
        <w:rPr>
          <w:rFonts w:ascii="inter" w:eastAsia="inter" w:hAnsi="inter" w:cs="inter"/>
          <w:color w:val="000000"/>
        </w:rPr>
        <w:t>perigenual</w:t>
      </w:r>
      <w:proofErr w:type="spellEnd"/>
      <w:r>
        <w:rPr>
          <w:rFonts w:ascii="inter" w:eastAsia="inter" w:hAnsi="inter" w:cs="inter"/>
          <w:color w:val="000000"/>
        </w:rPr>
        <w:t xml:space="preserve"> ACC have inhibitory control over amygdala/PAG and are critical for extinction, stressor controllability, and switching between defensive modes.</w:t>
      </w:r>
      <w:bookmarkStart w:id="49" w:name="fnref9_2"/>
      <w:bookmarkEnd w:id="49"/>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50" w:name="fnref1_4"/>
      <w:bookmarkEnd w:id="50"/>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51" w:name="fnref2_9"/>
      <w:bookmarkEnd w:id="51"/>
      <w:r>
        <w:fldChar w:fldCharType="begin"/>
      </w:r>
      <w:r>
        <w:instrText>HYPERLINK \l "fn2" \h</w:instrText>
      </w:r>
      <w:r>
        <w:fldChar w:fldCharType="separate"/>
      </w:r>
      <w:r>
        <w:rPr>
          <w:rFonts w:ascii="inter" w:eastAsia="inter" w:hAnsi="inter" w:cs="inter"/>
          <w:u w:val="single"/>
          <w:vertAlign w:val="superscript"/>
        </w:rPr>
        <w:t>[2]</w:t>
      </w:r>
      <w:r>
        <w:fldChar w:fldCharType="end"/>
      </w:r>
    </w:p>
    <w:p w14:paraId="0D47BB63" w14:textId="77777777" w:rsidR="00B1511E" w:rsidRDefault="00000000">
      <w:pPr>
        <w:numPr>
          <w:ilvl w:val="0"/>
          <w:numId w:val="8"/>
        </w:numPr>
        <w:spacing w:before="105" w:after="105" w:line="360" w:lineRule="auto"/>
      </w:pPr>
      <w:proofErr w:type="spellStart"/>
      <w:r>
        <w:rPr>
          <w:rFonts w:ascii="inter" w:eastAsia="inter" w:hAnsi="inter" w:cs="inter"/>
          <w:color w:val="000000"/>
        </w:rPr>
        <w:t>vmPFC</w:t>
      </w:r>
      <w:proofErr w:type="spellEnd"/>
      <w:r>
        <w:rPr>
          <w:rFonts w:ascii="inter" w:eastAsia="inter" w:hAnsi="inter" w:cs="inter"/>
          <w:color w:val="000000"/>
        </w:rPr>
        <w:t xml:space="preserve"> stimulation in rodents can suppress brainstem stress responses; perceived controllability recruits </w:t>
      </w:r>
      <w:proofErr w:type="spellStart"/>
      <w:r>
        <w:rPr>
          <w:rFonts w:ascii="inter" w:eastAsia="inter" w:hAnsi="inter" w:cs="inter"/>
          <w:color w:val="000000"/>
        </w:rPr>
        <w:t>mPFC</w:t>
      </w:r>
      <w:proofErr w:type="spellEnd"/>
      <w:r>
        <w:rPr>
          <w:rFonts w:ascii="inter" w:eastAsia="inter" w:hAnsi="inter" w:cs="inter"/>
          <w:color w:val="000000"/>
        </w:rPr>
        <w:t xml:space="preserve"> to damp dorsal raphe/PAG output.</w:t>
      </w:r>
      <w:bookmarkStart w:id="52" w:name="fnref9_3"/>
      <w:bookmarkEnd w:id="52"/>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53" w:name="fnref1_5"/>
      <w:bookmarkEnd w:id="53"/>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3EC8C99" w14:textId="77777777" w:rsidR="00B1511E" w:rsidRDefault="00000000">
      <w:pPr>
        <w:numPr>
          <w:ilvl w:val="0"/>
          <w:numId w:val="8"/>
        </w:numPr>
        <w:spacing w:before="105" w:after="105" w:line="360" w:lineRule="auto"/>
      </w:pPr>
      <w:r>
        <w:rPr>
          <w:rFonts w:ascii="inter" w:eastAsia="inter" w:hAnsi="inter" w:cs="inter"/>
          <w:color w:val="000000"/>
        </w:rPr>
        <w:t xml:space="preserve">In humans, greater </w:t>
      </w:r>
      <w:proofErr w:type="spellStart"/>
      <w:r>
        <w:rPr>
          <w:rFonts w:ascii="inter" w:eastAsia="inter" w:hAnsi="inter" w:cs="inter"/>
          <w:color w:val="000000"/>
        </w:rPr>
        <w:t>vmPFC</w:t>
      </w:r>
      <w:proofErr w:type="spellEnd"/>
      <w:r>
        <w:rPr>
          <w:rFonts w:ascii="inter" w:eastAsia="inter" w:hAnsi="inter" w:cs="inter"/>
          <w:color w:val="000000"/>
        </w:rPr>
        <w:t xml:space="preserve"> engagement is linked to larger safety buffers and less panic‑like action, whereas reduced </w:t>
      </w:r>
      <w:proofErr w:type="spellStart"/>
      <w:r>
        <w:rPr>
          <w:rFonts w:ascii="inter" w:eastAsia="inter" w:hAnsi="inter" w:cs="inter"/>
          <w:color w:val="000000"/>
        </w:rPr>
        <w:t>vmPFC</w:t>
      </w:r>
      <w:proofErr w:type="spellEnd"/>
      <w:r>
        <w:rPr>
          <w:rFonts w:ascii="inter" w:eastAsia="inter" w:hAnsi="inter" w:cs="inter"/>
          <w:color w:val="000000"/>
        </w:rPr>
        <w:t xml:space="preserve"> and heightened PAG are seen in panic and chronic anxiety.</w:t>
      </w:r>
      <w:bookmarkStart w:id="54" w:name="fnref1_6"/>
      <w:bookmarkEnd w:id="54"/>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55" w:name="fnref9_4"/>
      <w:bookmarkEnd w:id="55"/>
      <w:r>
        <w:fldChar w:fldCharType="begin"/>
      </w:r>
      <w:r>
        <w:instrText>HYPERLINK \l "fn9" \h</w:instrText>
      </w:r>
      <w:r>
        <w:fldChar w:fldCharType="separate"/>
      </w:r>
      <w:r>
        <w:rPr>
          <w:rFonts w:ascii="inter" w:eastAsia="inter" w:hAnsi="inter" w:cs="inter"/>
          <w:u w:val="single"/>
          <w:vertAlign w:val="superscript"/>
        </w:rPr>
        <w:t>[9]</w:t>
      </w:r>
      <w:r>
        <w:fldChar w:fldCharType="end"/>
      </w:r>
    </w:p>
    <w:p w14:paraId="74DA95EE" w14:textId="77777777" w:rsidR="00B1511E" w:rsidRDefault="00000000">
      <w:pPr>
        <w:spacing w:after="210" w:line="360" w:lineRule="auto"/>
      </w:pPr>
      <w:r>
        <w:rPr>
          <w:rFonts w:ascii="inter" w:eastAsia="inter" w:hAnsi="inter" w:cs="inter"/>
          <w:color w:val="000000"/>
        </w:rPr>
        <w:t>Putting this together:</w:t>
      </w:r>
    </w:p>
    <w:p w14:paraId="00B6CF30" w14:textId="77777777" w:rsidR="00B1511E" w:rsidRDefault="00000000">
      <w:pPr>
        <w:numPr>
          <w:ilvl w:val="0"/>
          <w:numId w:val="9"/>
        </w:numPr>
        <w:spacing w:before="105" w:after="105" w:line="360" w:lineRule="auto"/>
      </w:pPr>
      <w:r>
        <w:rPr>
          <w:rFonts w:ascii="inter" w:eastAsia="inter" w:hAnsi="inter" w:cs="inter"/>
          <w:b/>
          <w:color w:val="000000"/>
        </w:rPr>
        <w:t xml:space="preserve">On short timescales (tens to hundreds of </w:t>
      </w:r>
      <w:proofErr w:type="spellStart"/>
      <w:r>
        <w:rPr>
          <w:rFonts w:ascii="inter" w:eastAsia="inter" w:hAnsi="inter" w:cs="inter"/>
          <w:b/>
          <w:color w:val="000000"/>
        </w:rPr>
        <w:t>ms</w:t>
      </w:r>
      <w:proofErr w:type="spellEnd"/>
      <w:r>
        <w:rPr>
          <w:rFonts w:ascii="inter" w:eastAsia="inter" w:hAnsi="inter" w:cs="inter"/>
          <w:b/>
          <w:color w:val="000000"/>
        </w:rPr>
        <w:t>)</w:t>
      </w:r>
      <w:r>
        <w:rPr>
          <w:rFonts w:ascii="inter" w:eastAsia="inter" w:hAnsi="inter" w:cs="inter"/>
          <w:color w:val="000000"/>
        </w:rPr>
        <w:t xml:space="preserve"> at high threat imminence, reactive circuits can transiently </w:t>
      </w:r>
      <w:r>
        <w:rPr>
          <w:rFonts w:ascii="inter" w:eastAsia="inter" w:hAnsi="inter" w:cs="inter"/>
          <w:b/>
          <w:color w:val="000000"/>
        </w:rPr>
        <w:t>override goal‑directed systems</w:t>
      </w:r>
      <w:r>
        <w:rPr>
          <w:rFonts w:ascii="inter" w:eastAsia="inter" w:hAnsi="inter" w:cs="inter"/>
          <w:color w:val="000000"/>
        </w:rPr>
        <w:t>, making the freeze relatively motivation‑invariant “in the moment.”</w:t>
      </w:r>
    </w:p>
    <w:p w14:paraId="00372481" w14:textId="77777777" w:rsidR="00B1511E" w:rsidRDefault="00000000">
      <w:pPr>
        <w:numPr>
          <w:ilvl w:val="0"/>
          <w:numId w:val="9"/>
        </w:numPr>
        <w:spacing w:before="105" w:after="105" w:line="360" w:lineRule="auto"/>
      </w:pPr>
      <w:r>
        <w:rPr>
          <w:rFonts w:ascii="inter" w:eastAsia="inter" w:hAnsi="inter" w:cs="inter"/>
          <w:b/>
          <w:color w:val="000000"/>
        </w:rPr>
        <w:t xml:space="preserve">On slower timescales (hundreds of </w:t>
      </w:r>
      <w:proofErr w:type="spellStart"/>
      <w:r>
        <w:rPr>
          <w:rFonts w:ascii="inter" w:eastAsia="inter" w:hAnsi="inter" w:cs="inter"/>
          <w:b/>
          <w:color w:val="000000"/>
        </w:rPr>
        <w:t>ms</w:t>
      </w:r>
      <w:proofErr w:type="spellEnd"/>
      <w:r>
        <w:rPr>
          <w:rFonts w:ascii="inter" w:eastAsia="inter" w:hAnsi="inter" w:cs="inter"/>
          <w:b/>
          <w:color w:val="000000"/>
        </w:rPr>
        <w:t xml:space="preserve"> </w:t>
      </w:r>
      <w:proofErr w:type="spellStart"/>
      <w:r>
        <w:rPr>
          <w:rFonts w:ascii="inter" w:eastAsia="inter" w:hAnsi="inter" w:cs="inter"/>
          <w:b/>
          <w:color w:val="000000"/>
        </w:rPr>
        <w:t>to</w:t>
      </w:r>
      <w:proofErr w:type="spellEnd"/>
      <w:r>
        <w:rPr>
          <w:rFonts w:ascii="inter" w:eastAsia="inter" w:hAnsi="inter" w:cs="inter"/>
          <w:b/>
          <w:color w:val="000000"/>
        </w:rPr>
        <w:t xml:space="preserve"> seconds)</w:t>
      </w:r>
      <w:r>
        <w:rPr>
          <w:rFonts w:ascii="inter" w:eastAsia="inter" w:hAnsi="inter" w:cs="inter"/>
          <w:color w:val="000000"/>
        </w:rPr>
        <w:t xml:space="preserve">, </w:t>
      </w:r>
      <w:r>
        <w:rPr>
          <w:rFonts w:ascii="inter" w:eastAsia="inter" w:hAnsi="inter" w:cs="inter"/>
          <w:b/>
          <w:color w:val="000000"/>
        </w:rPr>
        <w:t>motivation, controllability, and goals</w:t>
      </w:r>
      <w:r>
        <w:rPr>
          <w:rFonts w:ascii="inter" w:eastAsia="inter" w:hAnsi="inter" w:cs="inter"/>
          <w:color w:val="000000"/>
        </w:rPr>
        <w:t xml:space="preserve">—implemented via </w:t>
      </w:r>
      <w:proofErr w:type="spellStart"/>
      <w:r>
        <w:rPr>
          <w:rFonts w:ascii="inter" w:eastAsia="inter" w:hAnsi="inter" w:cs="inter"/>
          <w:color w:val="000000"/>
        </w:rPr>
        <w:t>vmPFC</w:t>
      </w:r>
      <w:proofErr w:type="spellEnd"/>
      <w:r>
        <w:rPr>
          <w:rFonts w:ascii="inter" w:eastAsia="inter" w:hAnsi="inter" w:cs="inter"/>
          <w:color w:val="000000"/>
        </w:rPr>
        <w:t xml:space="preserve">, </w:t>
      </w:r>
      <w:proofErr w:type="spellStart"/>
      <w:r>
        <w:rPr>
          <w:rFonts w:ascii="inter" w:eastAsia="inter" w:hAnsi="inter" w:cs="inter"/>
          <w:color w:val="000000"/>
        </w:rPr>
        <w:t>dACC</w:t>
      </w:r>
      <w:proofErr w:type="spellEnd"/>
      <w:r>
        <w:rPr>
          <w:rFonts w:ascii="inter" w:eastAsia="inter" w:hAnsi="inter" w:cs="inter"/>
          <w:color w:val="000000"/>
        </w:rPr>
        <w:t xml:space="preserve">/MCC, anterior insula, </w:t>
      </w:r>
      <w:proofErr w:type="spellStart"/>
      <w:r>
        <w:rPr>
          <w:rFonts w:ascii="inter" w:eastAsia="inter" w:hAnsi="inter" w:cs="inter"/>
          <w:color w:val="000000"/>
        </w:rPr>
        <w:t>dlPFC</w:t>
      </w:r>
      <w:proofErr w:type="spellEnd"/>
      <w:r>
        <w:rPr>
          <w:rFonts w:ascii="inter" w:eastAsia="inter" w:hAnsi="inter" w:cs="inter"/>
          <w:color w:val="000000"/>
        </w:rPr>
        <w:t>—</w:t>
      </w:r>
      <w:r>
        <w:rPr>
          <w:rFonts w:ascii="inter" w:eastAsia="inter" w:hAnsi="inter" w:cs="inter"/>
          <w:i/>
          <w:color w:val="000000"/>
        </w:rPr>
        <w:t>do</w:t>
      </w:r>
      <w:r>
        <w:rPr>
          <w:rFonts w:ascii="inter" w:eastAsia="inter" w:hAnsi="inter" w:cs="inter"/>
          <w:color w:val="000000"/>
        </w:rPr>
        <w:t xml:space="preserve"> influence whether freezing is maintained, whether it flips into flight/fight, and how quickly that happens.</w:t>
      </w:r>
      <w:bookmarkStart w:id="56" w:name="fnref10_2"/>
      <w:bookmarkEnd w:id="56"/>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57" w:name="fnref1_7"/>
      <w:bookmarkEnd w:id="57"/>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58" w:name="fnref2_10"/>
      <w:bookmarkEnd w:id="58"/>
      <w:r>
        <w:fldChar w:fldCharType="begin"/>
      </w:r>
      <w:r>
        <w:instrText>HYPERLINK \l "fn2" \h</w:instrText>
      </w:r>
      <w:r>
        <w:fldChar w:fldCharType="separate"/>
      </w:r>
      <w:r>
        <w:rPr>
          <w:rFonts w:ascii="inter" w:eastAsia="inter" w:hAnsi="inter" w:cs="inter"/>
          <w:u w:val="single"/>
          <w:vertAlign w:val="superscript"/>
        </w:rPr>
        <w:t>[2]</w:t>
      </w:r>
      <w:r>
        <w:fldChar w:fldCharType="end"/>
      </w:r>
    </w:p>
    <w:p w14:paraId="5E8027F4" w14:textId="77777777" w:rsidR="00B1511E" w:rsidRDefault="00000000">
      <w:pPr>
        <w:numPr>
          <w:ilvl w:val="0"/>
          <w:numId w:val="9"/>
        </w:numPr>
        <w:spacing w:before="105" w:after="105" w:line="360" w:lineRule="auto"/>
      </w:pPr>
      <w:r>
        <w:rPr>
          <w:rFonts w:ascii="inter" w:eastAsia="inter" w:hAnsi="inter" w:cs="inter"/>
          <w:b/>
          <w:color w:val="000000"/>
        </w:rPr>
        <w:t>Across development</w:t>
      </w:r>
      <w:r>
        <w:rPr>
          <w:rFonts w:ascii="inter" w:eastAsia="inter" w:hAnsi="inter" w:cs="inter"/>
          <w:color w:val="000000"/>
        </w:rPr>
        <w:t>, repeated experience (e.g., trauma, training) shifts the thresholds and gains of these circuits, changing how easily freeze is triggered and how much prefrontal control is available.</w:t>
      </w:r>
    </w:p>
    <w:p w14:paraId="75899EBA" w14:textId="77777777" w:rsidR="00B1511E" w:rsidRDefault="00000000">
      <w:pPr>
        <w:spacing w:after="210" w:line="360" w:lineRule="auto"/>
      </w:pPr>
      <w:proofErr w:type="gramStart"/>
      <w:r>
        <w:rPr>
          <w:rFonts w:ascii="inter" w:eastAsia="inter" w:hAnsi="inter" w:cs="inter"/>
          <w:color w:val="000000"/>
        </w:rPr>
        <w:t>So</w:t>
      </w:r>
      <w:proofErr w:type="gramEnd"/>
      <w:r>
        <w:rPr>
          <w:rFonts w:ascii="inter" w:eastAsia="inter" w:hAnsi="inter" w:cs="inter"/>
          <w:color w:val="000000"/>
        </w:rPr>
        <w:t xml:space="preserve"> in a trauma‑related freeze episode, subjective “motivation to act” can be very high but still </w:t>
      </w:r>
      <w:r>
        <w:rPr>
          <w:rFonts w:ascii="inter" w:eastAsia="inter" w:hAnsi="inter" w:cs="inter"/>
          <w:b/>
          <w:color w:val="000000"/>
        </w:rPr>
        <w:t>arrive too late and through too weak a channel</w:t>
      </w:r>
      <w:r>
        <w:rPr>
          <w:rFonts w:ascii="inter" w:eastAsia="inter" w:hAnsi="inter" w:cs="inter"/>
          <w:color w:val="000000"/>
        </w:rPr>
        <w:t xml:space="preserve"> to immediately overcome a strongly engaged </w:t>
      </w:r>
      <w:proofErr w:type="spellStart"/>
      <w:r>
        <w:rPr>
          <w:rFonts w:ascii="inter" w:eastAsia="inter" w:hAnsi="inter" w:cs="inter"/>
          <w:color w:val="000000"/>
        </w:rPr>
        <w:t>vlPAG</w:t>
      </w:r>
      <w:proofErr w:type="spellEnd"/>
      <w:r>
        <w:rPr>
          <w:rFonts w:ascii="inter" w:eastAsia="inter" w:hAnsi="inter" w:cs="inter"/>
          <w:color w:val="000000"/>
        </w:rPr>
        <w:t xml:space="preserve"> brake. However, with training and therapeutic modulation of prefrontal–amygdala–PAG circuitry, the probability and duration of freezing can be reduced, which argues against a strictly hard‑wired, motivation‑invariant constraint.</w:t>
      </w:r>
    </w:p>
    <w:p w14:paraId="3B9B4D44" w14:textId="77777777" w:rsidR="00B1511E" w:rsidRDefault="00000000">
      <w:pPr>
        <w:spacing w:before="210" w:after="0" w:line="360" w:lineRule="auto"/>
      </w:pPr>
      <w:r>
        <w:rPr>
          <w:noProof/>
        </w:rPr>
      </w:r>
      <w:r>
        <w:rPr>
          <w:noProof/>
        </w:rPr>
        <w:pict w14:anchorId="72B8EDC6">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F001BE" w14:textId="77777777" w:rsidR="00B1511E" w:rsidRDefault="00000000">
      <w:pPr>
        <w:spacing w:before="315" w:after="105" w:line="360" w:lineRule="auto"/>
        <w:ind w:left="-30"/>
      </w:pPr>
      <w:bookmarkStart w:id="59" w:name="bm_3_latency_does_freeze_onset_pr_4c1351"/>
      <w:r>
        <w:rPr>
          <w:rFonts w:ascii="inter" w:eastAsia="inter" w:hAnsi="inter" w:cs="inter"/>
          <w:b/>
          <w:color w:val="000000"/>
          <w:sz w:val="24"/>
        </w:rPr>
        <w:t>3. Latency: does freeze onset precede cortical evaluation?</w:t>
      </w:r>
      <w:bookmarkEnd w:id="59"/>
    </w:p>
    <w:p w14:paraId="457FC046" w14:textId="77777777" w:rsidR="00B1511E" w:rsidRDefault="00000000">
      <w:pPr>
        <w:spacing w:before="315" w:after="105" w:line="360" w:lineRule="auto"/>
        <w:ind w:left="-30"/>
      </w:pPr>
      <w:bookmarkStart w:id="60" w:name="subcortical_latencies"/>
      <w:r>
        <w:rPr>
          <w:rFonts w:ascii="inter" w:eastAsia="inter" w:hAnsi="inter" w:cs="inter"/>
          <w:b/>
          <w:color w:val="000000"/>
          <w:sz w:val="24"/>
        </w:rPr>
        <w:t>Subcortical latencies</w:t>
      </w:r>
      <w:bookmarkEnd w:id="60"/>
    </w:p>
    <w:p w14:paraId="510006A2" w14:textId="77777777" w:rsidR="00B1511E" w:rsidRDefault="00000000">
      <w:pPr>
        <w:spacing w:after="210" w:line="360" w:lineRule="auto"/>
      </w:pPr>
      <w:r>
        <w:rPr>
          <w:rFonts w:ascii="inter" w:eastAsia="inter" w:hAnsi="inter" w:cs="inter"/>
          <w:color w:val="000000"/>
        </w:rPr>
        <w:t>Rodent and human data converge:</w:t>
      </w:r>
    </w:p>
    <w:p w14:paraId="090B6074" w14:textId="77777777" w:rsidR="00B1511E" w:rsidRDefault="00000000">
      <w:pPr>
        <w:numPr>
          <w:ilvl w:val="0"/>
          <w:numId w:val="10"/>
        </w:numPr>
        <w:spacing w:before="105" w:after="105" w:line="360" w:lineRule="auto"/>
      </w:pPr>
      <w:r>
        <w:rPr>
          <w:rFonts w:ascii="inter" w:eastAsia="inter" w:hAnsi="inter" w:cs="inter"/>
          <w:b/>
          <w:color w:val="000000"/>
        </w:rPr>
        <w:t>Rodents (LeDoux):</w:t>
      </w:r>
      <w:r>
        <w:rPr>
          <w:rFonts w:ascii="inter" w:eastAsia="inter" w:hAnsi="inter" w:cs="inter"/>
          <w:color w:val="000000"/>
        </w:rPr>
        <w:t xml:space="preserve"> auditory threat signals reach LA via thalamus in about </w:t>
      </w:r>
      <w:r>
        <w:rPr>
          <w:rFonts w:ascii="inter" w:eastAsia="inter" w:hAnsi="inter" w:cs="inter"/>
          <w:b/>
          <w:color w:val="000000"/>
        </w:rPr>
        <w:t xml:space="preserve">12 </w:t>
      </w:r>
      <w:proofErr w:type="spellStart"/>
      <w:r>
        <w:rPr>
          <w:rFonts w:ascii="inter" w:eastAsia="inter" w:hAnsi="inter" w:cs="inter"/>
          <w:b/>
          <w:color w:val="000000"/>
        </w:rPr>
        <w:t>ms</w:t>
      </w:r>
      <w:proofErr w:type="spellEnd"/>
      <w:r>
        <w:rPr>
          <w:rFonts w:ascii="inter" w:eastAsia="inter" w:hAnsi="inter" w:cs="inter"/>
          <w:color w:val="000000"/>
        </w:rPr>
        <w:t>, and the LA–</w:t>
      </w:r>
      <w:proofErr w:type="spellStart"/>
      <w:r>
        <w:rPr>
          <w:rFonts w:ascii="inter" w:eastAsia="inter" w:hAnsi="inter" w:cs="inter"/>
          <w:color w:val="000000"/>
        </w:rPr>
        <w:t>CeA</w:t>
      </w:r>
      <w:proofErr w:type="spellEnd"/>
      <w:r>
        <w:rPr>
          <w:rFonts w:ascii="inter" w:eastAsia="inter" w:hAnsi="inter" w:cs="inter"/>
          <w:color w:val="000000"/>
        </w:rPr>
        <w:t>–PAG pathway can elicit defensive responses at comparably short delays.</w:t>
      </w:r>
      <w:bookmarkStart w:id="61" w:name="fnref3_6"/>
      <w:bookmarkEnd w:id="61"/>
      <w:r>
        <w:fldChar w:fldCharType="begin"/>
      </w:r>
      <w:r>
        <w:instrText>HYPERLINK \l "fn3" \h</w:instrText>
      </w:r>
      <w:r>
        <w:fldChar w:fldCharType="separate"/>
      </w:r>
      <w:r>
        <w:rPr>
          <w:rFonts w:ascii="inter" w:eastAsia="inter" w:hAnsi="inter" w:cs="inter"/>
          <w:u w:val="single"/>
          <w:vertAlign w:val="superscript"/>
        </w:rPr>
        <w:t>[3]</w:t>
      </w:r>
      <w:r>
        <w:fldChar w:fldCharType="end"/>
      </w:r>
    </w:p>
    <w:p w14:paraId="147FEF53" w14:textId="77777777" w:rsidR="00B1511E" w:rsidRDefault="00000000">
      <w:pPr>
        <w:numPr>
          <w:ilvl w:val="0"/>
          <w:numId w:val="10"/>
        </w:numPr>
        <w:spacing w:before="105" w:after="105" w:line="360" w:lineRule="auto"/>
      </w:pPr>
      <w:r>
        <w:rPr>
          <w:rFonts w:ascii="inter" w:eastAsia="inter" w:hAnsi="inter" w:cs="inter"/>
          <w:b/>
          <w:color w:val="000000"/>
        </w:rPr>
        <w:t>PAG–cerebellar–spinal loop:</w:t>
      </w:r>
      <w:r>
        <w:rPr>
          <w:rFonts w:ascii="inter" w:eastAsia="inter" w:hAnsi="inter" w:cs="inter"/>
          <w:color w:val="000000"/>
        </w:rPr>
        <w:t xml:space="preserve"> </w:t>
      </w:r>
      <w:proofErr w:type="spellStart"/>
      <w:r>
        <w:rPr>
          <w:rFonts w:ascii="inter" w:eastAsia="inter" w:hAnsi="inter" w:cs="inter"/>
          <w:color w:val="000000"/>
        </w:rPr>
        <w:t>Koutsikou</w:t>
      </w:r>
      <w:proofErr w:type="spellEnd"/>
      <w:r>
        <w:rPr>
          <w:rFonts w:ascii="inter" w:eastAsia="inter" w:hAnsi="inter" w:cs="inter"/>
          <w:color w:val="000000"/>
        </w:rPr>
        <w:t xml:space="preserve"> et al. show </w:t>
      </w:r>
      <w:proofErr w:type="spellStart"/>
      <w:r>
        <w:rPr>
          <w:rFonts w:ascii="inter" w:eastAsia="inter" w:hAnsi="inter" w:cs="inter"/>
          <w:color w:val="000000"/>
        </w:rPr>
        <w:t>vlPAG</w:t>
      </w:r>
      <w:proofErr w:type="spellEnd"/>
      <w:r>
        <w:rPr>
          <w:rFonts w:ascii="inter" w:eastAsia="inter" w:hAnsi="inter" w:cs="inter"/>
          <w:color w:val="000000"/>
        </w:rPr>
        <w:t xml:space="preserve"> stimulation evokes climbing </w:t>
      </w:r>
      <w:proofErr w:type="spellStart"/>
      <w:r>
        <w:rPr>
          <w:rFonts w:ascii="inter" w:eastAsia="inter" w:hAnsi="inter" w:cs="inter"/>
          <w:color w:val="000000"/>
        </w:rPr>
        <w:t>fibre</w:t>
      </w:r>
      <w:proofErr w:type="spellEnd"/>
      <w:r>
        <w:rPr>
          <w:rFonts w:ascii="inter" w:eastAsia="inter" w:hAnsi="inter" w:cs="inter"/>
          <w:color w:val="000000"/>
        </w:rPr>
        <w:t xml:space="preserve"> responses in cerebellar </w:t>
      </w:r>
      <w:proofErr w:type="spellStart"/>
      <w:r>
        <w:rPr>
          <w:rFonts w:ascii="inter" w:eastAsia="inter" w:hAnsi="inter" w:cs="inter"/>
          <w:color w:val="000000"/>
        </w:rPr>
        <w:t>pyramis</w:t>
      </w:r>
      <w:proofErr w:type="spellEnd"/>
      <w:r>
        <w:rPr>
          <w:rFonts w:ascii="inter" w:eastAsia="inter" w:hAnsi="inter" w:cs="inter"/>
          <w:color w:val="000000"/>
        </w:rPr>
        <w:t xml:space="preserve"> at ~15 </w:t>
      </w:r>
      <w:proofErr w:type="spellStart"/>
      <w:r>
        <w:rPr>
          <w:rFonts w:ascii="inter" w:eastAsia="inter" w:hAnsi="inter" w:cs="inter"/>
          <w:color w:val="000000"/>
        </w:rPr>
        <w:t>ms</w:t>
      </w:r>
      <w:proofErr w:type="spellEnd"/>
      <w:r>
        <w:rPr>
          <w:rFonts w:ascii="inter" w:eastAsia="inter" w:hAnsi="inter" w:cs="inter"/>
          <w:color w:val="000000"/>
        </w:rPr>
        <w:t xml:space="preserve"> and increases α‑motoneuron excitability tightly linked to freezing behavior.</w:t>
      </w:r>
      <w:bookmarkStart w:id="62" w:name="fnref4_2"/>
      <w:bookmarkEnd w:id="62"/>
      <w:r>
        <w:fldChar w:fldCharType="begin"/>
      </w:r>
      <w:r>
        <w:instrText>HYPERLINK \l "fn4" \h</w:instrText>
      </w:r>
      <w:r>
        <w:fldChar w:fldCharType="separate"/>
      </w:r>
      <w:r>
        <w:rPr>
          <w:rFonts w:ascii="inter" w:eastAsia="inter" w:hAnsi="inter" w:cs="inter"/>
          <w:u w:val="single"/>
          <w:vertAlign w:val="superscript"/>
        </w:rPr>
        <w:t>[4]</w:t>
      </w:r>
      <w:r>
        <w:fldChar w:fldCharType="end"/>
      </w:r>
    </w:p>
    <w:p w14:paraId="0B0D0AF0" w14:textId="77777777" w:rsidR="00B1511E" w:rsidRDefault="00000000">
      <w:pPr>
        <w:numPr>
          <w:ilvl w:val="0"/>
          <w:numId w:val="10"/>
        </w:numPr>
        <w:spacing w:before="105" w:after="105" w:line="360" w:lineRule="auto"/>
      </w:pPr>
      <w:r>
        <w:rPr>
          <w:rFonts w:ascii="inter" w:eastAsia="inter" w:hAnsi="inter" w:cs="inter"/>
          <w:b/>
          <w:color w:val="000000"/>
        </w:rPr>
        <w:t>Humans:</w:t>
      </w:r>
      <w:r>
        <w:rPr>
          <w:rFonts w:ascii="inter" w:eastAsia="inter" w:hAnsi="inter" w:cs="inter"/>
          <w:color w:val="000000"/>
        </w:rPr>
        <w:t xml:space="preserve"> MEG/EEG and intracranial EEG:</w:t>
      </w:r>
    </w:p>
    <w:p w14:paraId="0E694D1E" w14:textId="77777777" w:rsidR="00B1511E" w:rsidRDefault="00000000">
      <w:pPr>
        <w:numPr>
          <w:ilvl w:val="1"/>
          <w:numId w:val="10"/>
        </w:numPr>
        <w:spacing w:before="105" w:after="105" w:line="360" w:lineRule="auto"/>
      </w:pPr>
      <w:r>
        <w:rPr>
          <w:rFonts w:ascii="inter" w:eastAsia="inter" w:hAnsi="inter" w:cs="inter"/>
          <w:color w:val="000000"/>
        </w:rPr>
        <w:t xml:space="preserve">Hypothalamus/thalamus gamma ERS at </w:t>
      </w:r>
      <w:r>
        <w:rPr>
          <w:rFonts w:ascii="inter" w:eastAsia="inter" w:hAnsi="inter" w:cs="inter"/>
          <w:b/>
          <w:color w:val="000000"/>
        </w:rPr>
        <w:t xml:space="preserve">10–20 </w:t>
      </w:r>
      <w:proofErr w:type="spellStart"/>
      <w:r>
        <w:rPr>
          <w:rFonts w:ascii="inter" w:eastAsia="inter" w:hAnsi="inter" w:cs="inter"/>
          <w:b/>
          <w:color w:val="000000"/>
        </w:rPr>
        <w:t>ms</w:t>
      </w:r>
      <w:proofErr w:type="spellEnd"/>
      <w:r>
        <w:rPr>
          <w:rFonts w:ascii="inter" w:eastAsia="inter" w:hAnsi="inter" w:cs="inter"/>
          <w:color w:val="000000"/>
        </w:rPr>
        <w:t xml:space="preserve">; amygdala ERS at </w:t>
      </w:r>
      <w:r>
        <w:rPr>
          <w:rFonts w:ascii="inter" w:eastAsia="inter" w:hAnsi="inter" w:cs="inter"/>
          <w:b/>
          <w:color w:val="000000"/>
        </w:rPr>
        <w:t xml:space="preserve">20–30 </w:t>
      </w:r>
      <w:proofErr w:type="spellStart"/>
      <w:r>
        <w:rPr>
          <w:rFonts w:ascii="inter" w:eastAsia="inter" w:hAnsi="inter" w:cs="inter"/>
          <w:b/>
          <w:color w:val="000000"/>
        </w:rPr>
        <w:t>ms</w:t>
      </w:r>
      <w:proofErr w:type="spellEnd"/>
      <w:r>
        <w:rPr>
          <w:rFonts w:ascii="inter" w:eastAsia="inter" w:hAnsi="inter" w:cs="inter"/>
          <w:color w:val="000000"/>
        </w:rPr>
        <w:t xml:space="preserve"> </w:t>
      </w:r>
      <w:proofErr w:type="spellStart"/>
      <w:r>
        <w:rPr>
          <w:rFonts w:ascii="inter" w:eastAsia="inter" w:hAnsi="inter" w:cs="inter"/>
          <w:color w:val="000000"/>
        </w:rPr>
        <w:t>to</w:t>
      </w:r>
      <w:proofErr w:type="spellEnd"/>
      <w:r>
        <w:rPr>
          <w:rFonts w:ascii="inter" w:eastAsia="inter" w:hAnsi="inter" w:cs="inter"/>
          <w:color w:val="000000"/>
        </w:rPr>
        <w:t xml:space="preserve"> fearful faces, i.e., </w:t>
      </w:r>
      <w:r>
        <w:rPr>
          <w:rFonts w:ascii="inter" w:eastAsia="inter" w:hAnsi="inter" w:cs="inter"/>
          <w:i/>
          <w:color w:val="000000"/>
        </w:rPr>
        <w:t>before</w:t>
      </w:r>
      <w:r>
        <w:rPr>
          <w:rFonts w:ascii="inter" w:eastAsia="inter" w:hAnsi="inter" w:cs="inter"/>
          <w:color w:val="000000"/>
        </w:rPr>
        <w:t xml:space="preserve"> visual cortex (40–50 </w:t>
      </w:r>
      <w:proofErr w:type="spellStart"/>
      <w:r>
        <w:rPr>
          <w:rFonts w:ascii="inter" w:eastAsia="inter" w:hAnsi="inter" w:cs="inter"/>
          <w:color w:val="000000"/>
        </w:rPr>
        <w:t>ms</w:t>
      </w:r>
      <w:proofErr w:type="spellEnd"/>
      <w:r>
        <w:rPr>
          <w:rFonts w:ascii="inter" w:eastAsia="inter" w:hAnsi="inter" w:cs="inter"/>
          <w:color w:val="000000"/>
        </w:rPr>
        <w:t>) and long before PFC.</w:t>
      </w:r>
      <w:bookmarkStart w:id="63" w:name="fnref6_3"/>
      <w:bookmarkEnd w:id="63"/>
      <w:r>
        <w:fldChar w:fldCharType="begin"/>
      </w:r>
      <w:r>
        <w:instrText>HYPERLINK \l "fn6" \h</w:instrText>
      </w:r>
      <w:r>
        <w:fldChar w:fldCharType="separate"/>
      </w:r>
      <w:r>
        <w:rPr>
          <w:rFonts w:ascii="inter" w:eastAsia="inter" w:hAnsi="inter" w:cs="inter"/>
          <w:u w:val="single"/>
          <w:vertAlign w:val="superscript"/>
        </w:rPr>
        <w:t>[6]</w:t>
      </w:r>
      <w:r>
        <w:fldChar w:fldCharType="end"/>
      </w:r>
    </w:p>
    <w:p w14:paraId="78C026A7" w14:textId="77777777" w:rsidR="00B1511E" w:rsidRDefault="00000000">
      <w:pPr>
        <w:numPr>
          <w:ilvl w:val="1"/>
          <w:numId w:val="10"/>
        </w:numPr>
        <w:spacing w:before="105" w:after="105" w:line="360" w:lineRule="auto"/>
      </w:pPr>
      <w:r>
        <w:rPr>
          <w:rFonts w:ascii="inter" w:eastAsia="inter" w:hAnsi="inter" w:cs="inter"/>
          <w:color w:val="000000"/>
        </w:rPr>
        <w:t xml:space="preserve">Amygdala gamma peaks for fearful expressions at ~100–135 </w:t>
      </w:r>
      <w:proofErr w:type="spellStart"/>
      <w:r>
        <w:rPr>
          <w:rFonts w:ascii="inter" w:eastAsia="inter" w:hAnsi="inter" w:cs="inter"/>
          <w:color w:val="000000"/>
        </w:rPr>
        <w:t>ms</w:t>
      </w:r>
      <w:proofErr w:type="spellEnd"/>
      <w:r>
        <w:rPr>
          <w:rFonts w:ascii="inter" w:eastAsia="inter" w:hAnsi="inter" w:cs="inter"/>
          <w:color w:val="000000"/>
        </w:rPr>
        <w:t xml:space="preserve">; for gaze/face information at ~200–250 </w:t>
      </w:r>
      <w:proofErr w:type="spellStart"/>
      <w:r>
        <w:rPr>
          <w:rFonts w:ascii="inter" w:eastAsia="inter" w:hAnsi="inter" w:cs="inter"/>
          <w:color w:val="000000"/>
        </w:rPr>
        <w:t>ms.</w:t>
      </w:r>
      <w:bookmarkStart w:id="64" w:name="fnref7_2"/>
      <w:bookmarkEnd w:id="64"/>
      <w:proofErr w:type="spellEnd"/>
      <w:r>
        <w:fldChar w:fldCharType="begin"/>
      </w:r>
      <w:r>
        <w:instrText>HYPERLINK \l "fn7" \h</w:instrText>
      </w:r>
      <w:r>
        <w:fldChar w:fldCharType="separate"/>
      </w:r>
      <w:r>
        <w:rPr>
          <w:rFonts w:ascii="inter" w:eastAsia="inter" w:hAnsi="inter" w:cs="inter"/>
          <w:u w:val="single"/>
          <w:vertAlign w:val="superscript"/>
        </w:rPr>
        <w:t>[7]</w:t>
      </w:r>
      <w:r>
        <w:fldChar w:fldCharType="end"/>
      </w:r>
    </w:p>
    <w:p w14:paraId="7E97BBB1" w14:textId="77777777" w:rsidR="00B1511E" w:rsidRDefault="00000000">
      <w:pPr>
        <w:numPr>
          <w:ilvl w:val="1"/>
          <w:numId w:val="10"/>
        </w:numPr>
        <w:spacing w:before="105" w:after="105" w:line="360" w:lineRule="auto"/>
      </w:pPr>
      <w:r>
        <w:rPr>
          <w:rFonts w:ascii="inter" w:eastAsia="inter" w:hAnsi="inter" w:cs="inter"/>
          <w:color w:val="000000"/>
        </w:rPr>
        <w:t xml:space="preserve">Prefrontal regions (IFG, ACC, OFC) show onset ~170–210 </w:t>
      </w:r>
      <w:proofErr w:type="spellStart"/>
      <w:r>
        <w:rPr>
          <w:rFonts w:ascii="inter" w:eastAsia="inter" w:hAnsi="inter" w:cs="inter"/>
          <w:color w:val="000000"/>
        </w:rPr>
        <w:t>ms</w:t>
      </w:r>
      <w:proofErr w:type="spellEnd"/>
      <w:r>
        <w:rPr>
          <w:rFonts w:ascii="inter" w:eastAsia="inter" w:hAnsi="inter" w:cs="inter"/>
          <w:color w:val="000000"/>
        </w:rPr>
        <w:t xml:space="preserve"> and peak ~220–250 </w:t>
      </w:r>
      <w:proofErr w:type="spellStart"/>
      <w:r>
        <w:rPr>
          <w:rFonts w:ascii="inter" w:eastAsia="inter" w:hAnsi="inter" w:cs="inter"/>
          <w:color w:val="000000"/>
        </w:rPr>
        <w:t>ms.</w:t>
      </w:r>
      <w:bookmarkStart w:id="65" w:name="fnref6_4"/>
      <w:bookmarkEnd w:id="65"/>
      <w:proofErr w:type="spellEnd"/>
      <w:r>
        <w:fldChar w:fldCharType="begin"/>
      </w:r>
      <w:r>
        <w:instrText>HYPERLINK \l "fn6" \h</w:instrText>
      </w:r>
      <w:r>
        <w:fldChar w:fldCharType="separate"/>
      </w:r>
      <w:r>
        <w:rPr>
          <w:rFonts w:ascii="inter" w:eastAsia="inter" w:hAnsi="inter" w:cs="inter"/>
          <w:u w:val="single"/>
          <w:vertAlign w:val="superscript"/>
        </w:rPr>
        <w:t>[6]</w:t>
      </w:r>
      <w:r>
        <w:fldChar w:fldCharType="end"/>
      </w:r>
    </w:p>
    <w:p w14:paraId="1E086C37" w14:textId="77777777" w:rsidR="00B1511E" w:rsidRDefault="00000000">
      <w:pPr>
        <w:spacing w:after="210" w:line="360" w:lineRule="auto"/>
      </w:pPr>
      <w:r>
        <w:rPr>
          <w:rFonts w:ascii="inter" w:eastAsia="inter" w:hAnsi="inter" w:cs="inter"/>
          <w:color w:val="000000"/>
        </w:rPr>
        <w:t xml:space="preserve">Given these timings, </w:t>
      </w:r>
      <w:r>
        <w:rPr>
          <w:rFonts w:ascii="inter" w:eastAsia="inter" w:hAnsi="inter" w:cs="inter"/>
          <w:b/>
          <w:color w:val="000000"/>
        </w:rPr>
        <w:t xml:space="preserve">the earliest activation of amygdala–PAG survival circuits precedes classical prefrontal evaluation by at least ~100 </w:t>
      </w:r>
      <w:proofErr w:type="spellStart"/>
      <w:r>
        <w:rPr>
          <w:rFonts w:ascii="inter" w:eastAsia="inter" w:hAnsi="inter" w:cs="inter"/>
          <w:b/>
          <w:color w:val="000000"/>
        </w:rPr>
        <w:t>ms</w:t>
      </w:r>
      <w:proofErr w:type="spellEnd"/>
      <w:r>
        <w:rPr>
          <w:rFonts w:ascii="inter" w:eastAsia="inter" w:hAnsi="inter" w:cs="inter"/>
          <w:color w:val="000000"/>
        </w:rPr>
        <w:t xml:space="preserve"> and in some paradigms by ~150–200 </w:t>
      </w:r>
      <w:proofErr w:type="spellStart"/>
      <w:r>
        <w:rPr>
          <w:rFonts w:ascii="inter" w:eastAsia="inter" w:hAnsi="inter" w:cs="inter"/>
          <w:color w:val="000000"/>
        </w:rPr>
        <w:t>ms.</w:t>
      </w:r>
      <w:proofErr w:type="spellEnd"/>
    </w:p>
    <w:p w14:paraId="442C37A6" w14:textId="77777777" w:rsidR="00B1511E" w:rsidRDefault="00000000">
      <w:pPr>
        <w:spacing w:before="315" w:after="105" w:line="360" w:lineRule="auto"/>
        <w:ind w:left="-30"/>
      </w:pPr>
      <w:bookmarkStart w:id="66" w:name="behavioral_freeze_latencies_vs_co_7c3bcd"/>
      <w:r>
        <w:rPr>
          <w:rFonts w:ascii="inter" w:eastAsia="inter" w:hAnsi="inter" w:cs="inter"/>
          <w:b/>
          <w:color w:val="000000"/>
          <w:sz w:val="24"/>
        </w:rPr>
        <w:t>Behavioral freeze latencies vs cognitive evaluation</w:t>
      </w:r>
      <w:bookmarkEnd w:id="66"/>
    </w:p>
    <w:p w14:paraId="6F5FA196" w14:textId="77777777" w:rsidR="00B1511E" w:rsidRDefault="00000000">
      <w:pPr>
        <w:spacing w:after="210" w:line="360" w:lineRule="auto"/>
      </w:pPr>
      <w:r>
        <w:rPr>
          <w:rFonts w:ascii="inter" w:eastAsia="inter" w:hAnsi="inter" w:cs="inter"/>
          <w:color w:val="000000"/>
        </w:rPr>
        <w:t>Overt freezing as measured in humans—bradycardia and reduced sway—develops over several hundred milliseconds to seconds after threat cues in picture‑viewing and threat‑of‑shock paradigms. By that point, some cortical processing is certainly ongoing.</w:t>
      </w:r>
      <w:bookmarkStart w:id="67" w:name="fnref5_5"/>
      <w:bookmarkEnd w:id="67"/>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68" w:name="fnref2_11"/>
      <w:bookmarkEnd w:id="68"/>
      <w:r>
        <w:fldChar w:fldCharType="begin"/>
      </w:r>
      <w:r>
        <w:instrText>HYPERLINK \l "fn2" \h</w:instrText>
      </w:r>
      <w:r>
        <w:fldChar w:fldCharType="separate"/>
      </w:r>
      <w:r>
        <w:rPr>
          <w:rFonts w:ascii="inter" w:eastAsia="inter" w:hAnsi="inter" w:cs="inter"/>
          <w:u w:val="single"/>
          <w:vertAlign w:val="superscript"/>
        </w:rPr>
        <w:t>[2]</w:t>
      </w:r>
      <w:r>
        <w:fldChar w:fldCharType="end"/>
      </w:r>
    </w:p>
    <w:p w14:paraId="42C6DFDE" w14:textId="77777777" w:rsidR="00B1511E" w:rsidRDefault="00000000">
      <w:pPr>
        <w:spacing w:after="210" w:line="360" w:lineRule="auto"/>
      </w:pPr>
      <w:r>
        <w:rPr>
          <w:rFonts w:ascii="inter" w:eastAsia="inter" w:hAnsi="inter" w:cs="inter"/>
          <w:color w:val="000000"/>
        </w:rPr>
        <w:t>However:</w:t>
      </w:r>
    </w:p>
    <w:p w14:paraId="62872289" w14:textId="77777777" w:rsidR="00B1511E" w:rsidRDefault="00000000">
      <w:pPr>
        <w:numPr>
          <w:ilvl w:val="0"/>
          <w:numId w:val="11"/>
        </w:numPr>
        <w:spacing w:before="105" w:after="105" w:line="360" w:lineRule="auto"/>
      </w:pPr>
      <w:r>
        <w:rPr>
          <w:rFonts w:ascii="inter" w:eastAsia="inter" w:hAnsi="inter" w:cs="inter"/>
          <w:color w:val="000000"/>
        </w:rPr>
        <w:t xml:space="preserve">The </w:t>
      </w:r>
      <w:r>
        <w:rPr>
          <w:rFonts w:ascii="inter" w:eastAsia="inter" w:hAnsi="inter" w:cs="inter"/>
          <w:b/>
          <w:color w:val="000000"/>
        </w:rPr>
        <w:t xml:space="preserve">initial “brake” signal from </w:t>
      </w:r>
      <w:proofErr w:type="spellStart"/>
      <w:r>
        <w:rPr>
          <w:rFonts w:ascii="inter" w:eastAsia="inter" w:hAnsi="inter" w:cs="inter"/>
          <w:b/>
          <w:color w:val="000000"/>
        </w:rPr>
        <w:t>vlPAG</w:t>
      </w:r>
      <w:proofErr w:type="spellEnd"/>
      <w:r>
        <w:rPr>
          <w:rFonts w:ascii="inter" w:eastAsia="inter" w:hAnsi="inter" w:cs="inter"/>
          <w:b/>
          <w:color w:val="000000"/>
        </w:rPr>
        <w:t xml:space="preserve"> to motor systems</w:t>
      </w:r>
      <w:r>
        <w:rPr>
          <w:rFonts w:ascii="inter" w:eastAsia="inter" w:hAnsi="inter" w:cs="inter"/>
          <w:color w:val="000000"/>
        </w:rPr>
        <w:t xml:space="preserve"> can be set up extremely quickly (tens of </w:t>
      </w:r>
      <w:proofErr w:type="spellStart"/>
      <w:r>
        <w:rPr>
          <w:rFonts w:ascii="inter" w:eastAsia="inter" w:hAnsi="inter" w:cs="inter"/>
          <w:color w:val="000000"/>
        </w:rPr>
        <w:t>ms</w:t>
      </w:r>
      <w:proofErr w:type="spellEnd"/>
      <w:r>
        <w:rPr>
          <w:rFonts w:ascii="inter" w:eastAsia="inter" w:hAnsi="inter" w:cs="inter"/>
          <w:color w:val="000000"/>
        </w:rPr>
        <w:t xml:space="preserve"> in animals; plausibly &lt;200 </w:t>
      </w:r>
      <w:proofErr w:type="spellStart"/>
      <w:r>
        <w:rPr>
          <w:rFonts w:ascii="inter" w:eastAsia="inter" w:hAnsi="inter" w:cs="inter"/>
          <w:color w:val="000000"/>
        </w:rPr>
        <w:t>ms</w:t>
      </w:r>
      <w:proofErr w:type="spellEnd"/>
      <w:r>
        <w:rPr>
          <w:rFonts w:ascii="inter" w:eastAsia="inter" w:hAnsi="inter" w:cs="inter"/>
          <w:color w:val="000000"/>
        </w:rPr>
        <w:t xml:space="preserve"> in humans) based on subcortical evaluation.</w:t>
      </w:r>
    </w:p>
    <w:p w14:paraId="7544C845" w14:textId="77777777" w:rsidR="00B1511E" w:rsidRDefault="00000000">
      <w:pPr>
        <w:numPr>
          <w:ilvl w:val="0"/>
          <w:numId w:val="11"/>
        </w:numPr>
        <w:spacing w:before="105" w:after="105" w:line="360" w:lineRule="auto"/>
      </w:pPr>
      <w:r>
        <w:rPr>
          <w:rFonts w:ascii="inter" w:eastAsia="inter" w:hAnsi="inter" w:cs="inter"/>
          <w:b/>
          <w:color w:val="000000"/>
        </w:rPr>
        <w:t>Cortical cost–benefit evaluation</w:t>
      </w:r>
      <w:r>
        <w:rPr>
          <w:rFonts w:ascii="inter" w:eastAsia="inter" w:hAnsi="inter" w:cs="inter"/>
          <w:color w:val="000000"/>
        </w:rPr>
        <w:t xml:space="preserve">, particularly the kind involving </w:t>
      </w:r>
      <w:proofErr w:type="spellStart"/>
      <w:r>
        <w:rPr>
          <w:rFonts w:ascii="inter" w:eastAsia="inter" w:hAnsi="inter" w:cs="inter"/>
          <w:color w:val="000000"/>
        </w:rPr>
        <w:t>dACC</w:t>
      </w:r>
      <w:proofErr w:type="spellEnd"/>
      <w:r>
        <w:rPr>
          <w:rFonts w:ascii="inter" w:eastAsia="inter" w:hAnsi="inter" w:cs="inter"/>
          <w:color w:val="000000"/>
        </w:rPr>
        <w:t>/</w:t>
      </w:r>
      <w:proofErr w:type="spellStart"/>
      <w:r>
        <w:rPr>
          <w:rFonts w:ascii="inter" w:eastAsia="inter" w:hAnsi="inter" w:cs="inter"/>
          <w:color w:val="000000"/>
        </w:rPr>
        <w:t>dlPFC</w:t>
      </w:r>
      <w:proofErr w:type="spellEnd"/>
      <w:r>
        <w:rPr>
          <w:rFonts w:ascii="inter" w:eastAsia="inter" w:hAnsi="inter" w:cs="inter"/>
          <w:color w:val="000000"/>
        </w:rPr>
        <w:t xml:space="preserve"> conflict monitoring and explicit trade‑offs, typically unfolds in the 200–600 </w:t>
      </w:r>
      <w:proofErr w:type="spellStart"/>
      <w:r>
        <w:rPr>
          <w:rFonts w:ascii="inter" w:eastAsia="inter" w:hAnsi="inter" w:cs="inter"/>
          <w:color w:val="000000"/>
        </w:rPr>
        <w:t>ms</w:t>
      </w:r>
      <w:proofErr w:type="spellEnd"/>
      <w:r>
        <w:rPr>
          <w:rFonts w:ascii="inter" w:eastAsia="inter" w:hAnsi="inter" w:cs="inter"/>
          <w:color w:val="000000"/>
        </w:rPr>
        <w:t xml:space="preserve"> window and beyond, and in decision </w:t>
      </w:r>
      <w:proofErr w:type="gramStart"/>
      <w:r>
        <w:rPr>
          <w:rFonts w:ascii="inter" w:eastAsia="inter" w:hAnsi="inter" w:cs="inter"/>
          <w:color w:val="000000"/>
        </w:rPr>
        <w:t>tasks</w:t>
      </w:r>
      <w:proofErr w:type="gramEnd"/>
      <w:r>
        <w:rPr>
          <w:rFonts w:ascii="inter" w:eastAsia="inter" w:hAnsi="inter" w:cs="inter"/>
          <w:color w:val="000000"/>
        </w:rPr>
        <w:t xml:space="preserve"> reaction times are on the order of &gt;500 </w:t>
      </w:r>
      <w:proofErr w:type="spellStart"/>
      <w:r>
        <w:rPr>
          <w:rFonts w:ascii="inter" w:eastAsia="inter" w:hAnsi="inter" w:cs="inter"/>
          <w:color w:val="000000"/>
        </w:rPr>
        <w:t>ms.</w:t>
      </w:r>
      <w:proofErr w:type="spellEnd"/>
    </w:p>
    <w:p w14:paraId="6AC3EB7C" w14:textId="77777777" w:rsidR="00B1511E" w:rsidRDefault="00000000">
      <w:pPr>
        <w:spacing w:after="210" w:line="360" w:lineRule="auto"/>
      </w:pPr>
      <w:r>
        <w:rPr>
          <w:rFonts w:ascii="inter" w:eastAsia="inter" w:hAnsi="inter" w:cs="inter"/>
          <w:color w:val="000000"/>
        </w:rPr>
        <w:t xml:space="preserve">Mobbs’ threat‑imminence work fits this: during distal threat, </w:t>
      </w:r>
      <w:proofErr w:type="spellStart"/>
      <w:r>
        <w:rPr>
          <w:rFonts w:ascii="inter" w:eastAsia="inter" w:hAnsi="inter" w:cs="inter"/>
          <w:color w:val="000000"/>
        </w:rPr>
        <w:t>vmPFC</w:t>
      </w:r>
      <w:proofErr w:type="spellEnd"/>
      <w:r>
        <w:rPr>
          <w:rFonts w:ascii="inter" w:eastAsia="inter" w:hAnsi="inter" w:cs="inter"/>
          <w:color w:val="000000"/>
        </w:rPr>
        <w:t xml:space="preserve">/BLA are active and likely evaluating alternative actions; as threat becomes proximal, there is a </w:t>
      </w:r>
      <w:r>
        <w:rPr>
          <w:rFonts w:ascii="inter" w:eastAsia="inter" w:hAnsi="inter" w:cs="inter"/>
          <w:b/>
          <w:color w:val="000000"/>
        </w:rPr>
        <w:t>shift to PAG‑dominated activity</w:t>
      </w:r>
      <w:r>
        <w:rPr>
          <w:rFonts w:ascii="inter" w:eastAsia="inter" w:hAnsi="inter" w:cs="inter"/>
          <w:color w:val="000000"/>
        </w:rPr>
        <w:t xml:space="preserve"> and </w:t>
      </w:r>
      <w:proofErr w:type="spellStart"/>
      <w:r>
        <w:rPr>
          <w:rFonts w:ascii="inter" w:eastAsia="inter" w:hAnsi="inter" w:cs="inter"/>
          <w:color w:val="000000"/>
        </w:rPr>
        <w:t>vmPFC</w:t>
      </w:r>
      <w:proofErr w:type="spellEnd"/>
      <w:r>
        <w:rPr>
          <w:rFonts w:ascii="inter" w:eastAsia="inter" w:hAnsi="inter" w:cs="inter"/>
          <w:color w:val="000000"/>
        </w:rPr>
        <w:t xml:space="preserve"> activity diminishes, consistent with midbrain circuits taking over when “a fast and indeed obligatory response is required.” Qi et al. show that when attack is fast (little time), reactive circuits (PAG/MCC) dominate escape decisions; when attack is slow, cognitive circuits (</w:t>
      </w:r>
      <w:proofErr w:type="spellStart"/>
      <w:r>
        <w:rPr>
          <w:rFonts w:ascii="inter" w:eastAsia="inter" w:hAnsi="inter" w:cs="inter"/>
          <w:color w:val="000000"/>
        </w:rPr>
        <w:t>vmPFC</w:t>
      </w:r>
      <w:proofErr w:type="spellEnd"/>
      <w:r>
        <w:rPr>
          <w:rFonts w:ascii="inter" w:eastAsia="inter" w:hAnsi="inter" w:cs="inter"/>
          <w:color w:val="000000"/>
        </w:rPr>
        <w:t>/hippocampus/PCC) have time to optimize behavior.</w:t>
      </w:r>
      <w:bookmarkStart w:id="69" w:name="fnref9_5"/>
      <w:bookmarkEnd w:id="69"/>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70" w:name="fnref1_8"/>
      <w:bookmarkEnd w:id="70"/>
      <w:r>
        <w:fldChar w:fldCharType="begin"/>
      </w:r>
      <w:r>
        <w:instrText>HYPERLINK \l "fn1" \h</w:instrText>
      </w:r>
      <w:r>
        <w:fldChar w:fldCharType="separate"/>
      </w:r>
      <w:r>
        <w:rPr>
          <w:rFonts w:ascii="inter" w:eastAsia="inter" w:hAnsi="inter" w:cs="inter"/>
          <w:u w:val="single"/>
          <w:vertAlign w:val="superscript"/>
        </w:rPr>
        <w:t>[1]</w:t>
      </w:r>
      <w:r>
        <w:fldChar w:fldCharType="end"/>
      </w:r>
    </w:p>
    <w:p w14:paraId="792DEDF4" w14:textId="77777777" w:rsidR="00B1511E" w:rsidRDefault="00000000">
      <w:pPr>
        <w:spacing w:after="210" w:line="360" w:lineRule="auto"/>
      </w:pPr>
      <w:r>
        <w:rPr>
          <w:rFonts w:ascii="inter" w:eastAsia="inter" w:hAnsi="inter" w:cs="inter"/>
          <w:color w:val="000000"/>
        </w:rPr>
        <w:t xml:space="preserve">Thus, </w:t>
      </w:r>
      <w:r>
        <w:rPr>
          <w:rFonts w:ascii="inter" w:eastAsia="inter" w:hAnsi="inter" w:cs="inter"/>
          <w:b/>
          <w:color w:val="000000"/>
        </w:rPr>
        <w:t>freeze onset at the neural level clearly occurs before full cortical goal evaluation could complete</w:t>
      </w:r>
      <w:r>
        <w:rPr>
          <w:rFonts w:ascii="inter" w:eastAsia="inter" w:hAnsi="inter" w:cs="inter"/>
          <w:color w:val="000000"/>
        </w:rPr>
        <w:t>. What cortical evaluation does is:</w:t>
      </w:r>
    </w:p>
    <w:p w14:paraId="720E97C8" w14:textId="77777777" w:rsidR="00B1511E" w:rsidRDefault="00000000">
      <w:pPr>
        <w:numPr>
          <w:ilvl w:val="0"/>
          <w:numId w:val="12"/>
        </w:numPr>
        <w:spacing w:before="105" w:after="105" w:line="360" w:lineRule="auto"/>
      </w:pPr>
      <w:r>
        <w:rPr>
          <w:rFonts w:ascii="inter" w:eastAsia="inter" w:hAnsi="inter" w:cs="inter"/>
          <w:color w:val="000000"/>
        </w:rPr>
        <w:t xml:space="preserve">modulate the </w:t>
      </w:r>
      <w:r>
        <w:rPr>
          <w:rFonts w:ascii="inter" w:eastAsia="inter" w:hAnsi="inter" w:cs="inter"/>
          <w:b/>
          <w:color w:val="000000"/>
        </w:rPr>
        <w:t>likelihood</w:t>
      </w:r>
      <w:r>
        <w:rPr>
          <w:rFonts w:ascii="inter" w:eastAsia="inter" w:hAnsi="inter" w:cs="inter"/>
          <w:color w:val="000000"/>
        </w:rPr>
        <w:t xml:space="preserve"> that subcortical circuits cross threshold (e.g., via prior expectations, controllability, learned value), and</w:t>
      </w:r>
    </w:p>
    <w:p w14:paraId="34E1D476" w14:textId="77777777" w:rsidR="00B1511E" w:rsidRDefault="00000000">
      <w:pPr>
        <w:numPr>
          <w:ilvl w:val="0"/>
          <w:numId w:val="12"/>
        </w:numPr>
        <w:spacing w:before="105" w:after="105" w:line="360" w:lineRule="auto"/>
      </w:pPr>
      <w:r>
        <w:rPr>
          <w:rFonts w:ascii="inter" w:eastAsia="inter" w:hAnsi="inter" w:cs="inter"/>
          <w:color w:val="000000"/>
        </w:rPr>
        <w:t xml:space="preserve">influence the </w:t>
      </w:r>
      <w:r>
        <w:rPr>
          <w:rFonts w:ascii="inter" w:eastAsia="inter" w:hAnsi="inter" w:cs="inter"/>
          <w:b/>
          <w:color w:val="000000"/>
        </w:rPr>
        <w:t>duration and transformation</w:t>
      </w:r>
      <w:r>
        <w:rPr>
          <w:rFonts w:ascii="inter" w:eastAsia="inter" w:hAnsi="inter" w:cs="inter"/>
          <w:color w:val="000000"/>
        </w:rPr>
        <w:t xml:space="preserve"> of the freeze state (e.g., facilitate shift to fight/flight vs. prolonged immobility).</w:t>
      </w:r>
    </w:p>
    <w:p w14:paraId="56A06FA2" w14:textId="77777777" w:rsidR="00B1511E" w:rsidRDefault="00000000">
      <w:pPr>
        <w:spacing w:before="210" w:after="0" w:line="360" w:lineRule="auto"/>
      </w:pPr>
      <w:r>
        <w:rPr>
          <w:noProof/>
        </w:rPr>
      </w:r>
      <w:r>
        <w:rPr>
          <w:noProof/>
        </w:rPr>
        <w:pict w14:anchorId="3CBB55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3E77F9A" w14:textId="77777777" w:rsidR="00B1511E" w:rsidRDefault="00000000">
      <w:pPr>
        <w:spacing w:before="315" w:after="105" w:line="360" w:lineRule="auto"/>
        <w:ind w:left="-30"/>
      </w:pPr>
      <w:bookmarkStart w:id="71" w:name="bringing_it_back_to_your_two_conc_2c13dd"/>
      <w:r>
        <w:rPr>
          <w:rFonts w:ascii="inter" w:eastAsia="inter" w:hAnsi="inter" w:cs="inter"/>
          <w:b/>
          <w:color w:val="000000"/>
          <w:sz w:val="24"/>
        </w:rPr>
        <w:t>Bringing it back to your two conceptual options</w:t>
      </w:r>
      <w:bookmarkEnd w:id="71"/>
    </w:p>
    <w:p w14:paraId="43172A69" w14:textId="77777777" w:rsidR="00B1511E" w:rsidRDefault="00000000">
      <w:pPr>
        <w:spacing w:after="210" w:line="360" w:lineRule="auto"/>
      </w:pPr>
      <w:r>
        <w:rPr>
          <w:rFonts w:ascii="inter" w:eastAsia="inter" w:hAnsi="inter" w:cs="inter"/>
          <w:color w:val="000000"/>
        </w:rPr>
        <w:t>In the terms you proposed:</w:t>
      </w:r>
    </w:p>
    <w:p w14:paraId="6AC2D476" w14:textId="77777777" w:rsidR="00B1511E" w:rsidRDefault="00000000">
      <w:pPr>
        <w:numPr>
          <w:ilvl w:val="0"/>
          <w:numId w:val="13"/>
        </w:numPr>
        <w:spacing w:after="210" w:line="360" w:lineRule="auto"/>
      </w:pPr>
      <w:r>
        <w:rPr>
          <w:rFonts w:ascii="inter" w:eastAsia="inter" w:hAnsi="inter" w:cs="inter"/>
          <w:b/>
          <w:color w:val="000000"/>
        </w:rPr>
        <w:t>Pure pre‑volitional input constraint (bypass of goal evaluation):</w:t>
      </w:r>
    </w:p>
    <w:p w14:paraId="4F5D964C" w14:textId="77777777" w:rsidR="00B1511E" w:rsidRDefault="00000000">
      <w:pPr>
        <w:numPr>
          <w:ilvl w:val="1"/>
          <w:numId w:val="13"/>
        </w:numPr>
        <w:spacing w:before="105" w:after="105" w:line="360" w:lineRule="auto"/>
      </w:pPr>
      <w:r>
        <w:rPr>
          <w:rFonts w:ascii="inter" w:eastAsia="inter" w:hAnsi="inter" w:cs="inter"/>
          <w:color w:val="000000"/>
        </w:rPr>
        <w:t xml:space="preserve">The </w:t>
      </w:r>
      <w:r>
        <w:rPr>
          <w:rFonts w:ascii="inter" w:eastAsia="inter" w:hAnsi="inter" w:cs="inter"/>
          <w:b/>
          <w:color w:val="000000"/>
        </w:rPr>
        <w:t>initial triggering</w:t>
      </w:r>
      <w:r>
        <w:rPr>
          <w:rFonts w:ascii="inter" w:eastAsia="inter" w:hAnsi="inter" w:cs="inter"/>
          <w:color w:val="000000"/>
        </w:rPr>
        <w:t xml:space="preserve"> of trauma‑related freeze by the amygdala–</w:t>
      </w:r>
      <w:proofErr w:type="spellStart"/>
      <w:r>
        <w:rPr>
          <w:rFonts w:ascii="inter" w:eastAsia="inter" w:hAnsi="inter" w:cs="inter"/>
          <w:color w:val="000000"/>
        </w:rPr>
        <w:t>vlPAG</w:t>
      </w:r>
      <w:proofErr w:type="spellEnd"/>
      <w:r>
        <w:rPr>
          <w:rFonts w:ascii="inter" w:eastAsia="inter" w:hAnsi="inter" w:cs="inter"/>
          <w:color w:val="000000"/>
        </w:rPr>
        <w:t xml:space="preserve"> circuit is indeed </w:t>
      </w:r>
      <w:r>
        <w:rPr>
          <w:rFonts w:ascii="inter" w:eastAsia="inter" w:hAnsi="inter" w:cs="inter"/>
          <w:b/>
          <w:color w:val="000000"/>
        </w:rPr>
        <w:t>pre‑volitional and can occur via subcortical routes</w:t>
      </w:r>
      <w:r>
        <w:rPr>
          <w:rFonts w:ascii="inter" w:eastAsia="inter" w:hAnsi="inter" w:cs="inter"/>
          <w:color w:val="000000"/>
        </w:rPr>
        <w:t xml:space="preserve"> with latencies too short for full cortical cost–benefit computation.</w:t>
      </w:r>
      <w:bookmarkStart w:id="72" w:name="fnref7_3"/>
      <w:bookmarkEnd w:id="72"/>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73" w:name="fnref3_7"/>
      <w:bookmarkEnd w:id="73"/>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74" w:name="fnref6_5"/>
      <w:bookmarkEnd w:id="74"/>
      <w:r>
        <w:fldChar w:fldCharType="begin"/>
      </w:r>
      <w:r>
        <w:instrText>HYPERLINK \l "fn6" \h</w:instrText>
      </w:r>
      <w:r>
        <w:fldChar w:fldCharType="separate"/>
      </w:r>
      <w:r>
        <w:rPr>
          <w:rFonts w:ascii="inter" w:eastAsia="inter" w:hAnsi="inter" w:cs="inter"/>
          <w:u w:val="single"/>
          <w:vertAlign w:val="superscript"/>
        </w:rPr>
        <w:t>[6]</w:t>
      </w:r>
      <w:r>
        <w:fldChar w:fldCharType="end"/>
      </w:r>
    </w:p>
    <w:p w14:paraId="545BBCDF" w14:textId="77777777" w:rsidR="00B1511E" w:rsidRDefault="00000000">
      <w:pPr>
        <w:numPr>
          <w:ilvl w:val="1"/>
          <w:numId w:val="13"/>
        </w:numPr>
        <w:spacing w:before="105" w:after="105" w:line="360" w:lineRule="auto"/>
      </w:pPr>
      <w:r>
        <w:rPr>
          <w:rFonts w:ascii="inter" w:eastAsia="inter" w:hAnsi="inter" w:cs="inter"/>
          <w:color w:val="000000"/>
        </w:rPr>
        <w:t xml:space="preserve">This circuit behaves like an </w:t>
      </w:r>
      <w:r>
        <w:rPr>
          <w:rFonts w:ascii="inter" w:eastAsia="inter" w:hAnsi="inter" w:cs="inter"/>
          <w:b/>
          <w:color w:val="000000"/>
        </w:rPr>
        <w:t>intrinsic constraint</w:t>
      </w:r>
      <w:r>
        <w:rPr>
          <w:rFonts w:ascii="inter" w:eastAsia="inter" w:hAnsi="inter" w:cs="inter"/>
          <w:color w:val="000000"/>
        </w:rPr>
        <w:t>: if threat salience crosses a certain threshold in sensory/survival circuits (especially in contexts made hyper‑sensitive by prior trauma), PAG outputs can suppress ongoing motor programs regardless of current goals.</w:t>
      </w:r>
    </w:p>
    <w:p w14:paraId="5E6999FE" w14:textId="77777777" w:rsidR="00B1511E" w:rsidRDefault="00000000">
      <w:pPr>
        <w:numPr>
          <w:ilvl w:val="0"/>
          <w:numId w:val="13"/>
        </w:numPr>
        <w:spacing w:after="210" w:line="360" w:lineRule="auto"/>
      </w:pPr>
      <w:r>
        <w:rPr>
          <w:rFonts w:ascii="inter" w:eastAsia="inter" w:hAnsi="inter" w:cs="inter"/>
          <w:b/>
          <w:color w:val="000000"/>
        </w:rPr>
        <w:t>Extreme cost‑aversion within the evaluative system:</w:t>
      </w:r>
    </w:p>
    <w:p w14:paraId="14457D18" w14:textId="77777777" w:rsidR="00B1511E" w:rsidRDefault="00000000">
      <w:pPr>
        <w:numPr>
          <w:ilvl w:val="1"/>
          <w:numId w:val="13"/>
        </w:numPr>
        <w:spacing w:before="105" w:after="105" w:line="360" w:lineRule="auto"/>
      </w:pPr>
      <w:r>
        <w:rPr>
          <w:rFonts w:ascii="inter" w:eastAsia="inter" w:hAnsi="inter" w:cs="inter"/>
          <w:color w:val="000000"/>
        </w:rPr>
        <w:t xml:space="preserve">Over slightly longer windows (hundreds of </w:t>
      </w:r>
      <w:proofErr w:type="spellStart"/>
      <w:r>
        <w:rPr>
          <w:rFonts w:ascii="inter" w:eastAsia="inter" w:hAnsi="inter" w:cs="inter"/>
          <w:color w:val="000000"/>
        </w:rPr>
        <w:t>ms</w:t>
      </w:r>
      <w:proofErr w:type="spellEnd"/>
      <w:r>
        <w:rPr>
          <w:rFonts w:ascii="inter" w:eastAsia="inter" w:hAnsi="inter" w:cs="inter"/>
          <w:color w:val="000000"/>
        </w:rPr>
        <w:t xml:space="preserve"> </w:t>
      </w:r>
      <w:proofErr w:type="spellStart"/>
      <w:r>
        <w:rPr>
          <w:rFonts w:ascii="inter" w:eastAsia="inter" w:hAnsi="inter" w:cs="inter"/>
          <w:color w:val="000000"/>
        </w:rPr>
        <w:t>to</w:t>
      </w:r>
      <w:proofErr w:type="spellEnd"/>
      <w:r>
        <w:rPr>
          <w:rFonts w:ascii="inter" w:eastAsia="inter" w:hAnsi="inter" w:cs="inter"/>
          <w:color w:val="000000"/>
        </w:rPr>
        <w:t xml:space="preserve"> seconds), </w:t>
      </w:r>
      <w:r>
        <w:rPr>
          <w:rFonts w:ascii="inter" w:eastAsia="inter" w:hAnsi="inter" w:cs="inter"/>
          <w:b/>
          <w:color w:val="000000"/>
        </w:rPr>
        <w:t>cortical evaluative networks (</w:t>
      </w:r>
      <w:proofErr w:type="spellStart"/>
      <w:r>
        <w:rPr>
          <w:rFonts w:ascii="inter" w:eastAsia="inter" w:hAnsi="inter" w:cs="inter"/>
          <w:b/>
          <w:color w:val="000000"/>
        </w:rPr>
        <w:t>vmPFC</w:t>
      </w:r>
      <w:proofErr w:type="spellEnd"/>
      <w:r>
        <w:rPr>
          <w:rFonts w:ascii="inter" w:eastAsia="inter" w:hAnsi="inter" w:cs="inter"/>
          <w:b/>
          <w:color w:val="000000"/>
        </w:rPr>
        <w:t xml:space="preserve">, </w:t>
      </w:r>
      <w:proofErr w:type="spellStart"/>
      <w:r>
        <w:rPr>
          <w:rFonts w:ascii="inter" w:eastAsia="inter" w:hAnsi="inter" w:cs="inter"/>
          <w:b/>
          <w:color w:val="000000"/>
        </w:rPr>
        <w:t>dACC</w:t>
      </w:r>
      <w:proofErr w:type="spellEnd"/>
      <w:r>
        <w:rPr>
          <w:rFonts w:ascii="inter" w:eastAsia="inter" w:hAnsi="inter" w:cs="inter"/>
          <w:b/>
          <w:color w:val="000000"/>
        </w:rPr>
        <w:t xml:space="preserve">/MCC, anterior insula, </w:t>
      </w:r>
      <w:proofErr w:type="spellStart"/>
      <w:r>
        <w:rPr>
          <w:rFonts w:ascii="inter" w:eastAsia="inter" w:hAnsi="inter" w:cs="inter"/>
          <w:b/>
          <w:color w:val="000000"/>
        </w:rPr>
        <w:t>dlPFC</w:t>
      </w:r>
      <w:proofErr w:type="spellEnd"/>
      <w:r>
        <w:rPr>
          <w:rFonts w:ascii="inter" w:eastAsia="inter" w:hAnsi="inter" w:cs="inter"/>
          <w:b/>
          <w:color w:val="000000"/>
        </w:rPr>
        <w:t>)</w:t>
      </w:r>
      <w:r>
        <w:rPr>
          <w:rFonts w:ascii="inter" w:eastAsia="inter" w:hAnsi="inter" w:cs="inter"/>
          <w:color w:val="000000"/>
        </w:rPr>
        <w:t xml:space="preserve"> interact bidirectionally with survival circuits, computing threat imminence, expected pain, controllability, and reward trade‑offs, and these signals modulate freezing, escape, or fight.</w:t>
      </w:r>
      <w:bookmarkStart w:id="75" w:name="fnref15"/>
      <w:bookmarkEnd w:id="75"/>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76" w:name="fnref10_3"/>
      <w:bookmarkEnd w:id="76"/>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77" w:name="fnref1_9"/>
      <w:bookmarkEnd w:id="77"/>
      <w:r>
        <w:fldChar w:fldCharType="begin"/>
      </w:r>
      <w:r>
        <w:instrText>HYPERLINK \l "fn1" \h</w:instrText>
      </w:r>
      <w:r>
        <w:fldChar w:fldCharType="separate"/>
      </w:r>
      <w:r>
        <w:rPr>
          <w:rFonts w:ascii="inter" w:eastAsia="inter" w:hAnsi="inter" w:cs="inter"/>
          <w:u w:val="single"/>
          <w:vertAlign w:val="superscript"/>
        </w:rPr>
        <w:t>[1]</w:t>
      </w:r>
      <w:r>
        <w:fldChar w:fldCharType="end"/>
      </w:r>
    </w:p>
    <w:p w14:paraId="48DCB0B3" w14:textId="77777777" w:rsidR="00B1511E" w:rsidRDefault="00000000">
      <w:pPr>
        <w:numPr>
          <w:ilvl w:val="1"/>
          <w:numId w:val="13"/>
        </w:numPr>
        <w:spacing w:before="105" w:after="105" w:line="360" w:lineRule="auto"/>
      </w:pPr>
      <w:r>
        <w:rPr>
          <w:rFonts w:ascii="inter" w:eastAsia="inter" w:hAnsi="inter" w:cs="inter"/>
          <w:color w:val="000000"/>
        </w:rPr>
        <w:t xml:space="preserve">In chronic trauma and anxiety, these evaluative systems may be biased such that </w:t>
      </w:r>
      <w:r>
        <w:rPr>
          <w:rFonts w:ascii="inter" w:eastAsia="inter" w:hAnsi="inter" w:cs="inter"/>
          <w:b/>
          <w:color w:val="000000"/>
        </w:rPr>
        <w:t>anticipated re‑traumatization cost is over‑weighted</w:t>
      </w:r>
      <w:r>
        <w:rPr>
          <w:rFonts w:ascii="inter" w:eastAsia="inter" w:hAnsi="inter" w:cs="inter"/>
          <w:color w:val="000000"/>
        </w:rPr>
        <w:t>, lowering the threshold for PAG‑mediated inhibition and making freeze more likely and more persistent in ambiguous situations.</w:t>
      </w:r>
    </w:p>
    <w:p w14:paraId="55739898" w14:textId="77777777" w:rsidR="00B1511E" w:rsidRDefault="00000000">
      <w:pPr>
        <w:spacing w:after="210" w:line="360" w:lineRule="auto"/>
      </w:pPr>
      <w:r>
        <w:rPr>
          <w:rFonts w:ascii="inter" w:eastAsia="inter" w:hAnsi="inter" w:cs="inter"/>
          <w:color w:val="000000"/>
        </w:rPr>
        <w:t xml:space="preserve">Empirically, the system looks like a </w:t>
      </w:r>
      <w:r>
        <w:rPr>
          <w:rFonts w:ascii="inter" w:eastAsia="inter" w:hAnsi="inter" w:cs="inter"/>
          <w:b/>
          <w:color w:val="000000"/>
        </w:rPr>
        <w:t>two‑tier architecture</w:t>
      </w:r>
      <w:r>
        <w:rPr>
          <w:rFonts w:ascii="inter" w:eastAsia="inter" w:hAnsi="inter" w:cs="inter"/>
          <w:color w:val="000000"/>
        </w:rPr>
        <w:t xml:space="preserve"> (very close to LeDoux’s “two‑system” and Mobbs’ “cognitive vs reactive fear” frameworks):</w:t>
      </w:r>
    </w:p>
    <w:p w14:paraId="4EB1E9B1" w14:textId="77777777" w:rsidR="00B1511E" w:rsidRDefault="00000000">
      <w:pPr>
        <w:numPr>
          <w:ilvl w:val="0"/>
          <w:numId w:val="14"/>
        </w:numPr>
        <w:spacing w:before="105" w:after="105" w:line="360" w:lineRule="auto"/>
      </w:pPr>
      <w:r>
        <w:rPr>
          <w:rFonts w:ascii="inter" w:eastAsia="inter" w:hAnsi="inter" w:cs="inter"/>
          <w:color w:val="000000"/>
        </w:rPr>
        <w:t xml:space="preserve">A </w:t>
      </w:r>
      <w:r>
        <w:rPr>
          <w:rFonts w:ascii="inter" w:eastAsia="inter" w:hAnsi="inter" w:cs="inter"/>
          <w:b/>
          <w:color w:val="000000"/>
        </w:rPr>
        <w:t>fast, largely pre‑volitional survival circuit</w:t>
      </w:r>
      <w:r>
        <w:rPr>
          <w:rFonts w:ascii="inter" w:eastAsia="inter" w:hAnsi="inter" w:cs="inter"/>
          <w:color w:val="000000"/>
        </w:rPr>
        <w:t xml:space="preserve"> (thalamus/sensory → amygdala → hypothalamus/PAG/brainstem) that implements basic defensive modes, including freezing and tonic immobility.</w:t>
      </w:r>
    </w:p>
    <w:p w14:paraId="1A5F096A" w14:textId="77777777" w:rsidR="00B1511E" w:rsidRDefault="00000000">
      <w:pPr>
        <w:numPr>
          <w:ilvl w:val="0"/>
          <w:numId w:val="14"/>
        </w:numPr>
        <w:spacing w:before="105" w:after="105" w:line="360" w:lineRule="auto"/>
      </w:pPr>
      <w:r>
        <w:rPr>
          <w:rFonts w:ascii="inter" w:eastAsia="inter" w:hAnsi="inter" w:cs="inter"/>
          <w:color w:val="000000"/>
        </w:rPr>
        <w:t xml:space="preserve">A </w:t>
      </w:r>
      <w:r>
        <w:rPr>
          <w:rFonts w:ascii="inter" w:eastAsia="inter" w:hAnsi="inter" w:cs="inter"/>
          <w:b/>
          <w:color w:val="000000"/>
        </w:rPr>
        <w:t>slower, flexible evaluative circuit</w:t>
      </w:r>
      <w:r>
        <w:rPr>
          <w:rFonts w:ascii="inter" w:eastAsia="inter" w:hAnsi="inter" w:cs="inter"/>
          <w:color w:val="000000"/>
        </w:rPr>
        <w:t xml:space="preserve"> (</w:t>
      </w:r>
      <w:proofErr w:type="spellStart"/>
      <w:r>
        <w:rPr>
          <w:rFonts w:ascii="inter" w:eastAsia="inter" w:hAnsi="inter" w:cs="inter"/>
          <w:color w:val="000000"/>
        </w:rPr>
        <w:t>vmPFC</w:t>
      </w:r>
      <w:proofErr w:type="spellEnd"/>
      <w:r>
        <w:rPr>
          <w:rFonts w:ascii="inter" w:eastAsia="inter" w:hAnsi="inter" w:cs="inter"/>
          <w:color w:val="000000"/>
        </w:rPr>
        <w:t xml:space="preserve">, </w:t>
      </w:r>
      <w:proofErr w:type="spellStart"/>
      <w:r>
        <w:rPr>
          <w:rFonts w:ascii="inter" w:eastAsia="inter" w:hAnsi="inter" w:cs="inter"/>
          <w:color w:val="000000"/>
        </w:rPr>
        <w:t>dlPFC</w:t>
      </w:r>
      <w:proofErr w:type="spellEnd"/>
      <w:r>
        <w:rPr>
          <w:rFonts w:ascii="inter" w:eastAsia="inter" w:hAnsi="inter" w:cs="inter"/>
          <w:color w:val="000000"/>
        </w:rPr>
        <w:t xml:space="preserve">, </w:t>
      </w:r>
      <w:proofErr w:type="spellStart"/>
      <w:r>
        <w:rPr>
          <w:rFonts w:ascii="inter" w:eastAsia="inter" w:hAnsi="inter" w:cs="inter"/>
          <w:color w:val="000000"/>
        </w:rPr>
        <w:t>dACC</w:t>
      </w:r>
      <w:proofErr w:type="spellEnd"/>
      <w:r>
        <w:rPr>
          <w:rFonts w:ascii="inter" w:eastAsia="inter" w:hAnsi="inter" w:cs="inter"/>
          <w:color w:val="000000"/>
        </w:rPr>
        <w:t>/MCC, insula, hippocampus, BLA) that learns, predicts, and arbitrates between options, and exerts top‑down control over survival circuits when time and controllability permit.</w:t>
      </w:r>
    </w:p>
    <w:p w14:paraId="4AF8E061" w14:textId="77777777" w:rsidR="00B1511E" w:rsidRDefault="00000000">
      <w:pPr>
        <w:spacing w:after="210" w:line="360" w:lineRule="auto"/>
      </w:pPr>
      <w:r>
        <w:rPr>
          <w:rFonts w:ascii="inter" w:eastAsia="inter" w:hAnsi="inter" w:cs="inter"/>
          <w:color w:val="000000"/>
        </w:rPr>
        <w:t xml:space="preserve">Trauma‑related freeze is therefore </w:t>
      </w:r>
      <w:r>
        <w:rPr>
          <w:rFonts w:ascii="inter" w:eastAsia="inter" w:hAnsi="inter" w:cs="inter"/>
          <w:b/>
          <w:color w:val="000000"/>
        </w:rPr>
        <w:t>not simply a calculated “don’t act” from the goal system</w:t>
      </w:r>
      <w:r>
        <w:rPr>
          <w:rFonts w:ascii="inter" w:eastAsia="inter" w:hAnsi="inter" w:cs="inter"/>
          <w:color w:val="000000"/>
        </w:rPr>
        <w:t xml:space="preserve">, but neither is it a completely sealed‑off spinal reflex. It is a </w:t>
      </w:r>
      <w:r>
        <w:rPr>
          <w:rFonts w:ascii="inter" w:eastAsia="inter" w:hAnsi="inter" w:cs="inter"/>
          <w:b/>
          <w:color w:val="000000"/>
        </w:rPr>
        <w:t>pre‑volitional survival constraint whose thresholds and release are shaped by motivational and evaluative circuitry</w:t>
      </w:r>
      <w:r>
        <w:rPr>
          <w:rFonts w:ascii="inter" w:eastAsia="inter" w:hAnsi="inter" w:cs="inter"/>
          <w:color w:val="000000"/>
        </w:rPr>
        <w:t>, both acutely and over development.</w:t>
      </w:r>
      <w:r>
        <w:rPr>
          <w:rFonts w:ascii="inter" w:eastAsia="inter" w:hAnsi="inter" w:cs="inter"/>
          <w:color w:val="000000"/>
        </w:rPr>
        <w:br/>
      </w:r>
    </w:p>
    <w:p w14:paraId="48C4BDE8" w14:textId="77777777" w:rsidR="00B1511E" w:rsidRDefault="00000000">
      <w:pPr>
        <w:spacing w:line="360" w:lineRule="auto"/>
      </w:pPr>
      <w:r>
        <w:rPr>
          <w:rFonts w:ascii="inter" w:eastAsia="inter" w:hAnsi="inter" w:cs="inter"/>
          <w:color w:val="000000"/>
        </w:rPr>
        <w:t>⁂</w:t>
      </w:r>
    </w:p>
    <w:p w14:paraId="3EB650DD" w14:textId="77777777" w:rsidR="00B1511E" w:rsidRDefault="00000000">
      <w:pPr>
        <w:spacing w:before="210" w:after="0" w:line="360" w:lineRule="auto"/>
      </w:pPr>
      <w:r>
        <w:rPr>
          <w:noProof/>
        </w:rPr>
      </w:r>
      <w:r>
        <w:rPr>
          <w:noProof/>
        </w:rPr>
        <w:pict w14:anchorId="64107D9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78" w:name="fn1"/>
    <w:bookmarkEnd w:id="78"/>
    <w:p w14:paraId="7348F11E" w14:textId="77777777" w:rsidR="00B1511E" w:rsidRDefault="00000000">
      <w:pPr>
        <w:numPr>
          <w:ilvl w:val="0"/>
          <w:numId w:val="16"/>
        </w:numPr>
        <w:spacing w:after="210" w:line="360" w:lineRule="auto"/>
      </w:pPr>
      <w:r>
        <w:fldChar w:fldCharType="begin"/>
      </w:r>
      <w:r>
        <w:instrText>HYPERLINK "https://pmc.ncbi.nlm.nih.gov/articles/PMC5866541/" \h</w:instrText>
      </w:r>
      <w:r>
        <w:fldChar w:fldCharType="separate"/>
      </w:r>
      <w:r>
        <w:rPr>
          <w:rFonts w:ascii="inter" w:eastAsia="inter" w:hAnsi="inter" w:cs="inter"/>
          <w:sz w:val="18"/>
          <w:u w:val="single"/>
        </w:rPr>
        <w:t>https://pmc.ncbi.nlm.nih.gov/articles/PMC5866541/</w:t>
      </w:r>
      <w:r>
        <w:fldChar w:fldCharType="end"/>
      </w:r>
      <w:r>
        <w:rPr>
          <w:rFonts w:ascii="inter" w:eastAsia="inter" w:hAnsi="inter" w:cs="inter"/>
          <w:color w:val="000000"/>
          <w:sz w:val="18"/>
        </w:rPr>
        <w:t xml:space="preserve">          </w:t>
      </w:r>
    </w:p>
    <w:bookmarkStart w:id="79" w:name="fn2"/>
    <w:bookmarkEnd w:id="79"/>
    <w:p w14:paraId="50570D00" w14:textId="77777777" w:rsidR="00B1511E" w:rsidRDefault="00000000">
      <w:pPr>
        <w:numPr>
          <w:ilvl w:val="0"/>
          <w:numId w:val="16"/>
        </w:numPr>
        <w:spacing w:after="210" w:line="360" w:lineRule="auto"/>
      </w:pPr>
      <w:r>
        <w:fldChar w:fldCharType="begin"/>
      </w:r>
      <w:r>
        <w:instrText>HYPERLINK "https://pmc.ncbi.nlm.nih.gov/articles/PMC5332864/" \h</w:instrText>
      </w:r>
      <w:r>
        <w:fldChar w:fldCharType="separate"/>
      </w:r>
      <w:r>
        <w:rPr>
          <w:rFonts w:ascii="inter" w:eastAsia="inter" w:hAnsi="inter" w:cs="inter"/>
          <w:sz w:val="18"/>
          <w:u w:val="single"/>
        </w:rPr>
        <w:t>https://pmc.ncbi.nlm.nih.gov/articles/PMC5332864/</w:t>
      </w:r>
      <w:r>
        <w:fldChar w:fldCharType="end"/>
      </w:r>
      <w:r>
        <w:rPr>
          <w:rFonts w:ascii="inter" w:eastAsia="inter" w:hAnsi="inter" w:cs="inter"/>
          <w:color w:val="000000"/>
          <w:sz w:val="18"/>
        </w:rPr>
        <w:t xml:space="preserve">            </w:t>
      </w:r>
    </w:p>
    <w:bookmarkStart w:id="80" w:name="fn3"/>
    <w:bookmarkEnd w:id="80"/>
    <w:p w14:paraId="369A91A4" w14:textId="77777777" w:rsidR="00B1511E" w:rsidRDefault="00000000">
      <w:pPr>
        <w:numPr>
          <w:ilvl w:val="0"/>
          <w:numId w:val="16"/>
        </w:numPr>
        <w:spacing w:after="210" w:line="360" w:lineRule="auto"/>
      </w:pPr>
      <w:r>
        <w:fldChar w:fldCharType="begin"/>
      </w:r>
      <w:r>
        <w:instrText>HYPERLINK "https://pmc.ncbi.nlm.nih.gov/articles/PMC3625946/" \h</w:instrText>
      </w:r>
      <w:r>
        <w:fldChar w:fldCharType="separate"/>
      </w:r>
      <w:r>
        <w:rPr>
          <w:rFonts w:ascii="inter" w:eastAsia="inter" w:hAnsi="inter" w:cs="inter"/>
          <w:sz w:val="18"/>
          <w:u w:val="single"/>
        </w:rPr>
        <w:t>https://pmc.ncbi.nlm.nih.gov/articles/PMC3625946/</w:t>
      </w:r>
      <w:r>
        <w:fldChar w:fldCharType="end"/>
      </w:r>
      <w:r>
        <w:rPr>
          <w:rFonts w:ascii="inter" w:eastAsia="inter" w:hAnsi="inter" w:cs="inter"/>
          <w:color w:val="000000"/>
          <w:sz w:val="18"/>
        </w:rPr>
        <w:t xml:space="preserve">        </w:t>
      </w:r>
    </w:p>
    <w:bookmarkStart w:id="81" w:name="fn4"/>
    <w:bookmarkEnd w:id="81"/>
    <w:p w14:paraId="62D215D8" w14:textId="77777777" w:rsidR="00B1511E" w:rsidRDefault="00000000">
      <w:pPr>
        <w:numPr>
          <w:ilvl w:val="0"/>
          <w:numId w:val="16"/>
        </w:numPr>
        <w:spacing w:after="210" w:line="360" w:lineRule="auto"/>
      </w:pPr>
      <w:r>
        <w:fldChar w:fldCharType="begin"/>
      </w:r>
      <w:r>
        <w:instrText>HYPERLINK "https://pmc.ncbi.nlm.nih.gov/articles/PMC4027863/" \h</w:instrText>
      </w:r>
      <w:r>
        <w:fldChar w:fldCharType="separate"/>
      </w:r>
      <w:r>
        <w:rPr>
          <w:rFonts w:ascii="inter" w:eastAsia="inter" w:hAnsi="inter" w:cs="inter"/>
          <w:sz w:val="18"/>
          <w:u w:val="single"/>
        </w:rPr>
        <w:t>https://pmc.ncbi.nlm.nih.gov/articles/PMC4027863/</w:t>
      </w:r>
      <w:r>
        <w:fldChar w:fldCharType="end"/>
      </w:r>
      <w:r>
        <w:rPr>
          <w:rFonts w:ascii="inter" w:eastAsia="inter" w:hAnsi="inter" w:cs="inter"/>
          <w:color w:val="000000"/>
          <w:sz w:val="18"/>
        </w:rPr>
        <w:t xml:space="preserve">   </w:t>
      </w:r>
    </w:p>
    <w:bookmarkStart w:id="82" w:name="fn5"/>
    <w:bookmarkEnd w:id="82"/>
    <w:p w14:paraId="309CF46F" w14:textId="77777777" w:rsidR="00B1511E" w:rsidRDefault="00000000">
      <w:pPr>
        <w:numPr>
          <w:ilvl w:val="0"/>
          <w:numId w:val="16"/>
        </w:numPr>
        <w:spacing w:after="210" w:line="360" w:lineRule="auto"/>
      </w:pPr>
      <w:r>
        <w:fldChar w:fldCharType="begin"/>
      </w:r>
      <w:r>
        <w:instrText>HYPERLINK "https://pmc.ncbi.nlm.nih.gov/articles/PMC4495877/" \h</w:instrText>
      </w:r>
      <w:r>
        <w:fldChar w:fldCharType="separate"/>
      </w:r>
      <w:r>
        <w:rPr>
          <w:rFonts w:ascii="inter" w:eastAsia="inter" w:hAnsi="inter" w:cs="inter"/>
          <w:sz w:val="18"/>
          <w:u w:val="single"/>
        </w:rPr>
        <w:t>https://pmc.ncbi.nlm.nih.gov/articles/PMC4495877/</w:t>
      </w:r>
      <w:r>
        <w:fldChar w:fldCharType="end"/>
      </w:r>
      <w:r>
        <w:rPr>
          <w:rFonts w:ascii="inter" w:eastAsia="inter" w:hAnsi="inter" w:cs="inter"/>
          <w:color w:val="000000"/>
          <w:sz w:val="18"/>
        </w:rPr>
        <w:t xml:space="preserve">      </w:t>
      </w:r>
    </w:p>
    <w:bookmarkStart w:id="83" w:name="fn6"/>
    <w:bookmarkEnd w:id="83"/>
    <w:p w14:paraId="105A0E8F" w14:textId="77777777" w:rsidR="00B1511E" w:rsidRDefault="00000000">
      <w:pPr>
        <w:numPr>
          <w:ilvl w:val="0"/>
          <w:numId w:val="16"/>
        </w:numPr>
        <w:spacing w:after="210" w:line="360" w:lineRule="auto"/>
      </w:pPr>
      <w:r>
        <w:fldChar w:fldCharType="begin"/>
      </w:r>
      <w:r>
        <w:instrText>HYPERLINK "https://pmc.ncbi.nlm.nih.gov/articles/PMC1839041/" \h</w:instrText>
      </w:r>
      <w:r>
        <w:fldChar w:fldCharType="separate"/>
      </w:r>
      <w:r>
        <w:rPr>
          <w:rFonts w:ascii="inter" w:eastAsia="inter" w:hAnsi="inter" w:cs="inter"/>
          <w:sz w:val="18"/>
          <w:u w:val="single"/>
        </w:rPr>
        <w:t>https://pmc.ncbi.nlm.nih.gov/articles/PMC1839041/</w:t>
      </w:r>
      <w:r>
        <w:fldChar w:fldCharType="end"/>
      </w:r>
      <w:r>
        <w:rPr>
          <w:rFonts w:ascii="inter" w:eastAsia="inter" w:hAnsi="inter" w:cs="inter"/>
          <w:color w:val="000000"/>
          <w:sz w:val="18"/>
        </w:rPr>
        <w:t xml:space="preserve">      </w:t>
      </w:r>
    </w:p>
    <w:bookmarkStart w:id="84" w:name="fn7"/>
    <w:bookmarkEnd w:id="84"/>
    <w:p w14:paraId="69ED3B52" w14:textId="77777777" w:rsidR="00B1511E" w:rsidRDefault="00000000">
      <w:pPr>
        <w:numPr>
          <w:ilvl w:val="0"/>
          <w:numId w:val="16"/>
        </w:numPr>
        <w:spacing w:after="210" w:line="360" w:lineRule="auto"/>
      </w:pPr>
      <w:r>
        <w:fldChar w:fldCharType="begin"/>
      </w:r>
      <w:r>
        <w:instrText>HYPERLINK "https://pmc.ncbi.nlm.nih.gov/articles/PMC3737752/" \h</w:instrText>
      </w:r>
      <w:r>
        <w:fldChar w:fldCharType="separate"/>
      </w:r>
      <w:r>
        <w:rPr>
          <w:rFonts w:ascii="inter" w:eastAsia="inter" w:hAnsi="inter" w:cs="inter"/>
          <w:sz w:val="18"/>
          <w:u w:val="single"/>
        </w:rPr>
        <w:t>https://pmc.ncbi.nlm.nih.gov/articles/PMC3737752/</w:t>
      </w:r>
      <w:r>
        <w:fldChar w:fldCharType="end"/>
      </w:r>
      <w:r>
        <w:rPr>
          <w:rFonts w:ascii="inter" w:eastAsia="inter" w:hAnsi="inter" w:cs="inter"/>
          <w:color w:val="000000"/>
          <w:sz w:val="18"/>
        </w:rPr>
        <w:t xml:space="preserve">    </w:t>
      </w:r>
    </w:p>
    <w:bookmarkStart w:id="85" w:name="fn8"/>
    <w:bookmarkEnd w:id="85"/>
    <w:p w14:paraId="4D099B8B" w14:textId="77777777" w:rsidR="00B1511E" w:rsidRDefault="00000000">
      <w:pPr>
        <w:numPr>
          <w:ilvl w:val="0"/>
          <w:numId w:val="16"/>
        </w:numPr>
        <w:spacing w:after="210" w:line="360" w:lineRule="auto"/>
      </w:pPr>
      <w:r>
        <w:fldChar w:fldCharType="begin"/>
      </w:r>
      <w:r>
        <w:instrText>HYPERLINK "https://pmc.ncbi.nlm.nih.gov/articles/PMC5347624/" \h</w:instrText>
      </w:r>
      <w:r>
        <w:fldChar w:fldCharType="separate"/>
      </w:r>
      <w:r>
        <w:rPr>
          <w:rFonts w:ascii="inter" w:eastAsia="inter" w:hAnsi="inter" w:cs="inter"/>
          <w:sz w:val="18"/>
          <w:u w:val="single"/>
        </w:rPr>
        <w:t>https://pmc.ncbi.nlm.nih.gov/articles/PMC5347624/</w:t>
      </w:r>
      <w:r>
        <w:fldChar w:fldCharType="end"/>
      </w:r>
      <w:r>
        <w:rPr>
          <w:rFonts w:ascii="inter" w:eastAsia="inter" w:hAnsi="inter" w:cs="inter"/>
          <w:color w:val="000000"/>
          <w:sz w:val="18"/>
        </w:rPr>
        <w:t xml:space="preserve"> </w:t>
      </w:r>
    </w:p>
    <w:bookmarkStart w:id="86" w:name="fn9"/>
    <w:bookmarkEnd w:id="86"/>
    <w:p w14:paraId="04A10CC6" w14:textId="77777777" w:rsidR="00B1511E" w:rsidRDefault="00000000">
      <w:pPr>
        <w:numPr>
          <w:ilvl w:val="0"/>
          <w:numId w:val="16"/>
        </w:numPr>
        <w:spacing w:after="210" w:line="360" w:lineRule="auto"/>
      </w:pPr>
      <w:r>
        <w:fldChar w:fldCharType="begin"/>
      </w:r>
      <w:r>
        <w:instrText>HYPERLINK "https://pmc.ncbi.nlm.nih.gov/articles/PMC2648508/" \h</w:instrText>
      </w:r>
      <w:r>
        <w:fldChar w:fldCharType="separate"/>
      </w:r>
      <w:r>
        <w:rPr>
          <w:rFonts w:ascii="inter" w:eastAsia="inter" w:hAnsi="inter" w:cs="inter"/>
          <w:sz w:val="18"/>
          <w:u w:val="single"/>
        </w:rPr>
        <w:t>https://pmc.ncbi.nlm.nih.gov/articles/PMC2648508/</w:t>
      </w:r>
      <w:r>
        <w:fldChar w:fldCharType="end"/>
      </w:r>
      <w:r>
        <w:rPr>
          <w:rFonts w:ascii="inter" w:eastAsia="inter" w:hAnsi="inter" w:cs="inter"/>
          <w:color w:val="000000"/>
          <w:sz w:val="18"/>
        </w:rPr>
        <w:t xml:space="preserve">      </w:t>
      </w:r>
    </w:p>
    <w:bookmarkStart w:id="87" w:name="fn10"/>
    <w:bookmarkEnd w:id="87"/>
    <w:p w14:paraId="3173C346" w14:textId="77777777" w:rsidR="00B1511E" w:rsidRDefault="00000000">
      <w:pPr>
        <w:numPr>
          <w:ilvl w:val="0"/>
          <w:numId w:val="16"/>
        </w:numPr>
        <w:spacing w:after="210" w:line="360" w:lineRule="auto"/>
      </w:pPr>
      <w:r>
        <w:fldChar w:fldCharType="begin"/>
      </w:r>
      <w:r>
        <w:instrText>HYPERLINK "https://pmc.ncbi.nlm.nih.gov/articles/PMC10124955/" \h</w:instrText>
      </w:r>
      <w:r>
        <w:fldChar w:fldCharType="separate"/>
      </w:r>
      <w:r>
        <w:rPr>
          <w:rFonts w:ascii="inter" w:eastAsia="inter" w:hAnsi="inter" w:cs="inter"/>
          <w:sz w:val="18"/>
          <w:u w:val="single"/>
        </w:rPr>
        <w:t>https://pmc.ncbi.nlm.nih.gov/articles/PMC10124955/</w:t>
      </w:r>
      <w:r>
        <w:fldChar w:fldCharType="end"/>
      </w:r>
      <w:r>
        <w:rPr>
          <w:rFonts w:ascii="inter" w:eastAsia="inter" w:hAnsi="inter" w:cs="inter"/>
          <w:color w:val="000000"/>
          <w:sz w:val="18"/>
        </w:rPr>
        <w:t xml:space="preserve">    </w:t>
      </w:r>
    </w:p>
    <w:bookmarkStart w:id="88" w:name="fn11"/>
    <w:bookmarkEnd w:id="88"/>
    <w:p w14:paraId="411728E0" w14:textId="77777777" w:rsidR="00B1511E" w:rsidRDefault="00000000">
      <w:pPr>
        <w:numPr>
          <w:ilvl w:val="0"/>
          <w:numId w:val="16"/>
        </w:numPr>
        <w:spacing w:after="210" w:line="360" w:lineRule="auto"/>
      </w:pPr>
      <w:r>
        <w:fldChar w:fldCharType="begin"/>
      </w:r>
      <w:r>
        <w:instrText>HYPERLINK "https://pmc.ncbi.nlm.nih.gov/articles/PMC6541420/" \h</w:instrText>
      </w:r>
      <w:r>
        <w:fldChar w:fldCharType="separate"/>
      </w:r>
      <w:r>
        <w:rPr>
          <w:rFonts w:ascii="inter" w:eastAsia="inter" w:hAnsi="inter" w:cs="inter"/>
          <w:sz w:val="18"/>
          <w:u w:val="single"/>
        </w:rPr>
        <w:t>https://pmc.ncbi.nlm.nih.gov/articles/PMC6541420/</w:t>
      </w:r>
      <w:r>
        <w:fldChar w:fldCharType="end"/>
      </w:r>
      <w:r>
        <w:rPr>
          <w:rFonts w:ascii="inter" w:eastAsia="inter" w:hAnsi="inter" w:cs="inter"/>
          <w:color w:val="000000"/>
          <w:sz w:val="18"/>
        </w:rPr>
        <w:t xml:space="preserve"> </w:t>
      </w:r>
    </w:p>
    <w:bookmarkStart w:id="89" w:name="fn12"/>
    <w:bookmarkEnd w:id="89"/>
    <w:p w14:paraId="3087E80D" w14:textId="77777777" w:rsidR="00B1511E" w:rsidRDefault="00000000">
      <w:pPr>
        <w:numPr>
          <w:ilvl w:val="0"/>
          <w:numId w:val="16"/>
        </w:numPr>
        <w:spacing w:after="210" w:line="360" w:lineRule="auto"/>
      </w:pPr>
      <w:r>
        <w:fldChar w:fldCharType="begin"/>
      </w:r>
      <w:r>
        <w:instrText>HYPERLINK "https://pmc.ncbi.nlm.nih.gov/articles/PMC11099143/" \h</w:instrText>
      </w:r>
      <w:r>
        <w:fldChar w:fldCharType="separate"/>
      </w:r>
      <w:r>
        <w:rPr>
          <w:rFonts w:ascii="inter" w:eastAsia="inter" w:hAnsi="inter" w:cs="inter"/>
          <w:sz w:val="18"/>
          <w:u w:val="single"/>
        </w:rPr>
        <w:t>https://pmc.ncbi.nlm.nih.gov/articles/PMC11099143/</w:t>
      </w:r>
      <w:r>
        <w:fldChar w:fldCharType="end"/>
      </w:r>
      <w:r>
        <w:rPr>
          <w:rFonts w:ascii="inter" w:eastAsia="inter" w:hAnsi="inter" w:cs="inter"/>
          <w:color w:val="000000"/>
          <w:sz w:val="18"/>
        </w:rPr>
        <w:t xml:space="preserve"> </w:t>
      </w:r>
    </w:p>
    <w:bookmarkStart w:id="90" w:name="fn13"/>
    <w:bookmarkEnd w:id="90"/>
    <w:p w14:paraId="68DE09EB" w14:textId="77777777" w:rsidR="00B1511E" w:rsidRDefault="00000000">
      <w:pPr>
        <w:numPr>
          <w:ilvl w:val="0"/>
          <w:numId w:val="16"/>
        </w:numPr>
        <w:spacing w:after="210" w:line="360" w:lineRule="auto"/>
      </w:pPr>
      <w:r>
        <w:fldChar w:fldCharType="begin"/>
      </w:r>
      <w:r>
        <w:instrText>HYPERLINK "https://pmc.ncbi.nlm.nih.gov/articles/PMC8187589/" \h</w:instrText>
      </w:r>
      <w:r>
        <w:fldChar w:fldCharType="separate"/>
      </w:r>
      <w:r>
        <w:rPr>
          <w:rFonts w:ascii="inter" w:eastAsia="inter" w:hAnsi="inter" w:cs="inter"/>
          <w:sz w:val="18"/>
          <w:u w:val="single"/>
        </w:rPr>
        <w:t>https://pmc.ncbi.nlm.nih.gov/articles/PMC8187589/</w:t>
      </w:r>
      <w:r>
        <w:fldChar w:fldCharType="end"/>
      </w:r>
      <w:r>
        <w:rPr>
          <w:rFonts w:ascii="inter" w:eastAsia="inter" w:hAnsi="inter" w:cs="inter"/>
          <w:color w:val="000000"/>
          <w:sz w:val="18"/>
        </w:rPr>
        <w:t xml:space="preserve"> </w:t>
      </w:r>
    </w:p>
    <w:bookmarkStart w:id="91" w:name="fn14"/>
    <w:bookmarkEnd w:id="91"/>
    <w:p w14:paraId="292F7C5A" w14:textId="77777777" w:rsidR="00B1511E" w:rsidRDefault="00000000">
      <w:pPr>
        <w:numPr>
          <w:ilvl w:val="0"/>
          <w:numId w:val="16"/>
        </w:numPr>
        <w:spacing w:after="210" w:line="360" w:lineRule="auto"/>
      </w:pPr>
      <w:r>
        <w:fldChar w:fldCharType="begin"/>
      </w:r>
      <w:r>
        <w:instrText>HYPERLINK "http://journal.frontiersin.org/article/10.3389/fpsyt.2017.00039/full" \h</w:instrText>
      </w:r>
      <w:r>
        <w:fldChar w:fldCharType="separate"/>
      </w:r>
      <w:r>
        <w:rPr>
          <w:rFonts w:ascii="inter" w:eastAsia="inter" w:hAnsi="inter" w:cs="inter"/>
          <w:sz w:val="18"/>
          <w:u w:val="single"/>
        </w:rPr>
        <w:t>http://journal.frontiersin.org/article/10.3389/fpsyt.2017.00039/full</w:t>
      </w:r>
      <w:r>
        <w:fldChar w:fldCharType="end"/>
      </w:r>
      <w:r>
        <w:rPr>
          <w:rFonts w:ascii="inter" w:eastAsia="inter" w:hAnsi="inter" w:cs="inter"/>
          <w:color w:val="000000"/>
          <w:sz w:val="18"/>
        </w:rPr>
        <w:t xml:space="preserve"> </w:t>
      </w:r>
    </w:p>
    <w:bookmarkStart w:id="92" w:name="fn15"/>
    <w:bookmarkEnd w:id="92"/>
    <w:p w14:paraId="1DC24577" w14:textId="77777777" w:rsidR="00B1511E" w:rsidRDefault="00000000">
      <w:pPr>
        <w:numPr>
          <w:ilvl w:val="0"/>
          <w:numId w:val="16"/>
        </w:numPr>
        <w:spacing w:after="210" w:line="360" w:lineRule="auto"/>
      </w:pPr>
      <w:r>
        <w:fldChar w:fldCharType="begin"/>
      </w:r>
      <w:r>
        <w:instrText>HYPERLINK "https://pmc.ncbi.nlm.nih.gov/articles/PMC8035229/" \h</w:instrText>
      </w:r>
      <w:r>
        <w:fldChar w:fldCharType="separate"/>
      </w:r>
      <w:r>
        <w:rPr>
          <w:rFonts w:ascii="inter" w:eastAsia="inter" w:hAnsi="inter" w:cs="inter"/>
          <w:sz w:val="18"/>
          <w:u w:val="single"/>
        </w:rPr>
        <w:t>https://pmc.ncbi.nlm.nih.gov/articles/PMC8035229/</w:t>
      </w:r>
      <w:r>
        <w:fldChar w:fldCharType="end"/>
      </w:r>
      <w:r>
        <w:rPr>
          <w:rFonts w:ascii="inter" w:eastAsia="inter" w:hAnsi="inter" w:cs="inter"/>
          <w:color w:val="000000"/>
          <w:sz w:val="18"/>
        </w:rPr>
        <w:t xml:space="preserve"> </w:t>
      </w:r>
    </w:p>
    <w:bookmarkStart w:id="93" w:name="fn16"/>
    <w:bookmarkEnd w:id="93"/>
    <w:p w14:paraId="40EFA59F" w14:textId="77777777" w:rsidR="00B1511E" w:rsidRDefault="00000000">
      <w:pPr>
        <w:numPr>
          <w:ilvl w:val="0"/>
          <w:numId w:val="16"/>
        </w:numPr>
        <w:spacing w:after="210" w:line="360" w:lineRule="auto"/>
      </w:pPr>
      <w:r>
        <w:fldChar w:fldCharType="begin"/>
      </w:r>
      <w:r>
        <w:instrText>HYPERLINK "https://pmc.ncbi.nlm.nih.gov/articles/PMC4729319/" \h</w:instrText>
      </w:r>
      <w:r>
        <w:fldChar w:fldCharType="separate"/>
      </w:r>
      <w:r>
        <w:rPr>
          <w:rFonts w:ascii="inter" w:eastAsia="inter" w:hAnsi="inter" w:cs="inter"/>
          <w:sz w:val="18"/>
          <w:u w:val="single"/>
        </w:rPr>
        <w:t>https://pmc.ncbi.nlm.nih.gov/articles/PMC4729319/</w:t>
      </w:r>
      <w:r>
        <w:fldChar w:fldCharType="end"/>
      </w:r>
      <w:r>
        <w:rPr>
          <w:rFonts w:ascii="inter" w:eastAsia="inter" w:hAnsi="inter" w:cs="inter"/>
          <w:color w:val="000000"/>
          <w:sz w:val="18"/>
        </w:rPr>
        <w:t xml:space="preserve"> </w:t>
      </w:r>
    </w:p>
    <w:bookmarkStart w:id="94" w:name="fn17"/>
    <w:bookmarkEnd w:id="94"/>
    <w:p w14:paraId="44B191DD" w14:textId="77777777" w:rsidR="00B1511E" w:rsidRDefault="00000000">
      <w:pPr>
        <w:numPr>
          <w:ilvl w:val="0"/>
          <w:numId w:val="16"/>
        </w:numPr>
        <w:spacing w:after="210" w:line="360" w:lineRule="auto"/>
      </w:pPr>
      <w:r>
        <w:fldChar w:fldCharType="begin"/>
      </w:r>
      <w:r>
        <w:instrText>HYPERLINK "https://linkinghub.elsevier.com/retrieve/pii/S2352289522000030" \h</w:instrText>
      </w:r>
      <w:r>
        <w:fldChar w:fldCharType="separate"/>
      </w:r>
      <w:r>
        <w:rPr>
          <w:rFonts w:ascii="inter" w:eastAsia="inter" w:hAnsi="inter" w:cs="inter"/>
          <w:sz w:val="18"/>
          <w:u w:val="single"/>
        </w:rPr>
        <w:t>https://linkinghub.elsevier.com/retrieve/pii/S2352289522000030</w:t>
      </w:r>
      <w:r>
        <w:fldChar w:fldCharType="end"/>
      </w:r>
      <w:r>
        <w:rPr>
          <w:rFonts w:ascii="inter" w:eastAsia="inter" w:hAnsi="inter" w:cs="inter"/>
          <w:color w:val="000000"/>
          <w:sz w:val="18"/>
        </w:rPr>
        <w:t xml:space="preserve"> </w:t>
      </w:r>
    </w:p>
    <w:bookmarkStart w:id="95" w:name="fn18"/>
    <w:bookmarkEnd w:id="95"/>
    <w:p w14:paraId="6B35A19A" w14:textId="77777777" w:rsidR="00B1511E" w:rsidRDefault="00000000">
      <w:pPr>
        <w:numPr>
          <w:ilvl w:val="0"/>
          <w:numId w:val="16"/>
        </w:numPr>
        <w:spacing w:after="210" w:line="360" w:lineRule="auto"/>
      </w:pPr>
      <w:r>
        <w:fldChar w:fldCharType="begin"/>
      </w:r>
      <w:r>
        <w:instrText>HYPERLINK "https://pmc.ncbi.nlm.nih.gov/articles/PMC9188965/" \h</w:instrText>
      </w:r>
      <w:r>
        <w:fldChar w:fldCharType="separate"/>
      </w:r>
      <w:r>
        <w:rPr>
          <w:rFonts w:ascii="inter" w:eastAsia="inter" w:hAnsi="inter" w:cs="inter"/>
          <w:sz w:val="18"/>
          <w:u w:val="single"/>
        </w:rPr>
        <w:t>https://pmc.ncbi.nlm.nih.gov/articles/PMC9188965/</w:t>
      </w:r>
      <w:r>
        <w:fldChar w:fldCharType="end"/>
      </w:r>
      <w:r>
        <w:rPr>
          <w:rFonts w:ascii="inter" w:eastAsia="inter" w:hAnsi="inter" w:cs="inter"/>
          <w:color w:val="000000"/>
          <w:sz w:val="18"/>
        </w:rPr>
        <w:t xml:space="preserve"> </w:t>
      </w:r>
    </w:p>
    <w:bookmarkStart w:id="96" w:name="fn19"/>
    <w:bookmarkEnd w:id="96"/>
    <w:p w14:paraId="03857461" w14:textId="77777777" w:rsidR="00B1511E" w:rsidRDefault="00000000">
      <w:pPr>
        <w:numPr>
          <w:ilvl w:val="0"/>
          <w:numId w:val="16"/>
        </w:numPr>
        <w:spacing w:after="210" w:line="360" w:lineRule="auto"/>
      </w:pPr>
      <w:r>
        <w:fldChar w:fldCharType="begin"/>
      </w:r>
      <w:r>
        <w:instrText>HYPERLINK "https://onlinelibrary.wiley.com/doi/pdfdirect/10.1002/hbm.25851" \h</w:instrText>
      </w:r>
      <w:r>
        <w:fldChar w:fldCharType="separate"/>
      </w:r>
      <w:r>
        <w:rPr>
          <w:rFonts w:ascii="inter" w:eastAsia="inter" w:hAnsi="inter" w:cs="inter"/>
          <w:sz w:val="18"/>
          <w:u w:val="single"/>
        </w:rPr>
        <w:t>https://onlinelibrary.wiley.com/doi/pdfdirect/10.1002/hbm.25851</w:t>
      </w:r>
      <w:r>
        <w:fldChar w:fldCharType="end"/>
      </w:r>
      <w:r>
        <w:rPr>
          <w:rFonts w:ascii="inter" w:eastAsia="inter" w:hAnsi="inter" w:cs="inter"/>
          <w:color w:val="000000"/>
          <w:sz w:val="18"/>
        </w:rPr>
        <w:t xml:space="preserve"> </w:t>
      </w:r>
    </w:p>
    <w:bookmarkStart w:id="97" w:name="fn20"/>
    <w:bookmarkEnd w:id="97"/>
    <w:p w14:paraId="31CE6237" w14:textId="77777777" w:rsidR="00B1511E" w:rsidRDefault="00000000">
      <w:pPr>
        <w:numPr>
          <w:ilvl w:val="0"/>
          <w:numId w:val="16"/>
        </w:numPr>
        <w:spacing w:after="210" w:line="360" w:lineRule="auto"/>
      </w:pPr>
      <w:r>
        <w:fldChar w:fldCharType="begin"/>
      </w:r>
      <w:r>
        <w:instrText>HYPERLINK "https://pmc.ncbi.nlm.nih.gov/articles/PMC10933283/" \h</w:instrText>
      </w:r>
      <w:r>
        <w:fldChar w:fldCharType="separate"/>
      </w:r>
      <w:r>
        <w:rPr>
          <w:rFonts w:ascii="inter" w:eastAsia="inter" w:hAnsi="inter" w:cs="inter"/>
          <w:sz w:val="18"/>
          <w:u w:val="single"/>
        </w:rPr>
        <w:t>https://pmc.ncbi.nlm.nih.gov/articles/PMC10933283/</w:t>
      </w:r>
      <w:r>
        <w:fldChar w:fldCharType="end"/>
      </w:r>
      <w:r>
        <w:rPr>
          <w:rFonts w:ascii="inter" w:eastAsia="inter" w:hAnsi="inter" w:cs="inter"/>
          <w:color w:val="000000"/>
          <w:sz w:val="18"/>
        </w:rPr>
        <w:t xml:space="preserve"> </w:t>
      </w:r>
    </w:p>
    <w:bookmarkStart w:id="98" w:name="fn21"/>
    <w:bookmarkEnd w:id="98"/>
    <w:p w14:paraId="559A9B91" w14:textId="77777777" w:rsidR="00B1511E" w:rsidRDefault="00000000">
      <w:pPr>
        <w:numPr>
          <w:ilvl w:val="0"/>
          <w:numId w:val="16"/>
        </w:numPr>
        <w:spacing w:after="210" w:line="360" w:lineRule="auto"/>
      </w:pPr>
      <w:r>
        <w:fldChar w:fldCharType="begin"/>
      </w:r>
      <w:r>
        <w:instrText>HYPERLINK "https://pmc.ncbi.nlm.nih.gov/articles/PMC9090975/" \h</w:instrText>
      </w:r>
      <w:r>
        <w:fldChar w:fldCharType="separate"/>
      </w:r>
      <w:r>
        <w:rPr>
          <w:rFonts w:ascii="inter" w:eastAsia="inter" w:hAnsi="inter" w:cs="inter"/>
          <w:sz w:val="18"/>
          <w:u w:val="single"/>
        </w:rPr>
        <w:t>https://pmc.ncbi.nlm.nih.gov/articles/PMC9090975/</w:t>
      </w:r>
      <w:r>
        <w:fldChar w:fldCharType="end"/>
      </w:r>
      <w:r>
        <w:rPr>
          <w:rFonts w:ascii="inter" w:eastAsia="inter" w:hAnsi="inter" w:cs="inter"/>
          <w:color w:val="000000"/>
          <w:sz w:val="18"/>
        </w:rPr>
        <w:t xml:space="preserve"> </w:t>
      </w:r>
    </w:p>
    <w:bookmarkStart w:id="99" w:name="fn22"/>
    <w:bookmarkEnd w:id="99"/>
    <w:p w14:paraId="274EDD5F" w14:textId="77777777" w:rsidR="00B1511E" w:rsidRDefault="00000000">
      <w:pPr>
        <w:numPr>
          <w:ilvl w:val="0"/>
          <w:numId w:val="16"/>
        </w:numPr>
        <w:spacing w:after="210" w:line="360" w:lineRule="auto"/>
      </w:pPr>
      <w:r>
        <w:fldChar w:fldCharType="begin"/>
      </w:r>
      <w:r>
        <w:instrText>HYPERLINK "https://www.semanticscholar.org/paper/f1377b60d26426669af2ad44d34cfaaa296a0cc2" \h</w:instrText>
      </w:r>
      <w:r>
        <w:fldChar w:fldCharType="separate"/>
      </w:r>
      <w:r>
        <w:rPr>
          <w:rFonts w:ascii="inter" w:eastAsia="inter" w:hAnsi="inter" w:cs="inter"/>
          <w:sz w:val="18"/>
          <w:u w:val="single"/>
        </w:rPr>
        <w:t>https://www.semanticscholar.org/paper/f1377b60d26426669af2ad44d34cfaaa296a0cc2</w:t>
      </w:r>
      <w:r>
        <w:fldChar w:fldCharType="end"/>
      </w:r>
      <w:r>
        <w:rPr>
          <w:rFonts w:ascii="inter" w:eastAsia="inter" w:hAnsi="inter" w:cs="inter"/>
          <w:color w:val="000000"/>
          <w:sz w:val="18"/>
        </w:rPr>
        <w:t xml:space="preserve"> </w:t>
      </w:r>
    </w:p>
    <w:bookmarkStart w:id="100" w:name="fn23"/>
    <w:bookmarkEnd w:id="100"/>
    <w:p w14:paraId="178F5B3C" w14:textId="77777777" w:rsidR="00B1511E" w:rsidRDefault="00000000">
      <w:pPr>
        <w:numPr>
          <w:ilvl w:val="0"/>
          <w:numId w:val="16"/>
        </w:numPr>
        <w:spacing w:after="210" w:line="360" w:lineRule="auto"/>
      </w:pPr>
      <w:r>
        <w:fldChar w:fldCharType="begin"/>
      </w:r>
      <w:r>
        <w:instrText>HYPERLINK "https://www.semanticscholar.org/paper/78ad1b71d1bfce8b467c4df35a25c4fb1eb18685" \h</w:instrText>
      </w:r>
      <w:r>
        <w:fldChar w:fldCharType="separate"/>
      </w:r>
      <w:r>
        <w:rPr>
          <w:rFonts w:ascii="inter" w:eastAsia="inter" w:hAnsi="inter" w:cs="inter"/>
          <w:sz w:val="18"/>
          <w:u w:val="single"/>
        </w:rPr>
        <w:t>https://www.semanticscholar.org/paper/78ad1b71d1bfce8b467c4df35a25c4fb1eb18685</w:t>
      </w:r>
      <w:r>
        <w:fldChar w:fldCharType="end"/>
      </w:r>
      <w:r>
        <w:rPr>
          <w:rFonts w:ascii="inter" w:eastAsia="inter" w:hAnsi="inter" w:cs="inter"/>
          <w:color w:val="000000"/>
          <w:sz w:val="18"/>
        </w:rPr>
        <w:t xml:space="preserve"> </w:t>
      </w:r>
    </w:p>
    <w:bookmarkStart w:id="101" w:name="fn24"/>
    <w:bookmarkEnd w:id="101"/>
    <w:p w14:paraId="71ABB87A" w14:textId="77777777" w:rsidR="00B1511E" w:rsidRDefault="00000000">
      <w:pPr>
        <w:numPr>
          <w:ilvl w:val="0"/>
          <w:numId w:val="16"/>
        </w:numPr>
        <w:spacing w:after="210" w:line="360" w:lineRule="auto"/>
      </w:pPr>
      <w:r>
        <w:fldChar w:fldCharType="begin"/>
      </w:r>
      <w:r>
        <w:instrText>HYPERLINK "https://www.semanticscholar.org/paper/589ca8477265dcc6e152a76de7d5df1ae45af95b" \h</w:instrText>
      </w:r>
      <w:r>
        <w:fldChar w:fldCharType="separate"/>
      </w:r>
      <w:r>
        <w:rPr>
          <w:rFonts w:ascii="inter" w:eastAsia="inter" w:hAnsi="inter" w:cs="inter"/>
          <w:sz w:val="18"/>
          <w:u w:val="single"/>
        </w:rPr>
        <w:t>https://www.semanticscholar.org/paper/589ca8477265dcc6e152a76de7d5df1ae45af95b</w:t>
      </w:r>
      <w:r>
        <w:fldChar w:fldCharType="end"/>
      </w:r>
      <w:r>
        <w:rPr>
          <w:rFonts w:ascii="inter" w:eastAsia="inter" w:hAnsi="inter" w:cs="inter"/>
          <w:color w:val="000000"/>
          <w:sz w:val="18"/>
        </w:rPr>
        <w:t xml:space="preserve"> </w:t>
      </w:r>
    </w:p>
    <w:bookmarkStart w:id="102" w:name="fn25"/>
    <w:bookmarkEnd w:id="102"/>
    <w:p w14:paraId="63D11C8D" w14:textId="77777777" w:rsidR="00B1511E" w:rsidRDefault="00000000">
      <w:pPr>
        <w:numPr>
          <w:ilvl w:val="0"/>
          <w:numId w:val="16"/>
        </w:numPr>
        <w:spacing w:after="210" w:line="360" w:lineRule="auto"/>
      </w:pPr>
      <w:r>
        <w:fldChar w:fldCharType="begin"/>
      </w:r>
      <w:r>
        <w:instrText>HYPERLINK "http://www.scielo.br/pdf/bjmbr/v34n3/3990m.pdf" \h</w:instrText>
      </w:r>
      <w:r>
        <w:fldChar w:fldCharType="separate"/>
      </w:r>
      <w:r>
        <w:rPr>
          <w:rFonts w:ascii="inter" w:eastAsia="inter" w:hAnsi="inter" w:cs="inter"/>
          <w:sz w:val="18"/>
          <w:u w:val="single"/>
        </w:rPr>
        <w:t>http://www.scielo.br/pdf/bjmbr/v34n3/3990m.pdf</w:t>
      </w:r>
      <w:r>
        <w:fldChar w:fldCharType="end"/>
      </w:r>
      <w:r>
        <w:rPr>
          <w:rFonts w:ascii="inter" w:eastAsia="inter" w:hAnsi="inter" w:cs="inter"/>
          <w:color w:val="000000"/>
          <w:sz w:val="18"/>
        </w:rPr>
        <w:t xml:space="preserve"> </w:t>
      </w:r>
    </w:p>
    <w:bookmarkStart w:id="103" w:name="fn26"/>
    <w:bookmarkEnd w:id="103"/>
    <w:p w14:paraId="68412D5B" w14:textId="77777777" w:rsidR="00B1511E" w:rsidRDefault="00000000">
      <w:pPr>
        <w:numPr>
          <w:ilvl w:val="0"/>
          <w:numId w:val="16"/>
        </w:numPr>
        <w:spacing w:after="210" w:line="360" w:lineRule="auto"/>
      </w:pPr>
      <w:r>
        <w:fldChar w:fldCharType="begin"/>
      </w:r>
      <w:r>
        <w:instrText>HYPERLINK "https://pmc.ncbi.nlm.nih.gov/articles/PMC3613599/" \h</w:instrText>
      </w:r>
      <w:r>
        <w:fldChar w:fldCharType="separate"/>
      </w:r>
      <w:r>
        <w:rPr>
          <w:rFonts w:ascii="inter" w:eastAsia="inter" w:hAnsi="inter" w:cs="inter"/>
          <w:sz w:val="18"/>
          <w:u w:val="single"/>
        </w:rPr>
        <w:t>https://pmc.ncbi.nlm.nih.gov/articles/PMC3613599/</w:t>
      </w:r>
      <w:r>
        <w:fldChar w:fldCharType="end"/>
      </w:r>
      <w:r>
        <w:rPr>
          <w:rFonts w:ascii="inter" w:eastAsia="inter" w:hAnsi="inter" w:cs="inter"/>
          <w:color w:val="000000"/>
          <w:sz w:val="18"/>
        </w:rPr>
        <w:t xml:space="preserve"> </w:t>
      </w:r>
    </w:p>
    <w:bookmarkStart w:id="104" w:name="fn27"/>
    <w:bookmarkEnd w:id="104"/>
    <w:p w14:paraId="2775D79F" w14:textId="77777777" w:rsidR="00B1511E" w:rsidRDefault="00000000">
      <w:pPr>
        <w:numPr>
          <w:ilvl w:val="0"/>
          <w:numId w:val="16"/>
        </w:numPr>
        <w:spacing w:after="210" w:line="360" w:lineRule="auto"/>
      </w:pPr>
      <w:r>
        <w:fldChar w:fldCharType="begin"/>
      </w:r>
      <w:r>
        <w:instrText>HYPERLINK "https://www.frontiersin.org/articles/10.3389/fnhum.2013.00101/pdf" \h</w:instrText>
      </w:r>
      <w:r>
        <w:fldChar w:fldCharType="separate"/>
      </w:r>
      <w:r>
        <w:rPr>
          <w:rFonts w:ascii="inter" w:eastAsia="inter" w:hAnsi="inter" w:cs="inter"/>
          <w:sz w:val="18"/>
          <w:u w:val="single"/>
        </w:rPr>
        <w:t>https://www.frontiersin.org/articles/10.3389/fnhum.2013.00101/pdf</w:t>
      </w:r>
      <w:r>
        <w:fldChar w:fldCharType="end"/>
      </w:r>
      <w:r>
        <w:rPr>
          <w:rFonts w:ascii="inter" w:eastAsia="inter" w:hAnsi="inter" w:cs="inter"/>
          <w:color w:val="000000"/>
          <w:sz w:val="18"/>
        </w:rPr>
        <w:t xml:space="preserve"> </w:t>
      </w:r>
    </w:p>
    <w:bookmarkStart w:id="105" w:name="fn28"/>
    <w:bookmarkEnd w:id="105"/>
    <w:p w14:paraId="6EDDC740" w14:textId="77777777" w:rsidR="00B1511E" w:rsidRDefault="00000000">
      <w:pPr>
        <w:numPr>
          <w:ilvl w:val="0"/>
          <w:numId w:val="16"/>
        </w:numPr>
        <w:spacing w:after="210" w:line="360" w:lineRule="auto"/>
      </w:pPr>
      <w:r>
        <w:fldChar w:fldCharType="begin"/>
      </w:r>
      <w:r>
        <w:instrText>HYPERLINK "https://pmc.ncbi.nlm.nih.gov/articles/PMC2858766/" \h</w:instrText>
      </w:r>
      <w:r>
        <w:fldChar w:fldCharType="separate"/>
      </w:r>
      <w:r>
        <w:rPr>
          <w:rFonts w:ascii="inter" w:eastAsia="inter" w:hAnsi="inter" w:cs="inter"/>
          <w:sz w:val="18"/>
          <w:u w:val="single"/>
        </w:rPr>
        <w:t>https://pmc.ncbi.nlm.nih.gov/articles/PMC2858766/</w:t>
      </w:r>
      <w:r>
        <w:fldChar w:fldCharType="end"/>
      </w:r>
      <w:r>
        <w:rPr>
          <w:rFonts w:ascii="inter" w:eastAsia="inter" w:hAnsi="inter" w:cs="inter"/>
          <w:color w:val="000000"/>
          <w:sz w:val="18"/>
        </w:rPr>
        <w:t xml:space="preserve"> </w:t>
      </w:r>
    </w:p>
    <w:bookmarkStart w:id="106" w:name="fn29"/>
    <w:bookmarkEnd w:id="106"/>
    <w:p w14:paraId="4D31CFF2" w14:textId="77777777" w:rsidR="00B1511E" w:rsidRDefault="00000000">
      <w:pPr>
        <w:numPr>
          <w:ilvl w:val="0"/>
          <w:numId w:val="16"/>
        </w:numPr>
        <w:spacing w:after="210" w:line="360" w:lineRule="auto"/>
      </w:pPr>
      <w:r>
        <w:fldChar w:fldCharType="begin"/>
      </w:r>
      <w:r>
        <w:instrText>HYPERLINK "https://www.frontiersin.org/articles/10.3389/fnhum.2011.00049/pdf" \h</w:instrText>
      </w:r>
      <w:r>
        <w:fldChar w:fldCharType="separate"/>
      </w:r>
      <w:r>
        <w:rPr>
          <w:rFonts w:ascii="inter" w:eastAsia="inter" w:hAnsi="inter" w:cs="inter"/>
          <w:sz w:val="18"/>
          <w:u w:val="single"/>
        </w:rPr>
        <w:t>https://www.frontiersin.org/articles/10.3389/fnhum.2011.00049/pdf</w:t>
      </w:r>
      <w:r>
        <w:fldChar w:fldCharType="end"/>
      </w:r>
      <w:r>
        <w:rPr>
          <w:rFonts w:ascii="inter" w:eastAsia="inter" w:hAnsi="inter" w:cs="inter"/>
          <w:color w:val="000000"/>
          <w:sz w:val="18"/>
        </w:rPr>
        <w:t xml:space="preserve"> </w:t>
      </w:r>
    </w:p>
    <w:bookmarkStart w:id="107" w:name="fn30"/>
    <w:bookmarkEnd w:id="107"/>
    <w:p w14:paraId="0B034DC2" w14:textId="77777777" w:rsidR="00B1511E" w:rsidRDefault="00000000">
      <w:pPr>
        <w:numPr>
          <w:ilvl w:val="0"/>
          <w:numId w:val="16"/>
        </w:numPr>
        <w:spacing w:after="210" w:line="360" w:lineRule="auto"/>
      </w:pPr>
      <w:r>
        <w:fldChar w:fldCharType="begin"/>
      </w:r>
      <w:r>
        <w:instrText>HYPERLINK "https://www.mdpi.com/2218-273X/11/6/823/pdf" \h</w:instrText>
      </w:r>
      <w:r>
        <w:fldChar w:fldCharType="separate"/>
      </w:r>
      <w:r>
        <w:rPr>
          <w:rFonts w:ascii="inter" w:eastAsia="inter" w:hAnsi="inter" w:cs="inter"/>
          <w:sz w:val="18"/>
          <w:u w:val="single"/>
        </w:rPr>
        <w:t>https://www.mdpi.com/2218-273X/11/6/823/pdf</w:t>
      </w:r>
      <w:r>
        <w:fldChar w:fldCharType="end"/>
      </w:r>
      <w:r>
        <w:rPr>
          <w:rFonts w:ascii="inter" w:eastAsia="inter" w:hAnsi="inter" w:cs="inter"/>
          <w:color w:val="000000"/>
          <w:sz w:val="18"/>
        </w:rPr>
        <w:t xml:space="preserve"> </w:t>
      </w:r>
    </w:p>
    <w:bookmarkStart w:id="108" w:name="fn31"/>
    <w:bookmarkEnd w:id="108"/>
    <w:p w14:paraId="18CAD2F6" w14:textId="77777777" w:rsidR="00B1511E" w:rsidRDefault="00000000">
      <w:pPr>
        <w:numPr>
          <w:ilvl w:val="0"/>
          <w:numId w:val="16"/>
        </w:numPr>
        <w:spacing w:after="210" w:line="360" w:lineRule="auto"/>
      </w:pPr>
      <w:r>
        <w:fldChar w:fldCharType="begin"/>
      </w:r>
      <w:r>
        <w:instrText>HYPERLINK "https://pmc.ncbi.nlm.nih.gov/articles/PMC2736461/" \h</w:instrText>
      </w:r>
      <w:r>
        <w:fldChar w:fldCharType="separate"/>
      </w:r>
      <w:r>
        <w:rPr>
          <w:rFonts w:ascii="inter" w:eastAsia="inter" w:hAnsi="inter" w:cs="inter"/>
          <w:sz w:val="18"/>
          <w:u w:val="single"/>
        </w:rPr>
        <w:t>https://pmc.ncbi.nlm.nih.gov/articles/PMC2736461/</w:t>
      </w:r>
      <w:r>
        <w:fldChar w:fldCharType="end"/>
      </w:r>
      <w:r>
        <w:rPr>
          <w:rFonts w:ascii="inter" w:eastAsia="inter" w:hAnsi="inter" w:cs="inter"/>
          <w:color w:val="000000"/>
          <w:sz w:val="18"/>
        </w:rPr>
        <w:t xml:space="preserve"> </w:t>
      </w:r>
    </w:p>
    <w:bookmarkStart w:id="109" w:name="fn32"/>
    <w:bookmarkEnd w:id="109"/>
    <w:p w14:paraId="380BE5C9" w14:textId="77777777" w:rsidR="00B1511E" w:rsidRDefault="00000000">
      <w:pPr>
        <w:numPr>
          <w:ilvl w:val="0"/>
          <w:numId w:val="16"/>
        </w:numPr>
        <w:spacing w:after="210" w:line="360" w:lineRule="auto"/>
      </w:pPr>
      <w:r>
        <w:fldChar w:fldCharType="begin"/>
      </w:r>
      <w:r>
        <w:instrText>HYPERLINK "https://journals.lww.com/00023727-201507000-00003" \h</w:instrText>
      </w:r>
      <w:r>
        <w:fldChar w:fldCharType="separate"/>
      </w:r>
      <w:r>
        <w:rPr>
          <w:rFonts w:ascii="inter" w:eastAsia="inter" w:hAnsi="inter" w:cs="inter"/>
          <w:sz w:val="18"/>
          <w:u w:val="single"/>
        </w:rPr>
        <w:t>https://journals.lww.com/00023727-201507000-00003</w:t>
      </w:r>
      <w:r>
        <w:fldChar w:fldCharType="end"/>
      </w:r>
      <w:r>
        <w:rPr>
          <w:rFonts w:ascii="inter" w:eastAsia="inter" w:hAnsi="inter" w:cs="inter"/>
          <w:color w:val="000000"/>
          <w:sz w:val="18"/>
        </w:rPr>
        <w:t xml:space="preserve"> </w:t>
      </w:r>
    </w:p>
    <w:bookmarkStart w:id="110" w:name="fn33"/>
    <w:bookmarkEnd w:id="110"/>
    <w:p w14:paraId="3B7B0F42" w14:textId="77777777" w:rsidR="00B1511E" w:rsidRDefault="00000000">
      <w:pPr>
        <w:numPr>
          <w:ilvl w:val="0"/>
          <w:numId w:val="16"/>
        </w:numPr>
        <w:spacing w:after="210" w:line="360" w:lineRule="auto"/>
      </w:pPr>
      <w:r>
        <w:fldChar w:fldCharType="begin"/>
      </w:r>
      <w:r>
        <w:instrText>HYPERLINK "https://www.jneurosci.org/content/jneuro/36/50/12707.full.pdf" \h</w:instrText>
      </w:r>
      <w:r>
        <w:fldChar w:fldCharType="separate"/>
      </w:r>
      <w:r>
        <w:rPr>
          <w:rFonts w:ascii="inter" w:eastAsia="inter" w:hAnsi="inter" w:cs="inter"/>
          <w:sz w:val="18"/>
          <w:u w:val="single"/>
        </w:rPr>
        <w:t>https://www.jneurosci.org/content/jneuro/36/50/12707.full.pdf</w:t>
      </w:r>
      <w:r>
        <w:fldChar w:fldCharType="end"/>
      </w:r>
      <w:r>
        <w:rPr>
          <w:rFonts w:ascii="inter" w:eastAsia="inter" w:hAnsi="inter" w:cs="inter"/>
          <w:color w:val="000000"/>
          <w:sz w:val="18"/>
        </w:rPr>
        <w:t xml:space="preserve"> </w:t>
      </w:r>
    </w:p>
    <w:bookmarkStart w:id="111" w:name="fn34"/>
    <w:bookmarkEnd w:id="111"/>
    <w:p w14:paraId="7B053C80" w14:textId="77777777" w:rsidR="00B1511E" w:rsidRDefault="00000000">
      <w:pPr>
        <w:numPr>
          <w:ilvl w:val="0"/>
          <w:numId w:val="16"/>
        </w:numPr>
        <w:spacing w:after="210" w:line="360" w:lineRule="auto"/>
      </w:pPr>
      <w:r>
        <w:fldChar w:fldCharType="begin"/>
      </w:r>
      <w:r>
        <w:instrText>HYPERLINK "https://www.scielo.br/j/bjmbr/a/K3cHFLCzsCrwdkZjjrMDJZb/?format=pdf&amp;lang=en" \h</w:instrText>
      </w:r>
      <w:r>
        <w:fldChar w:fldCharType="separate"/>
      </w:r>
      <w:r>
        <w:rPr>
          <w:rFonts w:ascii="inter" w:eastAsia="inter" w:hAnsi="inter" w:cs="inter"/>
          <w:sz w:val="18"/>
          <w:u w:val="single"/>
        </w:rPr>
        <w:t>https://www.scielo.br/j/bjmbr/a/K3cHFLCzsCrwdkZjjrMDJZb/?format=pdf&amp;lang=en</w:t>
      </w:r>
      <w:r>
        <w:fldChar w:fldCharType="end"/>
      </w:r>
      <w:r>
        <w:rPr>
          <w:rFonts w:ascii="inter" w:eastAsia="inter" w:hAnsi="inter" w:cs="inter"/>
          <w:color w:val="000000"/>
          <w:sz w:val="18"/>
        </w:rPr>
        <w:t xml:space="preserve"> </w:t>
      </w:r>
    </w:p>
    <w:bookmarkStart w:id="112" w:name="fn35"/>
    <w:bookmarkEnd w:id="112"/>
    <w:p w14:paraId="12EEFF6D" w14:textId="77777777" w:rsidR="00B1511E" w:rsidRDefault="00000000">
      <w:pPr>
        <w:numPr>
          <w:ilvl w:val="0"/>
          <w:numId w:val="16"/>
        </w:numPr>
        <w:spacing w:after="210" w:line="360" w:lineRule="auto"/>
      </w:pPr>
      <w:r>
        <w:fldChar w:fldCharType="begin"/>
      </w:r>
      <w:r>
        <w:instrText>HYPERLINK "https://pmc.ncbi.nlm.nih.gov/articles/PMC10102664/" \h</w:instrText>
      </w:r>
      <w:r>
        <w:fldChar w:fldCharType="separate"/>
      </w:r>
      <w:r>
        <w:rPr>
          <w:rFonts w:ascii="inter" w:eastAsia="inter" w:hAnsi="inter" w:cs="inter"/>
          <w:sz w:val="18"/>
          <w:u w:val="single"/>
        </w:rPr>
        <w:t>https://pmc.ncbi.nlm.nih.gov/articles/PMC10102664/</w:t>
      </w:r>
      <w:r>
        <w:fldChar w:fldCharType="end"/>
      </w:r>
      <w:r>
        <w:rPr>
          <w:rFonts w:ascii="inter" w:eastAsia="inter" w:hAnsi="inter" w:cs="inter"/>
          <w:color w:val="000000"/>
          <w:sz w:val="18"/>
        </w:rPr>
        <w:t xml:space="preserve"> </w:t>
      </w:r>
    </w:p>
    <w:bookmarkStart w:id="113" w:name="fn36"/>
    <w:bookmarkEnd w:id="113"/>
    <w:p w14:paraId="75C9B510" w14:textId="77777777" w:rsidR="00B1511E" w:rsidRDefault="00000000">
      <w:pPr>
        <w:numPr>
          <w:ilvl w:val="0"/>
          <w:numId w:val="16"/>
        </w:numPr>
        <w:spacing w:after="210" w:line="360" w:lineRule="auto"/>
      </w:pPr>
      <w:r>
        <w:fldChar w:fldCharType="begin"/>
      </w:r>
      <w:r>
        <w:instrText>HYPERLINK "https://physoc.onlinelibrary.wiley.com/doi/10.1113/jphysiol.2013.268714" \h</w:instrText>
      </w:r>
      <w:r>
        <w:fldChar w:fldCharType="separate"/>
      </w:r>
      <w:r>
        <w:rPr>
          <w:rFonts w:ascii="inter" w:eastAsia="inter" w:hAnsi="inter" w:cs="inter"/>
          <w:sz w:val="18"/>
          <w:u w:val="single"/>
        </w:rPr>
        <w:t>https://physoc.onlinelibrary.wiley.com/doi/10.1113/jphysiol.2013.268714</w:t>
      </w:r>
      <w:r>
        <w:fldChar w:fldCharType="end"/>
      </w:r>
      <w:r>
        <w:rPr>
          <w:rFonts w:ascii="inter" w:eastAsia="inter" w:hAnsi="inter" w:cs="inter"/>
          <w:color w:val="000000"/>
          <w:sz w:val="18"/>
        </w:rPr>
        <w:t xml:space="preserve"> </w:t>
      </w:r>
    </w:p>
    <w:bookmarkStart w:id="114" w:name="fn37"/>
    <w:bookmarkEnd w:id="114"/>
    <w:p w14:paraId="5634170E" w14:textId="77777777" w:rsidR="00B1511E" w:rsidRDefault="00000000">
      <w:pPr>
        <w:numPr>
          <w:ilvl w:val="0"/>
          <w:numId w:val="16"/>
        </w:numPr>
        <w:spacing w:after="210" w:line="360" w:lineRule="auto"/>
      </w:pPr>
      <w:r>
        <w:fldChar w:fldCharType="begin"/>
      </w:r>
      <w:r>
        <w:instrText>HYPERLINK "https://pmc.ncbi.nlm.nih.gov/articles/PMC11559197/" \h</w:instrText>
      </w:r>
      <w:r>
        <w:fldChar w:fldCharType="separate"/>
      </w:r>
      <w:r>
        <w:rPr>
          <w:rFonts w:ascii="inter" w:eastAsia="inter" w:hAnsi="inter" w:cs="inter"/>
          <w:sz w:val="18"/>
          <w:u w:val="single"/>
        </w:rPr>
        <w:t>https://pmc.ncbi.nlm.nih.gov/articles/PMC11559197/</w:t>
      </w:r>
      <w:r>
        <w:fldChar w:fldCharType="end"/>
      </w:r>
      <w:r>
        <w:rPr>
          <w:rFonts w:ascii="inter" w:eastAsia="inter" w:hAnsi="inter" w:cs="inter"/>
          <w:color w:val="000000"/>
          <w:sz w:val="18"/>
        </w:rPr>
        <w:t xml:space="preserve"> </w:t>
      </w:r>
    </w:p>
    <w:bookmarkStart w:id="115" w:name="fn38"/>
    <w:bookmarkEnd w:id="115"/>
    <w:p w14:paraId="276551D3" w14:textId="77777777" w:rsidR="00B1511E" w:rsidRDefault="00000000">
      <w:pPr>
        <w:numPr>
          <w:ilvl w:val="0"/>
          <w:numId w:val="16"/>
        </w:numPr>
        <w:spacing w:after="210" w:line="360" w:lineRule="auto"/>
      </w:pPr>
      <w:r>
        <w:fldChar w:fldCharType="begin"/>
      </w:r>
      <w:r>
        <w:instrText>HYPERLINK "https://pmc.ncbi.nlm.nih.gov/articles/PMC5157112/" \h</w:instrText>
      </w:r>
      <w:r>
        <w:fldChar w:fldCharType="separate"/>
      </w:r>
      <w:r>
        <w:rPr>
          <w:rFonts w:ascii="inter" w:eastAsia="inter" w:hAnsi="inter" w:cs="inter"/>
          <w:sz w:val="18"/>
          <w:u w:val="single"/>
        </w:rPr>
        <w:t>https://pmc.ncbi.nlm.nih.gov/articles/PMC5157112/</w:t>
      </w:r>
      <w:r>
        <w:fldChar w:fldCharType="end"/>
      </w:r>
      <w:r>
        <w:rPr>
          <w:rFonts w:ascii="inter" w:eastAsia="inter" w:hAnsi="inter" w:cs="inter"/>
          <w:color w:val="000000"/>
          <w:sz w:val="18"/>
        </w:rPr>
        <w:t xml:space="preserve"> </w:t>
      </w:r>
    </w:p>
    <w:bookmarkStart w:id="116" w:name="fn39"/>
    <w:bookmarkEnd w:id="116"/>
    <w:p w14:paraId="7500C80B" w14:textId="77777777" w:rsidR="00B1511E" w:rsidRDefault="00000000">
      <w:pPr>
        <w:numPr>
          <w:ilvl w:val="0"/>
          <w:numId w:val="16"/>
        </w:numPr>
        <w:spacing w:after="210" w:line="360" w:lineRule="auto"/>
      </w:pPr>
      <w:r>
        <w:fldChar w:fldCharType="begin"/>
      </w:r>
      <w:r>
        <w:instrText>HYPERLINK "https://www.frontiersin.org/articles/10.3389/fnins.2015.00055/pdf" \h</w:instrText>
      </w:r>
      <w:r>
        <w:fldChar w:fldCharType="separate"/>
      </w:r>
      <w:r>
        <w:rPr>
          <w:rFonts w:ascii="inter" w:eastAsia="inter" w:hAnsi="inter" w:cs="inter"/>
          <w:sz w:val="18"/>
          <w:u w:val="single"/>
        </w:rPr>
        <w:t>https://www.frontiersin.org/articles/10.3389/fnins.2015.00055/pdf</w:t>
      </w:r>
      <w:r>
        <w:fldChar w:fldCharType="end"/>
      </w:r>
      <w:r>
        <w:rPr>
          <w:rFonts w:ascii="inter" w:eastAsia="inter" w:hAnsi="inter" w:cs="inter"/>
          <w:color w:val="000000"/>
          <w:sz w:val="18"/>
        </w:rPr>
        <w:t xml:space="preserve"> </w:t>
      </w:r>
    </w:p>
    <w:bookmarkStart w:id="117" w:name="fn40"/>
    <w:bookmarkEnd w:id="117"/>
    <w:p w14:paraId="3A073745" w14:textId="77777777" w:rsidR="00B1511E" w:rsidRDefault="00000000">
      <w:pPr>
        <w:numPr>
          <w:ilvl w:val="0"/>
          <w:numId w:val="16"/>
        </w:numPr>
        <w:spacing w:after="210" w:line="360" w:lineRule="auto"/>
      </w:pPr>
      <w:r>
        <w:fldChar w:fldCharType="begin"/>
      </w:r>
      <w:r>
        <w:instrText>HYPERLINK "https://pmc.ncbi.nlm.nih.gov/articles/PMC4364301/" \h</w:instrText>
      </w:r>
      <w:r>
        <w:fldChar w:fldCharType="separate"/>
      </w:r>
      <w:r>
        <w:rPr>
          <w:rFonts w:ascii="inter" w:eastAsia="inter" w:hAnsi="inter" w:cs="inter"/>
          <w:sz w:val="18"/>
          <w:u w:val="single"/>
        </w:rPr>
        <w:t>https://pmc.ncbi.nlm.nih.gov/articles/PMC4364301/</w:t>
      </w:r>
      <w:r>
        <w:fldChar w:fldCharType="end"/>
      </w:r>
      <w:r>
        <w:rPr>
          <w:rFonts w:ascii="inter" w:eastAsia="inter" w:hAnsi="inter" w:cs="inter"/>
          <w:color w:val="000000"/>
          <w:sz w:val="18"/>
        </w:rPr>
        <w:t xml:space="preserve"> </w:t>
      </w:r>
    </w:p>
    <w:bookmarkStart w:id="118" w:name="fn41"/>
    <w:bookmarkEnd w:id="118"/>
    <w:p w14:paraId="41E033D9" w14:textId="77777777" w:rsidR="00B1511E" w:rsidRDefault="00000000">
      <w:pPr>
        <w:numPr>
          <w:ilvl w:val="0"/>
          <w:numId w:val="16"/>
        </w:numPr>
        <w:spacing w:after="210" w:line="360" w:lineRule="auto"/>
      </w:pPr>
      <w:r>
        <w:fldChar w:fldCharType="begin"/>
      </w:r>
      <w:r>
        <w:instrText>HYPERLINK "https://pmc.ncbi.nlm.nih.gov/articles/PMC3683762/" \h</w:instrText>
      </w:r>
      <w:r>
        <w:fldChar w:fldCharType="separate"/>
      </w:r>
      <w:r>
        <w:rPr>
          <w:rFonts w:ascii="inter" w:eastAsia="inter" w:hAnsi="inter" w:cs="inter"/>
          <w:sz w:val="18"/>
          <w:u w:val="single"/>
        </w:rPr>
        <w:t>https://pmc.ncbi.nlm.nih.gov/articles/PMC3683762/</w:t>
      </w:r>
      <w:r>
        <w:fldChar w:fldCharType="end"/>
      </w:r>
      <w:r>
        <w:rPr>
          <w:rFonts w:ascii="inter" w:eastAsia="inter" w:hAnsi="inter" w:cs="inter"/>
          <w:color w:val="000000"/>
          <w:sz w:val="18"/>
        </w:rPr>
        <w:t xml:space="preserve"> </w:t>
      </w:r>
    </w:p>
    <w:bookmarkStart w:id="119" w:name="fn42"/>
    <w:bookmarkEnd w:id="119"/>
    <w:p w14:paraId="5131E73E" w14:textId="77777777" w:rsidR="00B1511E" w:rsidRDefault="00000000">
      <w:pPr>
        <w:numPr>
          <w:ilvl w:val="0"/>
          <w:numId w:val="16"/>
        </w:numPr>
        <w:spacing w:after="210" w:line="360" w:lineRule="auto"/>
      </w:pPr>
      <w:r>
        <w:fldChar w:fldCharType="begin"/>
      </w:r>
      <w:r>
        <w:instrText>HYPERLINK "https://pmc.ncbi.nlm.nih.gov/articles/PMC7395018/" \h</w:instrText>
      </w:r>
      <w:r>
        <w:fldChar w:fldCharType="separate"/>
      </w:r>
      <w:r>
        <w:rPr>
          <w:rFonts w:ascii="inter" w:eastAsia="inter" w:hAnsi="inter" w:cs="inter"/>
          <w:sz w:val="18"/>
          <w:u w:val="single"/>
        </w:rPr>
        <w:t>https://pmc.ncbi.nlm.nih.gov/articles/PMC7395018/</w:t>
      </w:r>
      <w:r>
        <w:fldChar w:fldCharType="end"/>
      </w:r>
      <w:r>
        <w:rPr>
          <w:rFonts w:ascii="inter" w:eastAsia="inter" w:hAnsi="inter" w:cs="inter"/>
          <w:color w:val="000000"/>
          <w:sz w:val="18"/>
        </w:rPr>
        <w:t xml:space="preserve"> </w:t>
      </w:r>
    </w:p>
    <w:bookmarkStart w:id="120" w:name="fn43"/>
    <w:bookmarkEnd w:id="120"/>
    <w:p w14:paraId="02812672" w14:textId="77777777" w:rsidR="00B1511E" w:rsidRDefault="00000000">
      <w:pPr>
        <w:numPr>
          <w:ilvl w:val="0"/>
          <w:numId w:val="16"/>
        </w:numPr>
        <w:spacing w:after="210" w:line="360" w:lineRule="auto"/>
      </w:pPr>
      <w:r>
        <w:fldChar w:fldCharType="begin"/>
      </w:r>
      <w:r>
        <w:instrText>HYPERLINK "https://pmc.ncbi.nlm.nih.gov/articles/PMC7002193/" \h</w:instrText>
      </w:r>
      <w:r>
        <w:fldChar w:fldCharType="separate"/>
      </w:r>
      <w:r>
        <w:rPr>
          <w:rFonts w:ascii="inter" w:eastAsia="inter" w:hAnsi="inter" w:cs="inter"/>
          <w:sz w:val="18"/>
          <w:u w:val="single"/>
        </w:rPr>
        <w:t>https://pmc.ncbi.nlm.nih.gov/articles/PMC7002193/</w:t>
      </w:r>
      <w:r>
        <w:fldChar w:fldCharType="end"/>
      </w:r>
      <w:r>
        <w:rPr>
          <w:rFonts w:ascii="inter" w:eastAsia="inter" w:hAnsi="inter" w:cs="inter"/>
          <w:color w:val="000000"/>
          <w:sz w:val="18"/>
        </w:rPr>
        <w:t xml:space="preserve"> </w:t>
      </w:r>
    </w:p>
    <w:bookmarkStart w:id="121" w:name="fn44"/>
    <w:bookmarkEnd w:id="121"/>
    <w:p w14:paraId="2FAC8CA0" w14:textId="77777777" w:rsidR="00B1511E" w:rsidRDefault="00000000">
      <w:pPr>
        <w:numPr>
          <w:ilvl w:val="0"/>
          <w:numId w:val="16"/>
        </w:numPr>
        <w:spacing w:after="210" w:line="360" w:lineRule="auto"/>
      </w:pPr>
      <w:r>
        <w:fldChar w:fldCharType="begin"/>
      </w:r>
      <w:r>
        <w:instrText>HYPERLINK "https://pmc.ncbi.nlm.nih.gov/articles/PMC9014290/" \h</w:instrText>
      </w:r>
      <w:r>
        <w:fldChar w:fldCharType="separate"/>
      </w:r>
      <w:r>
        <w:rPr>
          <w:rFonts w:ascii="inter" w:eastAsia="inter" w:hAnsi="inter" w:cs="inter"/>
          <w:sz w:val="18"/>
          <w:u w:val="single"/>
        </w:rPr>
        <w:t>https://pmc.ncbi.nlm.nih.gov/articles/PMC9014290/</w:t>
      </w:r>
      <w:r>
        <w:fldChar w:fldCharType="end"/>
      </w:r>
      <w:r>
        <w:rPr>
          <w:rFonts w:ascii="inter" w:eastAsia="inter" w:hAnsi="inter" w:cs="inter"/>
          <w:color w:val="000000"/>
          <w:sz w:val="18"/>
        </w:rPr>
        <w:t xml:space="preserve"> </w:t>
      </w:r>
    </w:p>
    <w:bookmarkStart w:id="122" w:name="fn45"/>
    <w:bookmarkEnd w:id="122"/>
    <w:p w14:paraId="099BAC39" w14:textId="77777777" w:rsidR="00B1511E" w:rsidRDefault="00000000">
      <w:pPr>
        <w:numPr>
          <w:ilvl w:val="0"/>
          <w:numId w:val="16"/>
        </w:numPr>
        <w:spacing w:after="210" w:line="360" w:lineRule="auto"/>
      </w:pPr>
      <w:r>
        <w:fldChar w:fldCharType="begin"/>
      </w:r>
      <w:r>
        <w:instrText>HYPERLINK "https://pmc.ncbi.nlm.nih.gov/articles/PMC6553455/" \h</w:instrText>
      </w:r>
      <w:r>
        <w:fldChar w:fldCharType="separate"/>
      </w:r>
      <w:r>
        <w:rPr>
          <w:rFonts w:ascii="inter" w:eastAsia="inter" w:hAnsi="inter" w:cs="inter"/>
          <w:sz w:val="18"/>
          <w:u w:val="single"/>
        </w:rPr>
        <w:t>https://pmc.ncbi.nlm.nih.gov/articles/PMC6553455/</w:t>
      </w:r>
      <w:r>
        <w:fldChar w:fldCharType="end"/>
      </w:r>
      <w:r>
        <w:rPr>
          <w:rFonts w:ascii="inter" w:eastAsia="inter" w:hAnsi="inter" w:cs="inter"/>
          <w:color w:val="000000"/>
          <w:sz w:val="18"/>
        </w:rPr>
        <w:t xml:space="preserve"> </w:t>
      </w:r>
    </w:p>
    <w:bookmarkStart w:id="123" w:name="fn46"/>
    <w:bookmarkEnd w:id="123"/>
    <w:p w14:paraId="342AC5DF" w14:textId="77777777" w:rsidR="00B1511E" w:rsidRDefault="00000000">
      <w:pPr>
        <w:numPr>
          <w:ilvl w:val="0"/>
          <w:numId w:val="16"/>
        </w:numPr>
        <w:spacing w:after="210" w:line="360" w:lineRule="auto"/>
      </w:pPr>
      <w:r>
        <w:fldChar w:fldCharType="begin"/>
      </w:r>
      <w:r>
        <w:instrText>HYPERLINK "https://pmc.ncbi.nlm.nih.gov/articles/PMC10134593/" \h</w:instrText>
      </w:r>
      <w:r>
        <w:fldChar w:fldCharType="separate"/>
      </w:r>
      <w:r>
        <w:rPr>
          <w:rFonts w:ascii="inter" w:eastAsia="inter" w:hAnsi="inter" w:cs="inter"/>
          <w:sz w:val="18"/>
          <w:u w:val="single"/>
        </w:rPr>
        <w:t>https://pmc.ncbi.nlm.nih.gov/articles/PMC10134593/</w:t>
      </w:r>
      <w:r>
        <w:fldChar w:fldCharType="end"/>
      </w:r>
      <w:r>
        <w:rPr>
          <w:rFonts w:ascii="inter" w:eastAsia="inter" w:hAnsi="inter" w:cs="inter"/>
          <w:color w:val="000000"/>
          <w:sz w:val="18"/>
        </w:rPr>
        <w:t xml:space="preserve"> </w:t>
      </w:r>
    </w:p>
    <w:bookmarkStart w:id="124" w:name="fn47"/>
    <w:bookmarkEnd w:id="124"/>
    <w:p w14:paraId="67F5DA92" w14:textId="77777777" w:rsidR="00B1511E" w:rsidRDefault="00000000">
      <w:pPr>
        <w:numPr>
          <w:ilvl w:val="0"/>
          <w:numId w:val="16"/>
        </w:numPr>
        <w:spacing w:after="210" w:line="360" w:lineRule="auto"/>
      </w:pPr>
      <w:r>
        <w:fldChar w:fldCharType="begin"/>
      </w:r>
      <w:r>
        <w:instrText>HYPERLINK "https://pmc.ncbi.nlm.nih.gov/articles/PMC4513495/" \h</w:instrText>
      </w:r>
      <w:r>
        <w:fldChar w:fldCharType="separate"/>
      </w:r>
      <w:r>
        <w:rPr>
          <w:rFonts w:ascii="inter" w:eastAsia="inter" w:hAnsi="inter" w:cs="inter"/>
          <w:sz w:val="18"/>
          <w:u w:val="single"/>
        </w:rPr>
        <w:t>https://pmc.ncbi.nlm.nih.gov/articles/PMC4513495/</w:t>
      </w:r>
      <w:r>
        <w:fldChar w:fldCharType="end"/>
      </w:r>
      <w:r>
        <w:rPr>
          <w:rFonts w:ascii="inter" w:eastAsia="inter" w:hAnsi="inter" w:cs="inter"/>
          <w:color w:val="000000"/>
          <w:sz w:val="18"/>
        </w:rPr>
        <w:t xml:space="preserve"> </w:t>
      </w:r>
    </w:p>
    <w:bookmarkStart w:id="125" w:name="fn48"/>
    <w:bookmarkEnd w:id="125"/>
    <w:p w14:paraId="5DCEF5B8" w14:textId="77777777" w:rsidR="00B1511E" w:rsidRDefault="00000000">
      <w:pPr>
        <w:numPr>
          <w:ilvl w:val="0"/>
          <w:numId w:val="16"/>
        </w:numPr>
        <w:spacing w:after="210" w:line="360" w:lineRule="auto"/>
      </w:pPr>
      <w:r>
        <w:fldChar w:fldCharType="begin"/>
      </w:r>
      <w:r>
        <w:instrText>HYPERLINK "https://pmc.ncbi.nlm.nih.gov/articles/PMC7478949/" \h</w:instrText>
      </w:r>
      <w:r>
        <w:fldChar w:fldCharType="separate"/>
      </w:r>
      <w:r>
        <w:rPr>
          <w:rFonts w:ascii="inter" w:eastAsia="inter" w:hAnsi="inter" w:cs="inter"/>
          <w:sz w:val="18"/>
          <w:u w:val="single"/>
        </w:rPr>
        <w:t>https://pmc.ncbi.nlm.nih.gov/articles/PMC7478949/</w:t>
      </w:r>
      <w:r>
        <w:fldChar w:fldCharType="end"/>
      </w:r>
      <w:r>
        <w:rPr>
          <w:rFonts w:ascii="inter" w:eastAsia="inter" w:hAnsi="inter" w:cs="inter"/>
          <w:color w:val="000000"/>
          <w:sz w:val="18"/>
        </w:rPr>
        <w:t xml:space="preserve"> </w:t>
      </w:r>
    </w:p>
    <w:bookmarkStart w:id="126" w:name="fn49"/>
    <w:bookmarkEnd w:id="126"/>
    <w:p w14:paraId="67B57626" w14:textId="77777777" w:rsidR="00B1511E" w:rsidRDefault="00000000">
      <w:pPr>
        <w:numPr>
          <w:ilvl w:val="0"/>
          <w:numId w:val="16"/>
        </w:numPr>
        <w:spacing w:after="210" w:line="360" w:lineRule="auto"/>
      </w:pPr>
      <w:r>
        <w:fldChar w:fldCharType="begin"/>
      </w:r>
      <w:r>
        <w:instrText>HYPERLINK "https://onlinelibrary.wiley.com/doi/pdfdirect/10.14814/phy2.15259" \h</w:instrText>
      </w:r>
      <w:r>
        <w:fldChar w:fldCharType="separate"/>
      </w:r>
      <w:r>
        <w:rPr>
          <w:rFonts w:ascii="inter" w:eastAsia="inter" w:hAnsi="inter" w:cs="inter"/>
          <w:sz w:val="18"/>
          <w:u w:val="single"/>
        </w:rPr>
        <w:t>https://onlinelibrary.wiley.com/doi/pdfdirect/10.14814/phy2.15259</w:t>
      </w:r>
      <w:r>
        <w:fldChar w:fldCharType="end"/>
      </w:r>
      <w:r>
        <w:rPr>
          <w:rFonts w:ascii="inter" w:eastAsia="inter" w:hAnsi="inter" w:cs="inter"/>
          <w:color w:val="000000"/>
          <w:sz w:val="18"/>
        </w:rPr>
        <w:t xml:space="preserve"> </w:t>
      </w:r>
    </w:p>
    <w:bookmarkStart w:id="127" w:name="fn50"/>
    <w:bookmarkEnd w:id="127"/>
    <w:p w14:paraId="378275A2" w14:textId="77777777" w:rsidR="00B1511E" w:rsidRDefault="00000000">
      <w:pPr>
        <w:numPr>
          <w:ilvl w:val="0"/>
          <w:numId w:val="16"/>
        </w:numPr>
        <w:spacing w:after="210" w:line="360" w:lineRule="auto"/>
      </w:pPr>
      <w:r>
        <w:fldChar w:fldCharType="begin"/>
      </w:r>
      <w:r>
        <w:instrText>HYPERLINK "https://pmc.ncbi.nlm.nih.gov/articles/PMC8797003/" \h</w:instrText>
      </w:r>
      <w:r>
        <w:fldChar w:fldCharType="separate"/>
      </w:r>
      <w:r>
        <w:rPr>
          <w:rFonts w:ascii="inter" w:eastAsia="inter" w:hAnsi="inter" w:cs="inter"/>
          <w:sz w:val="18"/>
          <w:u w:val="single"/>
        </w:rPr>
        <w:t>https://pmc.ncbi.nlm.nih.gov/articles/PMC8797003/</w:t>
      </w:r>
      <w:r>
        <w:fldChar w:fldCharType="end"/>
      </w:r>
      <w:r>
        <w:rPr>
          <w:rFonts w:ascii="inter" w:eastAsia="inter" w:hAnsi="inter" w:cs="inter"/>
          <w:color w:val="000000"/>
          <w:sz w:val="18"/>
        </w:rPr>
        <w:t xml:space="preserve"> </w:t>
      </w:r>
    </w:p>
    <w:bookmarkStart w:id="128" w:name="fn51"/>
    <w:bookmarkEnd w:id="128"/>
    <w:p w14:paraId="22E79BEC" w14:textId="77777777" w:rsidR="00B1511E" w:rsidRDefault="00000000">
      <w:pPr>
        <w:numPr>
          <w:ilvl w:val="0"/>
          <w:numId w:val="16"/>
        </w:numPr>
        <w:spacing w:after="210" w:line="360" w:lineRule="auto"/>
      </w:pPr>
      <w:r>
        <w:fldChar w:fldCharType="begin"/>
      </w:r>
      <w:r>
        <w:instrText>HYPERLINK "https://www.semanticscholar.org/paper/74d6e0a2d84c8bc3fb1a626062c42d12f5669f04" \h</w:instrText>
      </w:r>
      <w:r>
        <w:fldChar w:fldCharType="separate"/>
      </w:r>
      <w:r>
        <w:rPr>
          <w:rFonts w:ascii="inter" w:eastAsia="inter" w:hAnsi="inter" w:cs="inter"/>
          <w:sz w:val="18"/>
          <w:u w:val="single"/>
        </w:rPr>
        <w:t>https://www.semanticscholar.org/paper/74d6e0a2d84c8bc3fb1a626062c42d12f5669f04</w:t>
      </w:r>
      <w:r>
        <w:fldChar w:fldCharType="end"/>
      </w:r>
      <w:r>
        <w:rPr>
          <w:rFonts w:ascii="inter" w:eastAsia="inter" w:hAnsi="inter" w:cs="inter"/>
          <w:color w:val="000000"/>
          <w:sz w:val="18"/>
        </w:rPr>
        <w:t xml:space="preserve"> </w:t>
      </w:r>
    </w:p>
    <w:bookmarkStart w:id="129" w:name="fn52"/>
    <w:bookmarkEnd w:id="129"/>
    <w:p w14:paraId="2A557EEF" w14:textId="77777777" w:rsidR="00B1511E" w:rsidRDefault="00000000">
      <w:pPr>
        <w:numPr>
          <w:ilvl w:val="0"/>
          <w:numId w:val="16"/>
        </w:numPr>
        <w:spacing w:after="210" w:line="360" w:lineRule="auto"/>
      </w:pPr>
      <w:r>
        <w:fldChar w:fldCharType="begin"/>
      </w:r>
      <w:r>
        <w:instrText>HYPERLINK "https://services.igi-global.com/resolvedoi/resolve.aspx?doi=10.4018/978-1-4666-5888-2.ch636" \h</w:instrText>
      </w:r>
      <w:r>
        <w:fldChar w:fldCharType="separate"/>
      </w:r>
      <w:r>
        <w:rPr>
          <w:rFonts w:ascii="inter" w:eastAsia="inter" w:hAnsi="inter" w:cs="inter"/>
          <w:sz w:val="18"/>
          <w:u w:val="single"/>
        </w:rPr>
        <w:t>https://services.igi-global.com/resolvedoi/resolve.aspx?doi=10.4018/978-1-4666-5888-2.ch636</w:t>
      </w:r>
      <w:r>
        <w:fldChar w:fldCharType="end"/>
      </w:r>
      <w:r>
        <w:rPr>
          <w:rFonts w:ascii="inter" w:eastAsia="inter" w:hAnsi="inter" w:cs="inter"/>
          <w:color w:val="000000"/>
          <w:sz w:val="18"/>
        </w:rPr>
        <w:t xml:space="preserve"> </w:t>
      </w:r>
    </w:p>
    <w:bookmarkStart w:id="130" w:name="fn53"/>
    <w:bookmarkEnd w:id="130"/>
    <w:p w14:paraId="2CF35444" w14:textId="77777777" w:rsidR="00B1511E" w:rsidRDefault="00000000">
      <w:pPr>
        <w:numPr>
          <w:ilvl w:val="0"/>
          <w:numId w:val="16"/>
        </w:numPr>
        <w:spacing w:after="210" w:line="360" w:lineRule="auto"/>
      </w:pPr>
      <w:r>
        <w:fldChar w:fldCharType="begin"/>
      </w:r>
      <w:r>
        <w:instrText>HYPERLINK "https://www.semanticscholar.org/paper/663a289682c19c9332e945eefa46895c08882994" \h</w:instrText>
      </w:r>
      <w:r>
        <w:fldChar w:fldCharType="separate"/>
      </w:r>
      <w:r>
        <w:rPr>
          <w:rFonts w:ascii="inter" w:eastAsia="inter" w:hAnsi="inter" w:cs="inter"/>
          <w:sz w:val="18"/>
          <w:u w:val="single"/>
        </w:rPr>
        <w:t>https://www.semanticscholar.org/paper/663a289682c19c9332e945eefa46895c08882994</w:t>
      </w:r>
      <w:r>
        <w:fldChar w:fldCharType="end"/>
      </w:r>
      <w:r>
        <w:rPr>
          <w:rFonts w:ascii="inter" w:eastAsia="inter" w:hAnsi="inter" w:cs="inter"/>
          <w:color w:val="000000"/>
          <w:sz w:val="18"/>
        </w:rPr>
        <w:t xml:space="preserve"> </w:t>
      </w:r>
    </w:p>
    <w:bookmarkStart w:id="131" w:name="fn54"/>
    <w:bookmarkEnd w:id="131"/>
    <w:p w14:paraId="0DF48C73" w14:textId="77777777" w:rsidR="00B1511E" w:rsidRDefault="00000000">
      <w:pPr>
        <w:numPr>
          <w:ilvl w:val="0"/>
          <w:numId w:val="16"/>
        </w:numPr>
        <w:spacing w:after="210" w:line="360" w:lineRule="auto"/>
      </w:pPr>
      <w:r>
        <w:fldChar w:fldCharType="begin"/>
      </w:r>
      <w:r>
        <w:instrText>HYPERLINK "https://www.semanticscholar.org/paper/b1163555eca3249bef478638ffb7505618d50143" \h</w:instrText>
      </w:r>
      <w:r>
        <w:fldChar w:fldCharType="separate"/>
      </w:r>
      <w:r>
        <w:rPr>
          <w:rFonts w:ascii="inter" w:eastAsia="inter" w:hAnsi="inter" w:cs="inter"/>
          <w:sz w:val="18"/>
          <w:u w:val="single"/>
        </w:rPr>
        <w:t>https://www.semanticscholar.org/paper/b1163555eca3249bef478638ffb7505618d50143</w:t>
      </w:r>
      <w:r>
        <w:fldChar w:fldCharType="end"/>
      </w:r>
      <w:r>
        <w:rPr>
          <w:rFonts w:ascii="inter" w:eastAsia="inter" w:hAnsi="inter" w:cs="inter"/>
          <w:color w:val="000000"/>
          <w:sz w:val="18"/>
        </w:rPr>
        <w:t xml:space="preserve"> </w:t>
      </w:r>
    </w:p>
    <w:bookmarkStart w:id="132" w:name="fn55"/>
    <w:bookmarkEnd w:id="132"/>
    <w:p w14:paraId="79BCBFC9" w14:textId="77777777" w:rsidR="00B1511E" w:rsidRDefault="00000000">
      <w:pPr>
        <w:numPr>
          <w:ilvl w:val="0"/>
          <w:numId w:val="16"/>
        </w:numPr>
        <w:spacing w:after="210" w:line="360" w:lineRule="auto"/>
      </w:pPr>
      <w:r>
        <w:fldChar w:fldCharType="begin"/>
      </w:r>
      <w:r>
        <w:instrText>HYPERLINK "http://www.worldscientific.com/doi/abs/10.1142/9789814556781_0001" \h</w:instrText>
      </w:r>
      <w:r>
        <w:fldChar w:fldCharType="separate"/>
      </w:r>
      <w:r>
        <w:rPr>
          <w:rFonts w:ascii="inter" w:eastAsia="inter" w:hAnsi="inter" w:cs="inter"/>
          <w:sz w:val="18"/>
          <w:u w:val="single"/>
        </w:rPr>
        <w:t>http://www.worldscientific.com/doi/abs/10.1142/9789814556781_0001</w:t>
      </w:r>
      <w:r>
        <w:fldChar w:fldCharType="end"/>
      </w:r>
      <w:r>
        <w:rPr>
          <w:rFonts w:ascii="inter" w:eastAsia="inter" w:hAnsi="inter" w:cs="inter"/>
          <w:color w:val="000000"/>
          <w:sz w:val="18"/>
        </w:rPr>
        <w:t xml:space="preserve"> </w:t>
      </w:r>
    </w:p>
    <w:bookmarkStart w:id="133" w:name="fn56"/>
    <w:bookmarkEnd w:id="133"/>
    <w:p w14:paraId="59168212" w14:textId="77777777" w:rsidR="00B1511E" w:rsidRDefault="00000000">
      <w:pPr>
        <w:numPr>
          <w:ilvl w:val="0"/>
          <w:numId w:val="16"/>
        </w:numPr>
        <w:spacing w:after="210" w:line="360" w:lineRule="auto"/>
      </w:pPr>
      <w:r>
        <w:fldChar w:fldCharType="begin"/>
      </w:r>
      <w:r>
        <w:instrText>HYPERLINK "https://www.wellbeingintlstudiesrepository.org/animsent/vol3/iss22/5" \h</w:instrText>
      </w:r>
      <w:r>
        <w:fldChar w:fldCharType="separate"/>
      </w:r>
      <w:r>
        <w:rPr>
          <w:rFonts w:ascii="inter" w:eastAsia="inter" w:hAnsi="inter" w:cs="inter"/>
          <w:sz w:val="18"/>
          <w:u w:val="single"/>
        </w:rPr>
        <w:t>https://www.wellbeingintlstudiesrepository.org/animsent/vol3/iss22/5</w:t>
      </w:r>
      <w:r>
        <w:fldChar w:fldCharType="end"/>
      </w:r>
      <w:r>
        <w:rPr>
          <w:rFonts w:ascii="inter" w:eastAsia="inter" w:hAnsi="inter" w:cs="inter"/>
          <w:color w:val="000000"/>
          <w:sz w:val="18"/>
        </w:rPr>
        <w:t xml:space="preserve"> </w:t>
      </w:r>
    </w:p>
    <w:bookmarkStart w:id="134" w:name="fn57"/>
    <w:bookmarkEnd w:id="134"/>
    <w:p w14:paraId="4F88D6B6" w14:textId="77777777" w:rsidR="00B1511E" w:rsidRDefault="00000000">
      <w:pPr>
        <w:numPr>
          <w:ilvl w:val="0"/>
          <w:numId w:val="16"/>
        </w:numPr>
        <w:spacing w:after="210" w:line="360" w:lineRule="auto"/>
      </w:pPr>
      <w:r>
        <w:fldChar w:fldCharType="begin"/>
      </w:r>
      <w:r>
        <w:instrText>HYPERLINK "https://pmc.ncbi.nlm.nih.gov/articles/PMC9197235/" \h</w:instrText>
      </w:r>
      <w:r>
        <w:fldChar w:fldCharType="separate"/>
      </w:r>
      <w:r>
        <w:rPr>
          <w:rFonts w:ascii="inter" w:eastAsia="inter" w:hAnsi="inter" w:cs="inter"/>
          <w:sz w:val="18"/>
          <w:u w:val="single"/>
        </w:rPr>
        <w:t>https://pmc.ncbi.nlm.nih.gov/articles/PMC9197235/</w:t>
      </w:r>
      <w:r>
        <w:fldChar w:fldCharType="end"/>
      </w:r>
      <w:r>
        <w:rPr>
          <w:rFonts w:ascii="inter" w:eastAsia="inter" w:hAnsi="inter" w:cs="inter"/>
          <w:color w:val="000000"/>
          <w:sz w:val="18"/>
        </w:rPr>
        <w:t xml:space="preserve"> </w:t>
      </w:r>
    </w:p>
    <w:bookmarkStart w:id="135" w:name="fn58"/>
    <w:bookmarkEnd w:id="135"/>
    <w:p w14:paraId="4FA1ECB7" w14:textId="77777777" w:rsidR="00B1511E" w:rsidRDefault="00000000">
      <w:pPr>
        <w:numPr>
          <w:ilvl w:val="0"/>
          <w:numId w:val="16"/>
        </w:numPr>
        <w:spacing w:after="210" w:line="360" w:lineRule="auto"/>
      </w:pPr>
      <w:r>
        <w:fldChar w:fldCharType="begin"/>
      </w:r>
      <w:r>
        <w:instrText>HYPERLINK "https://pmc.ncbi.nlm.nih.gov/articles/PMC6752744/" \h</w:instrText>
      </w:r>
      <w:r>
        <w:fldChar w:fldCharType="separate"/>
      </w:r>
      <w:r>
        <w:rPr>
          <w:rFonts w:ascii="inter" w:eastAsia="inter" w:hAnsi="inter" w:cs="inter"/>
          <w:sz w:val="18"/>
          <w:u w:val="single"/>
        </w:rPr>
        <w:t>https://pmc.ncbi.nlm.nih.gov/articles/PMC6752744/</w:t>
      </w:r>
      <w:r>
        <w:fldChar w:fldCharType="end"/>
      </w:r>
      <w:r>
        <w:rPr>
          <w:rFonts w:ascii="inter" w:eastAsia="inter" w:hAnsi="inter" w:cs="inter"/>
          <w:color w:val="000000"/>
          <w:sz w:val="18"/>
        </w:rPr>
        <w:t xml:space="preserve"> </w:t>
      </w:r>
    </w:p>
    <w:bookmarkStart w:id="136" w:name="fn59"/>
    <w:bookmarkEnd w:id="136"/>
    <w:p w14:paraId="12031834" w14:textId="77777777" w:rsidR="00B1511E" w:rsidRDefault="00000000">
      <w:pPr>
        <w:numPr>
          <w:ilvl w:val="0"/>
          <w:numId w:val="16"/>
        </w:numPr>
        <w:spacing w:after="210" w:line="360" w:lineRule="auto"/>
      </w:pPr>
      <w:r>
        <w:fldChar w:fldCharType="begin"/>
      </w:r>
      <w:r>
        <w:instrText>HYPERLINK "http://arxiv.org/pdf/2412.09554.pdf" \h</w:instrText>
      </w:r>
      <w:r>
        <w:fldChar w:fldCharType="separate"/>
      </w:r>
      <w:r>
        <w:rPr>
          <w:rFonts w:ascii="inter" w:eastAsia="inter" w:hAnsi="inter" w:cs="inter"/>
          <w:sz w:val="18"/>
          <w:u w:val="single"/>
        </w:rPr>
        <w:t>http://arxiv.org/pdf/2412.09554.pdf</w:t>
      </w:r>
      <w:r>
        <w:fldChar w:fldCharType="end"/>
      </w:r>
      <w:r>
        <w:rPr>
          <w:rFonts w:ascii="inter" w:eastAsia="inter" w:hAnsi="inter" w:cs="inter"/>
          <w:color w:val="000000"/>
          <w:sz w:val="18"/>
        </w:rPr>
        <w:t xml:space="preserve"> </w:t>
      </w:r>
    </w:p>
    <w:bookmarkStart w:id="137" w:name="fn60"/>
    <w:bookmarkEnd w:id="137"/>
    <w:p w14:paraId="1BC42FB3" w14:textId="77777777" w:rsidR="00B1511E" w:rsidRDefault="00000000">
      <w:pPr>
        <w:numPr>
          <w:ilvl w:val="0"/>
          <w:numId w:val="16"/>
        </w:numPr>
        <w:spacing w:after="210" w:line="360" w:lineRule="auto"/>
      </w:pPr>
      <w:r>
        <w:fldChar w:fldCharType="begin"/>
      </w:r>
      <w:r>
        <w:instrText>HYPERLINK "https://pmc.ncbi.nlm.nih.gov/articles/PMC4329228/" \h</w:instrText>
      </w:r>
      <w:r>
        <w:fldChar w:fldCharType="separate"/>
      </w:r>
      <w:r>
        <w:rPr>
          <w:rFonts w:ascii="inter" w:eastAsia="inter" w:hAnsi="inter" w:cs="inter"/>
          <w:sz w:val="18"/>
          <w:u w:val="single"/>
        </w:rPr>
        <w:t>https://pmc.ncbi.nlm.nih.gov/articles/PMC4329228/</w:t>
      </w:r>
      <w:r>
        <w:fldChar w:fldCharType="end"/>
      </w:r>
      <w:r>
        <w:rPr>
          <w:rFonts w:ascii="inter" w:eastAsia="inter" w:hAnsi="inter" w:cs="inter"/>
          <w:color w:val="000000"/>
          <w:sz w:val="18"/>
        </w:rPr>
        <w:t xml:space="preserve"> </w:t>
      </w:r>
    </w:p>
    <w:bookmarkStart w:id="138" w:name="fn61"/>
    <w:bookmarkEnd w:id="138"/>
    <w:p w14:paraId="5066B154" w14:textId="77777777" w:rsidR="00B1511E" w:rsidRDefault="00000000">
      <w:pPr>
        <w:numPr>
          <w:ilvl w:val="0"/>
          <w:numId w:val="16"/>
        </w:numPr>
        <w:spacing w:after="210" w:line="360" w:lineRule="auto"/>
      </w:pPr>
      <w:r>
        <w:fldChar w:fldCharType="begin"/>
      </w:r>
      <w:r>
        <w:instrText>HYPERLINK "https://pmc.ncbi.nlm.nih.gov/articles/PMC8228195/" \h</w:instrText>
      </w:r>
      <w:r>
        <w:fldChar w:fldCharType="separate"/>
      </w:r>
      <w:r>
        <w:rPr>
          <w:rFonts w:ascii="inter" w:eastAsia="inter" w:hAnsi="inter" w:cs="inter"/>
          <w:sz w:val="18"/>
          <w:u w:val="single"/>
        </w:rPr>
        <w:t>https://pmc.ncbi.nlm.nih.gov/articles/PMC8228195/</w:t>
      </w:r>
      <w:r>
        <w:fldChar w:fldCharType="end"/>
      </w:r>
      <w:r>
        <w:rPr>
          <w:rFonts w:ascii="inter" w:eastAsia="inter" w:hAnsi="inter" w:cs="inter"/>
          <w:color w:val="000000"/>
          <w:sz w:val="18"/>
        </w:rPr>
        <w:t xml:space="preserve"> </w:t>
      </w:r>
    </w:p>
    <w:bookmarkStart w:id="139" w:name="fn62"/>
    <w:bookmarkEnd w:id="139"/>
    <w:p w14:paraId="0EADD26A" w14:textId="77777777" w:rsidR="00B1511E" w:rsidRDefault="00000000">
      <w:pPr>
        <w:numPr>
          <w:ilvl w:val="0"/>
          <w:numId w:val="16"/>
        </w:numPr>
        <w:spacing w:after="210" w:line="360" w:lineRule="auto"/>
      </w:pPr>
      <w:r>
        <w:fldChar w:fldCharType="begin"/>
      </w:r>
      <w:r>
        <w:instrText>HYPERLINK "https://pmc.ncbi.nlm.nih.gov/articles/PMC10110432/" \h</w:instrText>
      </w:r>
      <w:r>
        <w:fldChar w:fldCharType="separate"/>
      </w:r>
      <w:r>
        <w:rPr>
          <w:rFonts w:ascii="inter" w:eastAsia="inter" w:hAnsi="inter" w:cs="inter"/>
          <w:sz w:val="18"/>
          <w:u w:val="single"/>
        </w:rPr>
        <w:t>https://pmc.ncbi.nlm.nih.gov/articles/PMC10110432/</w:t>
      </w:r>
      <w:r>
        <w:fldChar w:fldCharType="end"/>
      </w:r>
      <w:r>
        <w:rPr>
          <w:rFonts w:ascii="inter" w:eastAsia="inter" w:hAnsi="inter" w:cs="inter"/>
          <w:color w:val="000000"/>
          <w:sz w:val="18"/>
        </w:rPr>
        <w:t xml:space="preserve"> </w:t>
      </w:r>
    </w:p>
    <w:bookmarkStart w:id="140" w:name="fn63"/>
    <w:bookmarkEnd w:id="140"/>
    <w:p w14:paraId="3D6DD964" w14:textId="77777777" w:rsidR="00B1511E" w:rsidRDefault="00000000">
      <w:pPr>
        <w:numPr>
          <w:ilvl w:val="0"/>
          <w:numId w:val="16"/>
        </w:numPr>
        <w:spacing w:after="210" w:line="360" w:lineRule="auto"/>
      </w:pPr>
      <w:r>
        <w:fldChar w:fldCharType="begin"/>
      </w:r>
      <w:r>
        <w:instrText>HYPERLINK "https://www.frontiersin.org/articles/10.3389/fnhum.2015.00662/pdf" \h</w:instrText>
      </w:r>
      <w:r>
        <w:fldChar w:fldCharType="separate"/>
      </w:r>
      <w:r>
        <w:rPr>
          <w:rFonts w:ascii="inter" w:eastAsia="inter" w:hAnsi="inter" w:cs="inter"/>
          <w:sz w:val="18"/>
          <w:u w:val="single"/>
        </w:rPr>
        <w:t>https://www.frontiersin.org/articles/10.3389/fnhum.2015.00662/pdf</w:t>
      </w:r>
      <w:r>
        <w:fldChar w:fldCharType="end"/>
      </w:r>
      <w:r>
        <w:rPr>
          <w:rFonts w:ascii="inter" w:eastAsia="inter" w:hAnsi="inter" w:cs="inter"/>
          <w:color w:val="000000"/>
          <w:sz w:val="18"/>
        </w:rPr>
        <w:t xml:space="preserve"> </w:t>
      </w:r>
    </w:p>
    <w:bookmarkStart w:id="141" w:name="fn64"/>
    <w:bookmarkEnd w:id="141"/>
    <w:p w14:paraId="3A39A39A" w14:textId="77777777" w:rsidR="00B1511E" w:rsidRDefault="00000000">
      <w:pPr>
        <w:numPr>
          <w:ilvl w:val="0"/>
          <w:numId w:val="16"/>
        </w:numPr>
        <w:spacing w:after="210" w:line="360" w:lineRule="auto"/>
      </w:pPr>
      <w:r>
        <w:fldChar w:fldCharType="begin"/>
      </w:r>
      <w:r>
        <w:instrText>HYPERLINK "https://pmc.ncbi.nlm.nih.gov/articles/PMC6741280/" \h</w:instrText>
      </w:r>
      <w:r>
        <w:fldChar w:fldCharType="separate"/>
      </w:r>
      <w:r>
        <w:rPr>
          <w:rFonts w:ascii="inter" w:eastAsia="inter" w:hAnsi="inter" w:cs="inter"/>
          <w:sz w:val="18"/>
          <w:u w:val="single"/>
        </w:rPr>
        <w:t>https://pmc.ncbi.nlm.nih.gov/articles/PMC6741280/</w:t>
      </w:r>
      <w:r>
        <w:fldChar w:fldCharType="end"/>
      </w:r>
      <w:r>
        <w:rPr>
          <w:rFonts w:ascii="inter" w:eastAsia="inter" w:hAnsi="inter" w:cs="inter"/>
          <w:color w:val="000000"/>
          <w:sz w:val="18"/>
        </w:rPr>
        <w:t xml:space="preserve"> </w:t>
      </w:r>
    </w:p>
    <w:bookmarkStart w:id="142" w:name="fn65"/>
    <w:bookmarkEnd w:id="142"/>
    <w:p w14:paraId="50460F5B" w14:textId="77777777" w:rsidR="00B1511E" w:rsidRDefault="00000000">
      <w:pPr>
        <w:numPr>
          <w:ilvl w:val="0"/>
          <w:numId w:val="16"/>
        </w:numPr>
        <w:spacing w:after="210" w:line="360" w:lineRule="auto"/>
      </w:pPr>
      <w:r>
        <w:fldChar w:fldCharType="begin"/>
      </w:r>
      <w:r>
        <w:instrText>HYPERLINK "https://pmc.ncbi.nlm.nih.gov/articles/PMC2785432/" \h</w:instrText>
      </w:r>
      <w:r>
        <w:fldChar w:fldCharType="separate"/>
      </w:r>
      <w:r>
        <w:rPr>
          <w:rFonts w:ascii="inter" w:eastAsia="inter" w:hAnsi="inter" w:cs="inter"/>
          <w:sz w:val="18"/>
          <w:u w:val="single"/>
        </w:rPr>
        <w:t>https://pmc.ncbi.nlm.nih.gov/articles/PMC2785432/</w:t>
      </w:r>
      <w:r>
        <w:fldChar w:fldCharType="end"/>
      </w:r>
      <w:r>
        <w:rPr>
          <w:rFonts w:ascii="inter" w:eastAsia="inter" w:hAnsi="inter" w:cs="inter"/>
          <w:color w:val="000000"/>
          <w:sz w:val="18"/>
        </w:rPr>
        <w:t xml:space="preserve"> </w:t>
      </w:r>
    </w:p>
    <w:bookmarkStart w:id="143" w:name="fn66"/>
    <w:bookmarkEnd w:id="143"/>
    <w:p w14:paraId="2AC7E9AE" w14:textId="77777777" w:rsidR="00B1511E" w:rsidRDefault="00000000">
      <w:pPr>
        <w:numPr>
          <w:ilvl w:val="0"/>
          <w:numId w:val="16"/>
        </w:numPr>
        <w:spacing w:after="210" w:line="360" w:lineRule="auto"/>
      </w:pPr>
      <w:r>
        <w:fldChar w:fldCharType="begin"/>
      </w:r>
      <w:r>
        <w:instrText>HYPERLINK "https://pmc.ncbi.nlm.nih.gov/articles/PMC9825557/" \h</w:instrText>
      </w:r>
      <w:r>
        <w:fldChar w:fldCharType="separate"/>
      </w:r>
      <w:r>
        <w:rPr>
          <w:rFonts w:ascii="inter" w:eastAsia="inter" w:hAnsi="inter" w:cs="inter"/>
          <w:sz w:val="18"/>
          <w:u w:val="single"/>
        </w:rPr>
        <w:t>https://pmc.ncbi.nlm.nih.gov/articles/PMC9825557/</w:t>
      </w:r>
      <w:r>
        <w:fldChar w:fldCharType="end"/>
      </w:r>
      <w:r>
        <w:rPr>
          <w:rFonts w:ascii="inter" w:eastAsia="inter" w:hAnsi="inter" w:cs="inter"/>
          <w:color w:val="000000"/>
          <w:sz w:val="18"/>
        </w:rPr>
        <w:t xml:space="preserve"> </w:t>
      </w:r>
    </w:p>
    <w:bookmarkStart w:id="144" w:name="fn67"/>
    <w:bookmarkEnd w:id="144"/>
    <w:p w14:paraId="525C86F6" w14:textId="77777777" w:rsidR="00B1511E" w:rsidRDefault="00000000">
      <w:pPr>
        <w:numPr>
          <w:ilvl w:val="0"/>
          <w:numId w:val="16"/>
        </w:numPr>
        <w:spacing w:after="210" w:line="360" w:lineRule="auto"/>
      </w:pPr>
      <w:r>
        <w:fldChar w:fldCharType="begin"/>
      </w:r>
      <w:r>
        <w:instrText>HYPERLINK "https://pmc.ncbi.nlm.nih.gov/articles/PMC9989139/" \h</w:instrText>
      </w:r>
      <w:r>
        <w:fldChar w:fldCharType="separate"/>
      </w:r>
      <w:r>
        <w:rPr>
          <w:rFonts w:ascii="inter" w:eastAsia="inter" w:hAnsi="inter" w:cs="inter"/>
          <w:sz w:val="18"/>
          <w:u w:val="single"/>
        </w:rPr>
        <w:t>https://pmc.ncbi.nlm.nih.gov/articles/PMC9989139/</w:t>
      </w:r>
      <w:r>
        <w:fldChar w:fldCharType="end"/>
      </w:r>
      <w:r>
        <w:rPr>
          <w:rFonts w:ascii="inter" w:eastAsia="inter" w:hAnsi="inter" w:cs="inter"/>
          <w:color w:val="000000"/>
          <w:sz w:val="18"/>
        </w:rPr>
        <w:t xml:space="preserve"> </w:t>
      </w:r>
    </w:p>
    <w:bookmarkStart w:id="145" w:name="fn68"/>
    <w:bookmarkEnd w:id="145"/>
    <w:p w14:paraId="42B26189" w14:textId="77777777" w:rsidR="00B1511E" w:rsidRDefault="00000000">
      <w:pPr>
        <w:numPr>
          <w:ilvl w:val="0"/>
          <w:numId w:val="16"/>
        </w:numPr>
        <w:spacing w:after="210" w:line="360" w:lineRule="auto"/>
      </w:pPr>
      <w:r>
        <w:fldChar w:fldCharType="begin"/>
      </w:r>
      <w:r>
        <w:instrText>HYPERLINK "https://pmc.ncbi.nlm.nih.gov/articles/PMC8044748/" \h</w:instrText>
      </w:r>
      <w:r>
        <w:fldChar w:fldCharType="separate"/>
      </w:r>
      <w:r>
        <w:rPr>
          <w:rFonts w:ascii="inter" w:eastAsia="inter" w:hAnsi="inter" w:cs="inter"/>
          <w:sz w:val="18"/>
          <w:u w:val="single"/>
        </w:rPr>
        <w:t>https://pmc.ncbi.nlm.nih.gov/articles/PMC8044748/</w:t>
      </w:r>
      <w:r>
        <w:fldChar w:fldCharType="end"/>
      </w:r>
      <w:r>
        <w:rPr>
          <w:rFonts w:ascii="inter" w:eastAsia="inter" w:hAnsi="inter" w:cs="inter"/>
          <w:color w:val="000000"/>
          <w:sz w:val="18"/>
        </w:rPr>
        <w:t xml:space="preserve"> </w:t>
      </w:r>
    </w:p>
    <w:bookmarkStart w:id="146" w:name="fn69"/>
    <w:bookmarkEnd w:id="146"/>
    <w:p w14:paraId="50549A43" w14:textId="77777777" w:rsidR="00B1511E" w:rsidRDefault="00000000">
      <w:pPr>
        <w:numPr>
          <w:ilvl w:val="0"/>
          <w:numId w:val="16"/>
        </w:numPr>
        <w:spacing w:after="210" w:line="360" w:lineRule="auto"/>
      </w:pPr>
      <w:r>
        <w:fldChar w:fldCharType="begin"/>
      </w:r>
      <w:r>
        <w:instrText>HYPERLINK "https://pmc.ncbi.nlm.nih.gov/articles/PMC9114933/" \h</w:instrText>
      </w:r>
      <w:r>
        <w:fldChar w:fldCharType="separate"/>
      </w:r>
      <w:r>
        <w:rPr>
          <w:rFonts w:ascii="inter" w:eastAsia="inter" w:hAnsi="inter" w:cs="inter"/>
          <w:sz w:val="18"/>
          <w:u w:val="single"/>
        </w:rPr>
        <w:t>https://pmc.ncbi.nlm.nih.gov/articles/PMC9114933/</w:t>
      </w:r>
      <w:r>
        <w:fldChar w:fldCharType="end"/>
      </w:r>
      <w:r>
        <w:rPr>
          <w:rFonts w:ascii="inter" w:eastAsia="inter" w:hAnsi="inter" w:cs="inter"/>
          <w:color w:val="000000"/>
          <w:sz w:val="18"/>
        </w:rPr>
        <w:t xml:space="preserve"> </w:t>
      </w:r>
    </w:p>
    <w:bookmarkStart w:id="147" w:name="fn70"/>
    <w:bookmarkEnd w:id="147"/>
    <w:p w14:paraId="58AEDFD8" w14:textId="77777777" w:rsidR="00B1511E" w:rsidRDefault="00000000">
      <w:pPr>
        <w:numPr>
          <w:ilvl w:val="0"/>
          <w:numId w:val="16"/>
        </w:numPr>
        <w:spacing w:after="210" w:line="360" w:lineRule="auto"/>
      </w:pPr>
      <w:r>
        <w:fldChar w:fldCharType="begin"/>
      </w:r>
      <w:r>
        <w:instrText>HYPERLINK "https://pmc.ncbi.nlm.nih.gov/articles/PMC11609102/" \h</w:instrText>
      </w:r>
      <w:r>
        <w:fldChar w:fldCharType="separate"/>
      </w:r>
      <w:r>
        <w:rPr>
          <w:rFonts w:ascii="inter" w:eastAsia="inter" w:hAnsi="inter" w:cs="inter"/>
          <w:sz w:val="18"/>
          <w:u w:val="single"/>
        </w:rPr>
        <w:t>https://pmc.ncbi.nlm.nih.gov/articles/PMC11609102/</w:t>
      </w:r>
      <w:r>
        <w:fldChar w:fldCharType="end"/>
      </w:r>
      <w:r>
        <w:rPr>
          <w:rFonts w:ascii="inter" w:eastAsia="inter" w:hAnsi="inter" w:cs="inter"/>
          <w:color w:val="000000"/>
          <w:sz w:val="18"/>
        </w:rPr>
        <w:t xml:space="preserve"> </w:t>
      </w:r>
    </w:p>
    <w:bookmarkStart w:id="148" w:name="fn71"/>
    <w:bookmarkEnd w:id="148"/>
    <w:p w14:paraId="47CE43B3" w14:textId="77777777" w:rsidR="00B1511E" w:rsidRDefault="00000000">
      <w:pPr>
        <w:numPr>
          <w:ilvl w:val="0"/>
          <w:numId w:val="16"/>
        </w:numPr>
        <w:spacing w:after="210" w:line="360" w:lineRule="auto"/>
      </w:pPr>
      <w:r>
        <w:fldChar w:fldCharType="begin"/>
      </w:r>
      <w:r>
        <w:instrText>HYPERLINK "https://www.mdpi.com/2076-328X/2/2/57/pdf" \h</w:instrText>
      </w:r>
      <w:r>
        <w:fldChar w:fldCharType="separate"/>
      </w:r>
      <w:r>
        <w:rPr>
          <w:rFonts w:ascii="inter" w:eastAsia="inter" w:hAnsi="inter" w:cs="inter"/>
          <w:sz w:val="18"/>
          <w:u w:val="single"/>
        </w:rPr>
        <w:t>https://www.mdpi.com/2076-328X/2/2/57/pdf</w:t>
      </w:r>
      <w:r>
        <w:fldChar w:fldCharType="end"/>
      </w:r>
      <w:r>
        <w:rPr>
          <w:rFonts w:ascii="inter" w:eastAsia="inter" w:hAnsi="inter" w:cs="inter"/>
          <w:color w:val="000000"/>
          <w:sz w:val="18"/>
        </w:rPr>
        <w:t xml:space="preserve"> </w:t>
      </w:r>
    </w:p>
    <w:bookmarkStart w:id="149" w:name="fn72"/>
    <w:bookmarkEnd w:id="149"/>
    <w:p w14:paraId="4F0808E3" w14:textId="77777777" w:rsidR="00B1511E" w:rsidRDefault="00000000">
      <w:pPr>
        <w:numPr>
          <w:ilvl w:val="0"/>
          <w:numId w:val="16"/>
        </w:numPr>
        <w:spacing w:after="210" w:line="360" w:lineRule="auto"/>
      </w:pPr>
      <w:r>
        <w:fldChar w:fldCharType="begin"/>
      </w:r>
      <w:r>
        <w:instrText>HYPERLINK "https://elifesciences.org/articles/60812" \h</w:instrText>
      </w:r>
      <w:r>
        <w:fldChar w:fldCharType="separate"/>
      </w:r>
      <w:r>
        <w:rPr>
          <w:rFonts w:ascii="inter" w:eastAsia="inter" w:hAnsi="inter" w:cs="inter"/>
          <w:sz w:val="18"/>
          <w:u w:val="single"/>
        </w:rPr>
        <w:t>https://elifesciences.org/articles/60812</w:t>
      </w:r>
      <w:r>
        <w:fldChar w:fldCharType="end"/>
      </w:r>
      <w:r>
        <w:rPr>
          <w:rFonts w:ascii="inter" w:eastAsia="inter" w:hAnsi="inter" w:cs="inter"/>
          <w:color w:val="000000"/>
          <w:sz w:val="18"/>
        </w:rPr>
        <w:t xml:space="preserve"> </w:t>
      </w:r>
    </w:p>
    <w:sectPr w:rsidR="00B1511E">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6D27"/>
    <w:multiLevelType w:val="hybridMultilevel"/>
    <w:tmpl w:val="9A3ED608"/>
    <w:lvl w:ilvl="0" w:tplc="7AA0DBC8">
      <w:start w:val="1"/>
      <w:numFmt w:val="bullet"/>
      <w:lvlText w:val=""/>
      <w:lvlJc w:val="left"/>
      <w:pPr>
        <w:tabs>
          <w:tab w:val="num" w:pos="900"/>
        </w:tabs>
        <w:ind w:left="540" w:hanging="360"/>
      </w:pPr>
      <w:rPr>
        <w:rFonts w:ascii="Symbol" w:hAnsi="Symbol" w:hint="default"/>
      </w:rPr>
    </w:lvl>
    <w:lvl w:ilvl="1" w:tplc="027EF6DE">
      <w:numFmt w:val="decimal"/>
      <w:lvlText w:val=""/>
      <w:lvlJc w:val="left"/>
    </w:lvl>
    <w:lvl w:ilvl="2" w:tplc="5372D38C">
      <w:numFmt w:val="decimal"/>
      <w:lvlText w:val=""/>
      <w:lvlJc w:val="left"/>
    </w:lvl>
    <w:lvl w:ilvl="3" w:tplc="3F0AE03E">
      <w:numFmt w:val="decimal"/>
      <w:lvlText w:val=""/>
      <w:lvlJc w:val="left"/>
    </w:lvl>
    <w:lvl w:ilvl="4" w:tplc="47F60510">
      <w:numFmt w:val="decimal"/>
      <w:lvlText w:val=""/>
      <w:lvlJc w:val="left"/>
    </w:lvl>
    <w:lvl w:ilvl="5" w:tplc="B0625672">
      <w:numFmt w:val="decimal"/>
      <w:lvlText w:val=""/>
      <w:lvlJc w:val="left"/>
    </w:lvl>
    <w:lvl w:ilvl="6" w:tplc="BB14A3C8">
      <w:numFmt w:val="decimal"/>
      <w:lvlText w:val=""/>
      <w:lvlJc w:val="left"/>
    </w:lvl>
    <w:lvl w:ilvl="7" w:tplc="B4F239FC">
      <w:numFmt w:val="decimal"/>
      <w:lvlText w:val=""/>
      <w:lvlJc w:val="left"/>
    </w:lvl>
    <w:lvl w:ilvl="8" w:tplc="DD16402E">
      <w:numFmt w:val="decimal"/>
      <w:lvlText w:val=""/>
      <w:lvlJc w:val="left"/>
    </w:lvl>
  </w:abstractNum>
  <w:abstractNum w:abstractNumId="1" w15:restartNumberingAfterBreak="0">
    <w:nsid w:val="30513F55"/>
    <w:multiLevelType w:val="hybridMultilevel"/>
    <w:tmpl w:val="ACACCBD0"/>
    <w:lvl w:ilvl="0" w:tplc="9FD065D4">
      <w:start w:val="1"/>
      <w:numFmt w:val="bullet"/>
      <w:lvlText w:val=""/>
      <w:lvlJc w:val="left"/>
      <w:pPr>
        <w:tabs>
          <w:tab w:val="num" w:pos="900"/>
        </w:tabs>
        <w:ind w:left="540" w:hanging="360"/>
      </w:pPr>
      <w:rPr>
        <w:rFonts w:ascii="Symbol" w:hAnsi="Symbol" w:hint="default"/>
      </w:rPr>
    </w:lvl>
    <w:lvl w:ilvl="1" w:tplc="EB42EF40">
      <w:numFmt w:val="decimal"/>
      <w:lvlText w:val=""/>
      <w:lvlJc w:val="left"/>
    </w:lvl>
    <w:lvl w:ilvl="2" w:tplc="1062CDB6">
      <w:numFmt w:val="decimal"/>
      <w:lvlText w:val=""/>
      <w:lvlJc w:val="left"/>
    </w:lvl>
    <w:lvl w:ilvl="3" w:tplc="7F52CAFA">
      <w:numFmt w:val="decimal"/>
      <w:lvlText w:val=""/>
      <w:lvlJc w:val="left"/>
    </w:lvl>
    <w:lvl w:ilvl="4" w:tplc="554230AC">
      <w:numFmt w:val="decimal"/>
      <w:lvlText w:val=""/>
      <w:lvlJc w:val="left"/>
    </w:lvl>
    <w:lvl w:ilvl="5" w:tplc="9E2C6772">
      <w:numFmt w:val="decimal"/>
      <w:lvlText w:val=""/>
      <w:lvlJc w:val="left"/>
    </w:lvl>
    <w:lvl w:ilvl="6" w:tplc="EB768F0A">
      <w:numFmt w:val="decimal"/>
      <w:lvlText w:val=""/>
      <w:lvlJc w:val="left"/>
    </w:lvl>
    <w:lvl w:ilvl="7" w:tplc="E0A48AD6">
      <w:numFmt w:val="decimal"/>
      <w:lvlText w:val=""/>
      <w:lvlJc w:val="left"/>
    </w:lvl>
    <w:lvl w:ilvl="8" w:tplc="9FE80D82">
      <w:numFmt w:val="decimal"/>
      <w:lvlText w:val=""/>
      <w:lvlJc w:val="left"/>
    </w:lvl>
  </w:abstractNum>
  <w:abstractNum w:abstractNumId="2" w15:restartNumberingAfterBreak="0">
    <w:nsid w:val="3A4F283A"/>
    <w:multiLevelType w:val="hybridMultilevel"/>
    <w:tmpl w:val="E9701142"/>
    <w:lvl w:ilvl="0" w:tplc="6B1689DC">
      <w:start w:val="1"/>
      <w:numFmt w:val="bullet"/>
      <w:lvlText w:val=""/>
      <w:lvlJc w:val="left"/>
      <w:pPr>
        <w:tabs>
          <w:tab w:val="num" w:pos="900"/>
        </w:tabs>
        <w:ind w:left="540" w:hanging="360"/>
      </w:pPr>
      <w:rPr>
        <w:rFonts w:ascii="Symbol" w:hAnsi="Symbol" w:hint="default"/>
      </w:rPr>
    </w:lvl>
    <w:lvl w:ilvl="1" w:tplc="4622EC5E">
      <w:numFmt w:val="decimal"/>
      <w:lvlText w:val=""/>
      <w:lvlJc w:val="left"/>
    </w:lvl>
    <w:lvl w:ilvl="2" w:tplc="86946788">
      <w:numFmt w:val="decimal"/>
      <w:lvlText w:val=""/>
      <w:lvlJc w:val="left"/>
    </w:lvl>
    <w:lvl w:ilvl="3" w:tplc="6970845A">
      <w:numFmt w:val="decimal"/>
      <w:lvlText w:val=""/>
      <w:lvlJc w:val="left"/>
    </w:lvl>
    <w:lvl w:ilvl="4" w:tplc="D3145464">
      <w:numFmt w:val="decimal"/>
      <w:lvlText w:val=""/>
      <w:lvlJc w:val="left"/>
    </w:lvl>
    <w:lvl w:ilvl="5" w:tplc="F75AEF28">
      <w:numFmt w:val="decimal"/>
      <w:lvlText w:val=""/>
      <w:lvlJc w:val="left"/>
    </w:lvl>
    <w:lvl w:ilvl="6" w:tplc="6BE0F924">
      <w:numFmt w:val="decimal"/>
      <w:lvlText w:val=""/>
      <w:lvlJc w:val="left"/>
    </w:lvl>
    <w:lvl w:ilvl="7" w:tplc="9702D686">
      <w:numFmt w:val="decimal"/>
      <w:lvlText w:val=""/>
      <w:lvlJc w:val="left"/>
    </w:lvl>
    <w:lvl w:ilvl="8" w:tplc="58FE5D94">
      <w:numFmt w:val="decimal"/>
      <w:lvlText w:val=""/>
      <w:lvlJc w:val="left"/>
    </w:lvl>
  </w:abstractNum>
  <w:abstractNum w:abstractNumId="3" w15:restartNumberingAfterBreak="0">
    <w:nsid w:val="3F1719DA"/>
    <w:multiLevelType w:val="hybridMultilevel"/>
    <w:tmpl w:val="C7583172"/>
    <w:lvl w:ilvl="0" w:tplc="48B2557C">
      <w:start w:val="1"/>
      <w:numFmt w:val="bullet"/>
      <w:lvlText w:val=""/>
      <w:lvlJc w:val="left"/>
      <w:pPr>
        <w:tabs>
          <w:tab w:val="num" w:pos="900"/>
        </w:tabs>
        <w:ind w:left="540" w:hanging="360"/>
      </w:pPr>
      <w:rPr>
        <w:rFonts w:ascii="Symbol" w:hAnsi="Symbol" w:hint="default"/>
      </w:rPr>
    </w:lvl>
    <w:lvl w:ilvl="1" w:tplc="C686A05E">
      <w:numFmt w:val="decimal"/>
      <w:lvlText w:val=""/>
      <w:lvlJc w:val="left"/>
    </w:lvl>
    <w:lvl w:ilvl="2" w:tplc="A1C0C0C2">
      <w:numFmt w:val="decimal"/>
      <w:lvlText w:val=""/>
      <w:lvlJc w:val="left"/>
    </w:lvl>
    <w:lvl w:ilvl="3" w:tplc="7BFAB870">
      <w:numFmt w:val="decimal"/>
      <w:lvlText w:val=""/>
      <w:lvlJc w:val="left"/>
    </w:lvl>
    <w:lvl w:ilvl="4" w:tplc="0EC84DB6">
      <w:numFmt w:val="decimal"/>
      <w:lvlText w:val=""/>
      <w:lvlJc w:val="left"/>
    </w:lvl>
    <w:lvl w:ilvl="5" w:tplc="B4BC0EC4">
      <w:numFmt w:val="decimal"/>
      <w:lvlText w:val=""/>
      <w:lvlJc w:val="left"/>
    </w:lvl>
    <w:lvl w:ilvl="6" w:tplc="F964178E">
      <w:numFmt w:val="decimal"/>
      <w:lvlText w:val=""/>
      <w:lvlJc w:val="left"/>
    </w:lvl>
    <w:lvl w:ilvl="7" w:tplc="1D246480">
      <w:numFmt w:val="decimal"/>
      <w:lvlText w:val=""/>
      <w:lvlJc w:val="left"/>
    </w:lvl>
    <w:lvl w:ilvl="8" w:tplc="F1BEB58E">
      <w:numFmt w:val="decimal"/>
      <w:lvlText w:val=""/>
      <w:lvlJc w:val="left"/>
    </w:lvl>
  </w:abstractNum>
  <w:abstractNum w:abstractNumId="4" w15:restartNumberingAfterBreak="0">
    <w:nsid w:val="41FF09BD"/>
    <w:multiLevelType w:val="hybridMultilevel"/>
    <w:tmpl w:val="70E0AE24"/>
    <w:lvl w:ilvl="0" w:tplc="2392FBCC">
      <w:numFmt w:val="decimal"/>
      <w:lvlText w:val=""/>
      <w:lvlJc w:val="left"/>
    </w:lvl>
    <w:lvl w:ilvl="1" w:tplc="4318511A">
      <w:numFmt w:val="decimal"/>
      <w:lvlText w:val=""/>
      <w:lvlJc w:val="left"/>
    </w:lvl>
    <w:lvl w:ilvl="2" w:tplc="B2808D90">
      <w:numFmt w:val="decimal"/>
      <w:lvlText w:val=""/>
      <w:lvlJc w:val="left"/>
    </w:lvl>
    <w:lvl w:ilvl="3" w:tplc="3FC85358">
      <w:numFmt w:val="decimal"/>
      <w:lvlText w:val=""/>
      <w:lvlJc w:val="left"/>
    </w:lvl>
    <w:lvl w:ilvl="4" w:tplc="C658A7F8">
      <w:numFmt w:val="decimal"/>
      <w:lvlText w:val=""/>
      <w:lvlJc w:val="left"/>
    </w:lvl>
    <w:lvl w:ilvl="5" w:tplc="84505AE8">
      <w:numFmt w:val="decimal"/>
      <w:lvlText w:val=""/>
      <w:lvlJc w:val="left"/>
    </w:lvl>
    <w:lvl w:ilvl="6" w:tplc="09DC85AA">
      <w:numFmt w:val="decimal"/>
      <w:lvlText w:val=""/>
      <w:lvlJc w:val="left"/>
    </w:lvl>
    <w:lvl w:ilvl="7" w:tplc="6366BCD4">
      <w:numFmt w:val="decimal"/>
      <w:lvlText w:val=""/>
      <w:lvlJc w:val="left"/>
    </w:lvl>
    <w:lvl w:ilvl="8" w:tplc="B3FA1872">
      <w:numFmt w:val="decimal"/>
      <w:lvlText w:val=""/>
      <w:lvlJc w:val="left"/>
    </w:lvl>
  </w:abstractNum>
  <w:abstractNum w:abstractNumId="5" w15:restartNumberingAfterBreak="0">
    <w:nsid w:val="4AE16436"/>
    <w:multiLevelType w:val="hybridMultilevel"/>
    <w:tmpl w:val="718A5316"/>
    <w:lvl w:ilvl="0" w:tplc="EFB8F6AC">
      <w:start w:val="1"/>
      <w:numFmt w:val="bullet"/>
      <w:lvlText w:val=""/>
      <w:lvlJc w:val="left"/>
      <w:pPr>
        <w:tabs>
          <w:tab w:val="num" w:pos="900"/>
        </w:tabs>
        <w:ind w:left="540" w:hanging="360"/>
      </w:pPr>
      <w:rPr>
        <w:rFonts w:ascii="Symbol" w:hAnsi="Symbol" w:hint="default"/>
      </w:rPr>
    </w:lvl>
    <w:lvl w:ilvl="1" w:tplc="C9C2A428">
      <w:numFmt w:val="decimal"/>
      <w:lvlText w:val=""/>
      <w:lvlJc w:val="left"/>
    </w:lvl>
    <w:lvl w:ilvl="2" w:tplc="28B0689A">
      <w:numFmt w:val="decimal"/>
      <w:lvlText w:val=""/>
      <w:lvlJc w:val="left"/>
    </w:lvl>
    <w:lvl w:ilvl="3" w:tplc="346C7E48">
      <w:numFmt w:val="decimal"/>
      <w:lvlText w:val=""/>
      <w:lvlJc w:val="left"/>
    </w:lvl>
    <w:lvl w:ilvl="4" w:tplc="32FE9E22">
      <w:numFmt w:val="decimal"/>
      <w:lvlText w:val=""/>
      <w:lvlJc w:val="left"/>
    </w:lvl>
    <w:lvl w:ilvl="5" w:tplc="189EBE66">
      <w:numFmt w:val="decimal"/>
      <w:lvlText w:val=""/>
      <w:lvlJc w:val="left"/>
    </w:lvl>
    <w:lvl w:ilvl="6" w:tplc="08DC4648">
      <w:numFmt w:val="decimal"/>
      <w:lvlText w:val=""/>
      <w:lvlJc w:val="left"/>
    </w:lvl>
    <w:lvl w:ilvl="7" w:tplc="870C73A6">
      <w:numFmt w:val="decimal"/>
      <w:lvlText w:val=""/>
      <w:lvlJc w:val="left"/>
    </w:lvl>
    <w:lvl w:ilvl="8" w:tplc="323E0596">
      <w:numFmt w:val="decimal"/>
      <w:lvlText w:val=""/>
      <w:lvlJc w:val="left"/>
    </w:lvl>
  </w:abstractNum>
  <w:abstractNum w:abstractNumId="6" w15:restartNumberingAfterBreak="0">
    <w:nsid w:val="572B4CB0"/>
    <w:multiLevelType w:val="hybridMultilevel"/>
    <w:tmpl w:val="812AC4C2"/>
    <w:lvl w:ilvl="0" w:tplc="D5A8065E">
      <w:start w:val="1"/>
      <w:numFmt w:val="bullet"/>
      <w:lvlText w:val=""/>
      <w:lvlJc w:val="left"/>
      <w:pPr>
        <w:tabs>
          <w:tab w:val="num" w:pos="900"/>
        </w:tabs>
        <w:ind w:left="540" w:hanging="360"/>
      </w:pPr>
      <w:rPr>
        <w:rFonts w:ascii="Symbol" w:hAnsi="Symbol" w:hint="default"/>
      </w:rPr>
    </w:lvl>
    <w:lvl w:ilvl="1" w:tplc="93209DB2">
      <w:numFmt w:val="decimal"/>
      <w:lvlText w:val=""/>
      <w:lvlJc w:val="left"/>
    </w:lvl>
    <w:lvl w:ilvl="2" w:tplc="537E9E76">
      <w:numFmt w:val="decimal"/>
      <w:lvlText w:val=""/>
      <w:lvlJc w:val="left"/>
    </w:lvl>
    <w:lvl w:ilvl="3" w:tplc="AE86BFBA">
      <w:numFmt w:val="decimal"/>
      <w:lvlText w:val=""/>
      <w:lvlJc w:val="left"/>
    </w:lvl>
    <w:lvl w:ilvl="4" w:tplc="E8F0E7D2">
      <w:numFmt w:val="decimal"/>
      <w:lvlText w:val=""/>
      <w:lvlJc w:val="left"/>
    </w:lvl>
    <w:lvl w:ilvl="5" w:tplc="27FA1662">
      <w:numFmt w:val="decimal"/>
      <w:lvlText w:val=""/>
      <w:lvlJc w:val="left"/>
    </w:lvl>
    <w:lvl w:ilvl="6" w:tplc="35988648">
      <w:numFmt w:val="decimal"/>
      <w:lvlText w:val=""/>
      <w:lvlJc w:val="left"/>
    </w:lvl>
    <w:lvl w:ilvl="7" w:tplc="0D16681A">
      <w:numFmt w:val="decimal"/>
      <w:lvlText w:val=""/>
      <w:lvlJc w:val="left"/>
    </w:lvl>
    <w:lvl w:ilvl="8" w:tplc="4AAAD1D8">
      <w:numFmt w:val="decimal"/>
      <w:lvlText w:val=""/>
      <w:lvlJc w:val="left"/>
    </w:lvl>
  </w:abstractNum>
  <w:abstractNum w:abstractNumId="7" w15:restartNumberingAfterBreak="0">
    <w:nsid w:val="611D69CE"/>
    <w:multiLevelType w:val="hybridMultilevel"/>
    <w:tmpl w:val="AA6EC3C6"/>
    <w:lvl w:ilvl="0" w:tplc="3014D3BE">
      <w:start w:val="1"/>
      <w:numFmt w:val="bullet"/>
      <w:lvlText w:val=""/>
      <w:lvlJc w:val="left"/>
      <w:pPr>
        <w:tabs>
          <w:tab w:val="num" w:pos="900"/>
        </w:tabs>
        <w:ind w:left="540" w:hanging="360"/>
      </w:pPr>
      <w:rPr>
        <w:rFonts w:ascii="Symbol" w:hAnsi="Symbol" w:hint="default"/>
      </w:rPr>
    </w:lvl>
    <w:lvl w:ilvl="1" w:tplc="C78013A8">
      <w:numFmt w:val="decimal"/>
      <w:lvlText w:val=""/>
      <w:lvlJc w:val="left"/>
    </w:lvl>
    <w:lvl w:ilvl="2" w:tplc="51442A84">
      <w:numFmt w:val="decimal"/>
      <w:lvlText w:val=""/>
      <w:lvlJc w:val="left"/>
    </w:lvl>
    <w:lvl w:ilvl="3" w:tplc="8932E450">
      <w:numFmt w:val="decimal"/>
      <w:lvlText w:val=""/>
      <w:lvlJc w:val="left"/>
    </w:lvl>
    <w:lvl w:ilvl="4" w:tplc="6BC8482E">
      <w:numFmt w:val="decimal"/>
      <w:lvlText w:val=""/>
      <w:lvlJc w:val="left"/>
    </w:lvl>
    <w:lvl w:ilvl="5" w:tplc="8286B974">
      <w:numFmt w:val="decimal"/>
      <w:lvlText w:val=""/>
      <w:lvlJc w:val="left"/>
    </w:lvl>
    <w:lvl w:ilvl="6" w:tplc="1EA618E0">
      <w:numFmt w:val="decimal"/>
      <w:lvlText w:val=""/>
      <w:lvlJc w:val="left"/>
    </w:lvl>
    <w:lvl w:ilvl="7" w:tplc="CA5CCD06">
      <w:numFmt w:val="decimal"/>
      <w:lvlText w:val=""/>
      <w:lvlJc w:val="left"/>
    </w:lvl>
    <w:lvl w:ilvl="8" w:tplc="EDD6E15A">
      <w:numFmt w:val="decimal"/>
      <w:lvlText w:val=""/>
      <w:lvlJc w:val="left"/>
    </w:lvl>
  </w:abstractNum>
  <w:abstractNum w:abstractNumId="8" w15:restartNumberingAfterBreak="0">
    <w:nsid w:val="61776CA5"/>
    <w:multiLevelType w:val="hybridMultilevel"/>
    <w:tmpl w:val="2E84F1B6"/>
    <w:lvl w:ilvl="0" w:tplc="8AA09704">
      <w:start w:val="1"/>
      <w:numFmt w:val="bullet"/>
      <w:lvlText w:val=""/>
      <w:lvlJc w:val="left"/>
      <w:pPr>
        <w:tabs>
          <w:tab w:val="num" w:pos="900"/>
        </w:tabs>
        <w:ind w:left="540" w:hanging="360"/>
      </w:pPr>
      <w:rPr>
        <w:rFonts w:ascii="Symbol" w:hAnsi="Symbol" w:hint="default"/>
      </w:rPr>
    </w:lvl>
    <w:lvl w:ilvl="1" w:tplc="FB664054">
      <w:numFmt w:val="decimal"/>
      <w:lvlText w:val=""/>
      <w:lvlJc w:val="left"/>
    </w:lvl>
    <w:lvl w:ilvl="2" w:tplc="4DD442A8">
      <w:numFmt w:val="decimal"/>
      <w:lvlText w:val=""/>
      <w:lvlJc w:val="left"/>
    </w:lvl>
    <w:lvl w:ilvl="3" w:tplc="93D61498">
      <w:numFmt w:val="decimal"/>
      <w:lvlText w:val=""/>
      <w:lvlJc w:val="left"/>
    </w:lvl>
    <w:lvl w:ilvl="4" w:tplc="605E6024">
      <w:numFmt w:val="decimal"/>
      <w:lvlText w:val=""/>
      <w:lvlJc w:val="left"/>
    </w:lvl>
    <w:lvl w:ilvl="5" w:tplc="A872BF94">
      <w:numFmt w:val="decimal"/>
      <w:lvlText w:val=""/>
      <w:lvlJc w:val="left"/>
    </w:lvl>
    <w:lvl w:ilvl="6" w:tplc="018E2398">
      <w:numFmt w:val="decimal"/>
      <w:lvlText w:val=""/>
      <w:lvlJc w:val="left"/>
    </w:lvl>
    <w:lvl w:ilvl="7" w:tplc="04904D54">
      <w:numFmt w:val="decimal"/>
      <w:lvlText w:val=""/>
      <w:lvlJc w:val="left"/>
    </w:lvl>
    <w:lvl w:ilvl="8" w:tplc="1BE0A4A8">
      <w:numFmt w:val="decimal"/>
      <w:lvlText w:val=""/>
      <w:lvlJc w:val="left"/>
    </w:lvl>
  </w:abstractNum>
  <w:abstractNum w:abstractNumId="9" w15:restartNumberingAfterBreak="0">
    <w:nsid w:val="6259391C"/>
    <w:multiLevelType w:val="hybridMultilevel"/>
    <w:tmpl w:val="65FE3428"/>
    <w:lvl w:ilvl="0" w:tplc="3C88BE8A">
      <w:start w:val="1"/>
      <w:numFmt w:val="bullet"/>
      <w:lvlText w:val=""/>
      <w:lvlJc w:val="left"/>
      <w:pPr>
        <w:tabs>
          <w:tab w:val="num" w:pos="900"/>
        </w:tabs>
        <w:ind w:left="540" w:hanging="360"/>
      </w:pPr>
      <w:rPr>
        <w:rFonts w:ascii="Symbol" w:hAnsi="Symbol" w:hint="default"/>
      </w:rPr>
    </w:lvl>
    <w:lvl w:ilvl="1" w:tplc="5312291E">
      <w:start w:val="1"/>
      <w:numFmt w:val="bullet"/>
      <w:lvlText w:val="o"/>
      <w:lvlJc w:val="left"/>
      <w:pPr>
        <w:tabs>
          <w:tab w:val="num" w:pos="1440"/>
        </w:tabs>
        <w:ind w:left="1080" w:hanging="360"/>
      </w:pPr>
      <w:rPr>
        <w:rFonts w:ascii="Courier New" w:hAnsi="Courier New" w:cs="Courier New" w:hint="default"/>
      </w:rPr>
    </w:lvl>
    <w:lvl w:ilvl="2" w:tplc="B956C62E">
      <w:numFmt w:val="decimal"/>
      <w:lvlText w:val=""/>
      <w:lvlJc w:val="left"/>
    </w:lvl>
    <w:lvl w:ilvl="3" w:tplc="64DA9ECA">
      <w:numFmt w:val="decimal"/>
      <w:lvlText w:val=""/>
      <w:lvlJc w:val="left"/>
    </w:lvl>
    <w:lvl w:ilvl="4" w:tplc="445CF878">
      <w:numFmt w:val="decimal"/>
      <w:lvlText w:val=""/>
      <w:lvlJc w:val="left"/>
    </w:lvl>
    <w:lvl w:ilvl="5" w:tplc="C598F16E">
      <w:numFmt w:val="decimal"/>
      <w:lvlText w:val=""/>
      <w:lvlJc w:val="left"/>
    </w:lvl>
    <w:lvl w:ilvl="6" w:tplc="A49EDF30">
      <w:numFmt w:val="decimal"/>
      <w:lvlText w:val=""/>
      <w:lvlJc w:val="left"/>
    </w:lvl>
    <w:lvl w:ilvl="7" w:tplc="EC647720">
      <w:numFmt w:val="decimal"/>
      <w:lvlText w:val=""/>
      <w:lvlJc w:val="left"/>
    </w:lvl>
    <w:lvl w:ilvl="8" w:tplc="8166C20C">
      <w:numFmt w:val="decimal"/>
      <w:lvlText w:val=""/>
      <w:lvlJc w:val="left"/>
    </w:lvl>
  </w:abstractNum>
  <w:abstractNum w:abstractNumId="10" w15:restartNumberingAfterBreak="0">
    <w:nsid w:val="62761E4C"/>
    <w:multiLevelType w:val="hybridMultilevel"/>
    <w:tmpl w:val="FC620862"/>
    <w:lvl w:ilvl="0" w:tplc="E0548690">
      <w:start w:val="1"/>
      <w:numFmt w:val="bullet"/>
      <w:lvlText w:val=""/>
      <w:lvlJc w:val="left"/>
      <w:pPr>
        <w:tabs>
          <w:tab w:val="num" w:pos="900"/>
        </w:tabs>
        <w:ind w:left="540" w:hanging="360"/>
      </w:pPr>
      <w:rPr>
        <w:rFonts w:ascii="Symbol" w:hAnsi="Symbol" w:hint="default"/>
      </w:rPr>
    </w:lvl>
    <w:lvl w:ilvl="1" w:tplc="A3E07B38">
      <w:start w:val="1"/>
      <w:numFmt w:val="bullet"/>
      <w:lvlText w:val="o"/>
      <w:lvlJc w:val="left"/>
      <w:pPr>
        <w:tabs>
          <w:tab w:val="num" w:pos="1440"/>
        </w:tabs>
        <w:ind w:left="1080" w:hanging="360"/>
      </w:pPr>
      <w:rPr>
        <w:rFonts w:ascii="Courier New" w:hAnsi="Courier New" w:cs="Courier New" w:hint="default"/>
      </w:rPr>
    </w:lvl>
    <w:lvl w:ilvl="2" w:tplc="77125CBC">
      <w:numFmt w:val="decimal"/>
      <w:lvlText w:val=""/>
      <w:lvlJc w:val="left"/>
    </w:lvl>
    <w:lvl w:ilvl="3" w:tplc="09265A5A">
      <w:numFmt w:val="decimal"/>
      <w:lvlText w:val=""/>
      <w:lvlJc w:val="left"/>
    </w:lvl>
    <w:lvl w:ilvl="4" w:tplc="B99E75B4">
      <w:numFmt w:val="decimal"/>
      <w:lvlText w:val=""/>
      <w:lvlJc w:val="left"/>
    </w:lvl>
    <w:lvl w:ilvl="5" w:tplc="07909AD6">
      <w:numFmt w:val="decimal"/>
      <w:lvlText w:val=""/>
      <w:lvlJc w:val="left"/>
    </w:lvl>
    <w:lvl w:ilvl="6" w:tplc="A020810C">
      <w:numFmt w:val="decimal"/>
      <w:lvlText w:val=""/>
      <w:lvlJc w:val="left"/>
    </w:lvl>
    <w:lvl w:ilvl="7" w:tplc="2B3E65C2">
      <w:numFmt w:val="decimal"/>
      <w:lvlText w:val=""/>
      <w:lvlJc w:val="left"/>
    </w:lvl>
    <w:lvl w:ilvl="8" w:tplc="3D229A9A">
      <w:numFmt w:val="decimal"/>
      <w:lvlText w:val=""/>
      <w:lvlJc w:val="left"/>
    </w:lvl>
  </w:abstractNum>
  <w:abstractNum w:abstractNumId="11" w15:restartNumberingAfterBreak="0">
    <w:nsid w:val="64EE48F5"/>
    <w:multiLevelType w:val="hybridMultilevel"/>
    <w:tmpl w:val="2E4A1EFA"/>
    <w:lvl w:ilvl="0" w:tplc="E8EAEA2C">
      <w:start w:val="1"/>
      <w:numFmt w:val="decimal"/>
      <w:lvlText w:val="%1."/>
      <w:lvlJc w:val="left"/>
      <w:pPr>
        <w:tabs>
          <w:tab w:val="num" w:pos="900"/>
        </w:tabs>
        <w:ind w:left="540" w:hanging="360"/>
      </w:pPr>
    </w:lvl>
    <w:lvl w:ilvl="1" w:tplc="62861428">
      <w:start w:val="1"/>
      <w:numFmt w:val="bullet"/>
      <w:lvlText w:val="o"/>
      <w:lvlJc w:val="left"/>
      <w:pPr>
        <w:tabs>
          <w:tab w:val="num" w:pos="1440"/>
        </w:tabs>
        <w:ind w:left="1080" w:hanging="360"/>
      </w:pPr>
      <w:rPr>
        <w:rFonts w:ascii="Courier New" w:hAnsi="Courier New" w:cs="Courier New" w:hint="default"/>
      </w:rPr>
    </w:lvl>
    <w:lvl w:ilvl="2" w:tplc="9E50D8CC">
      <w:numFmt w:val="decimal"/>
      <w:lvlText w:val=""/>
      <w:lvlJc w:val="left"/>
    </w:lvl>
    <w:lvl w:ilvl="3" w:tplc="CCAA3CBC">
      <w:numFmt w:val="decimal"/>
      <w:lvlText w:val=""/>
      <w:lvlJc w:val="left"/>
    </w:lvl>
    <w:lvl w:ilvl="4" w:tplc="7B7CAFB8">
      <w:numFmt w:val="decimal"/>
      <w:lvlText w:val=""/>
      <w:lvlJc w:val="left"/>
    </w:lvl>
    <w:lvl w:ilvl="5" w:tplc="D9843D8C">
      <w:numFmt w:val="decimal"/>
      <w:lvlText w:val=""/>
      <w:lvlJc w:val="left"/>
    </w:lvl>
    <w:lvl w:ilvl="6" w:tplc="8D52FF20">
      <w:numFmt w:val="decimal"/>
      <w:lvlText w:val=""/>
      <w:lvlJc w:val="left"/>
    </w:lvl>
    <w:lvl w:ilvl="7" w:tplc="0B807518">
      <w:numFmt w:val="decimal"/>
      <w:lvlText w:val=""/>
      <w:lvlJc w:val="left"/>
    </w:lvl>
    <w:lvl w:ilvl="8" w:tplc="7646B772">
      <w:numFmt w:val="decimal"/>
      <w:lvlText w:val=""/>
      <w:lvlJc w:val="left"/>
    </w:lvl>
  </w:abstractNum>
  <w:abstractNum w:abstractNumId="12" w15:restartNumberingAfterBreak="0">
    <w:nsid w:val="65E42BA6"/>
    <w:multiLevelType w:val="hybridMultilevel"/>
    <w:tmpl w:val="65E69AEC"/>
    <w:lvl w:ilvl="0" w:tplc="C090FAB4">
      <w:start w:val="1"/>
      <w:numFmt w:val="decimal"/>
      <w:lvlText w:val="%1."/>
      <w:lvlJc w:val="left"/>
      <w:pPr>
        <w:tabs>
          <w:tab w:val="num" w:pos="900"/>
        </w:tabs>
        <w:ind w:left="540" w:hanging="360"/>
      </w:pPr>
    </w:lvl>
    <w:lvl w:ilvl="1" w:tplc="93A224C0">
      <w:numFmt w:val="decimal"/>
      <w:lvlText w:val=""/>
      <w:lvlJc w:val="left"/>
    </w:lvl>
    <w:lvl w:ilvl="2" w:tplc="3AF4EB00">
      <w:numFmt w:val="decimal"/>
      <w:lvlText w:val=""/>
      <w:lvlJc w:val="left"/>
    </w:lvl>
    <w:lvl w:ilvl="3" w:tplc="09041C8E">
      <w:numFmt w:val="decimal"/>
      <w:lvlText w:val=""/>
      <w:lvlJc w:val="left"/>
    </w:lvl>
    <w:lvl w:ilvl="4" w:tplc="BA34F868">
      <w:numFmt w:val="decimal"/>
      <w:lvlText w:val=""/>
      <w:lvlJc w:val="left"/>
    </w:lvl>
    <w:lvl w:ilvl="5" w:tplc="667AC83E">
      <w:numFmt w:val="decimal"/>
      <w:lvlText w:val=""/>
      <w:lvlJc w:val="left"/>
    </w:lvl>
    <w:lvl w:ilvl="6" w:tplc="945C22E4">
      <w:numFmt w:val="decimal"/>
      <w:lvlText w:val=""/>
      <w:lvlJc w:val="left"/>
    </w:lvl>
    <w:lvl w:ilvl="7" w:tplc="EA44BB20">
      <w:numFmt w:val="decimal"/>
      <w:lvlText w:val=""/>
      <w:lvlJc w:val="left"/>
    </w:lvl>
    <w:lvl w:ilvl="8" w:tplc="56C8B9D4">
      <w:numFmt w:val="decimal"/>
      <w:lvlText w:val=""/>
      <w:lvlJc w:val="left"/>
    </w:lvl>
  </w:abstractNum>
  <w:abstractNum w:abstractNumId="13" w15:restartNumberingAfterBreak="0">
    <w:nsid w:val="669C4D11"/>
    <w:multiLevelType w:val="hybridMultilevel"/>
    <w:tmpl w:val="B6F6B104"/>
    <w:lvl w:ilvl="0" w:tplc="7286EAD0">
      <w:start w:val="1"/>
      <w:numFmt w:val="bullet"/>
      <w:lvlText w:val=""/>
      <w:lvlJc w:val="left"/>
      <w:pPr>
        <w:tabs>
          <w:tab w:val="num" w:pos="900"/>
        </w:tabs>
        <w:ind w:left="540" w:hanging="360"/>
      </w:pPr>
      <w:rPr>
        <w:rFonts w:ascii="Symbol" w:hAnsi="Symbol" w:hint="default"/>
      </w:rPr>
    </w:lvl>
    <w:lvl w:ilvl="1" w:tplc="C6FEBC24">
      <w:numFmt w:val="decimal"/>
      <w:lvlText w:val=""/>
      <w:lvlJc w:val="left"/>
    </w:lvl>
    <w:lvl w:ilvl="2" w:tplc="2110E2DE">
      <w:numFmt w:val="decimal"/>
      <w:lvlText w:val=""/>
      <w:lvlJc w:val="left"/>
    </w:lvl>
    <w:lvl w:ilvl="3" w:tplc="153E3106">
      <w:numFmt w:val="decimal"/>
      <w:lvlText w:val=""/>
      <w:lvlJc w:val="left"/>
    </w:lvl>
    <w:lvl w:ilvl="4" w:tplc="F8580B02">
      <w:numFmt w:val="decimal"/>
      <w:lvlText w:val=""/>
      <w:lvlJc w:val="left"/>
    </w:lvl>
    <w:lvl w:ilvl="5" w:tplc="C2E8E320">
      <w:numFmt w:val="decimal"/>
      <w:lvlText w:val=""/>
      <w:lvlJc w:val="left"/>
    </w:lvl>
    <w:lvl w:ilvl="6" w:tplc="DECCF13E">
      <w:numFmt w:val="decimal"/>
      <w:lvlText w:val=""/>
      <w:lvlJc w:val="left"/>
    </w:lvl>
    <w:lvl w:ilvl="7" w:tplc="5D281EAA">
      <w:numFmt w:val="decimal"/>
      <w:lvlText w:val=""/>
      <w:lvlJc w:val="left"/>
    </w:lvl>
    <w:lvl w:ilvl="8" w:tplc="CE74AE08">
      <w:numFmt w:val="decimal"/>
      <w:lvlText w:val=""/>
      <w:lvlJc w:val="left"/>
    </w:lvl>
  </w:abstractNum>
  <w:abstractNum w:abstractNumId="14" w15:restartNumberingAfterBreak="0">
    <w:nsid w:val="6E3C4209"/>
    <w:multiLevelType w:val="hybridMultilevel"/>
    <w:tmpl w:val="1334F6CC"/>
    <w:lvl w:ilvl="0" w:tplc="A6F8143E">
      <w:start w:val="1"/>
      <w:numFmt w:val="bullet"/>
      <w:lvlText w:val=""/>
      <w:lvlJc w:val="left"/>
      <w:pPr>
        <w:tabs>
          <w:tab w:val="num" w:pos="900"/>
        </w:tabs>
        <w:ind w:left="540" w:hanging="360"/>
      </w:pPr>
      <w:rPr>
        <w:rFonts w:ascii="Symbol" w:hAnsi="Symbol" w:hint="default"/>
      </w:rPr>
    </w:lvl>
    <w:lvl w:ilvl="1" w:tplc="F9747E4A">
      <w:numFmt w:val="decimal"/>
      <w:lvlText w:val=""/>
      <w:lvlJc w:val="left"/>
    </w:lvl>
    <w:lvl w:ilvl="2" w:tplc="3A74C304">
      <w:numFmt w:val="decimal"/>
      <w:lvlText w:val=""/>
      <w:lvlJc w:val="left"/>
    </w:lvl>
    <w:lvl w:ilvl="3" w:tplc="1F8CA4AA">
      <w:numFmt w:val="decimal"/>
      <w:lvlText w:val=""/>
      <w:lvlJc w:val="left"/>
    </w:lvl>
    <w:lvl w:ilvl="4" w:tplc="92B4683E">
      <w:numFmt w:val="decimal"/>
      <w:lvlText w:val=""/>
      <w:lvlJc w:val="left"/>
    </w:lvl>
    <w:lvl w:ilvl="5" w:tplc="74148B90">
      <w:numFmt w:val="decimal"/>
      <w:lvlText w:val=""/>
      <w:lvlJc w:val="left"/>
    </w:lvl>
    <w:lvl w:ilvl="6" w:tplc="95F20DCE">
      <w:numFmt w:val="decimal"/>
      <w:lvlText w:val=""/>
      <w:lvlJc w:val="left"/>
    </w:lvl>
    <w:lvl w:ilvl="7" w:tplc="EEF4BED6">
      <w:numFmt w:val="decimal"/>
      <w:lvlText w:val=""/>
      <w:lvlJc w:val="left"/>
    </w:lvl>
    <w:lvl w:ilvl="8" w:tplc="CAE41B42">
      <w:numFmt w:val="decimal"/>
      <w:lvlText w:val=""/>
      <w:lvlJc w:val="left"/>
    </w:lvl>
  </w:abstractNum>
  <w:abstractNum w:abstractNumId="15" w15:restartNumberingAfterBreak="0">
    <w:nsid w:val="703A2658"/>
    <w:multiLevelType w:val="hybridMultilevel"/>
    <w:tmpl w:val="68364E36"/>
    <w:lvl w:ilvl="0" w:tplc="E05A9556">
      <w:start w:val="1"/>
      <w:numFmt w:val="bullet"/>
      <w:lvlText w:val=""/>
      <w:lvlJc w:val="left"/>
      <w:pPr>
        <w:tabs>
          <w:tab w:val="num" w:pos="900"/>
        </w:tabs>
        <w:ind w:left="540" w:hanging="360"/>
      </w:pPr>
      <w:rPr>
        <w:rFonts w:ascii="Symbol" w:hAnsi="Symbol" w:hint="default"/>
      </w:rPr>
    </w:lvl>
    <w:lvl w:ilvl="1" w:tplc="AB9E64FE">
      <w:numFmt w:val="decimal"/>
      <w:lvlText w:val=""/>
      <w:lvlJc w:val="left"/>
    </w:lvl>
    <w:lvl w:ilvl="2" w:tplc="F5BE27C4">
      <w:numFmt w:val="decimal"/>
      <w:lvlText w:val=""/>
      <w:lvlJc w:val="left"/>
    </w:lvl>
    <w:lvl w:ilvl="3" w:tplc="CC4AA858">
      <w:numFmt w:val="decimal"/>
      <w:lvlText w:val=""/>
      <w:lvlJc w:val="left"/>
    </w:lvl>
    <w:lvl w:ilvl="4" w:tplc="BB9A92EE">
      <w:numFmt w:val="decimal"/>
      <w:lvlText w:val=""/>
      <w:lvlJc w:val="left"/>
    </w:lvl>
    <w:lvl w:ilvl="5" w:tplc="3C226D0E">
      <w:numFmt w:val="decimal"/>
      <w:lvlText w:val=""/>
      <w:lvlJc w:val="left"/>
    </w:lvl>
    <w:lvl w:ilvl="6" w:tplc="191A3F0C">
      <w:numFmt w:val="decimal"/>
      <w:lvlText w:val=""/>
      <w:lvlJc w:val="left"/>
    </w:lvl>
    <w:lvl w:ilvl="7" w:tplc="11F41D24">
      <w:numFmt w:val="decimal"/>
      <w:lvlText w:val=""/>
      <w:lvlJc w:val="left"/>
    </w:lvl>
    <w:lvl w:ilvl="8" w:tplc="5524A93A">
      <w:numFmt w:val="decimal"/>
      <w:lvlText w:val=""/>
      <w:lvlJc w:val="left"/>
    </w:lvl>
  </w:abstractNum>
  <w:num w:numId="1" w16cid:durableId="1321886058">
    <w:abstractNumId w:val="8"/>
  </w:num>
  <w:num w:numId="2" w16cid:durableId="385884512">
    <w:abstractNumId w:val="9"/>
  </w:num>
  <w:num w:numId="3" w16cid:durableId="811601145">
    <w:abstractNumId w:val="15"/>
  </w:num>
  <w:num w:numId="4" w16cid:durableId="1503013410">
    <w:abstractNumId w:val="3"/>
  </w:num>
  <w:num w:numId="5" w16cid:durableId="235748832">
    <w:abstractNumId w:val="14"/>
  </w:num>
  <w:num w:numId="6" w16cid:durableId="338318502">
    <w:abstractNumId w:val="2"/>
  </w:num>
  <w:num w:numId="7" w16cid:durableId="1551382845">
    <w:abstractNumId w:val="0"/>
  </w:num>
  <w:num w:numId="8" w16cid:durableId="209656011">
    <w:abstractNumId w:val="1"/>
  </w:num>
  <w:num w:numId="9" w16cid:durableId="1924684870">
    <w:abstractNumId w:val="6"/>
  </w:num>
  <w:num w:numId="10" w16cid:durableId="1782796220">
    <w:abstractNumId w:val="10"/>
  </w:num>
  <w:num w:numId="11" w16cid:durableId="1775441116">
    <w:abstractNumId w:val="13"/>
  </w:num>
  <w:num w:numId="12" w16cid:durableId="1383795465">
    <w:abstractNumId w:val="7"/>
  </w:num>
  <w:num w:numId="13" w16cid:durableId="1237859298">
    <w:abstractNumId w:val="11"/>
  </w:num>
  <w:num w:numId="14" w16cid:durableId="573205135">
    <w:abstractNumId w:val="5"/>
  </w:num>
  <w:num w:numId="15" w16cid:durableId="293174518">
    <w:abstractNumId w:val="4"/>
  </w:num>
  <w:num w:numId="16" w16cid:durableId="14103018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11E"/>
    <w:rsid w:val="00842CA2"/>
    <w:rsid w:val="00B1511E"/>
    <w:rsid w:val="00C02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EA2D93E"/>
  <w15:docId w15:val="{A8920E2E-5026-4301-B7AB-18434C358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4210</Words>
  <Characters>23999</Characters>
  <Application>Microsoft Office Word</Application>
  <DocSecurity>0</DocSecurity>
  <Lines>199</Lines>
  <Paragraphs>56</Paragraphs>
  <ScaleCrop>false</ScaleCrop>
  <Company/>
  <LinksUpToDate>false</LinksUpToDate>
  <CharactersWithSpaces>28153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randolph nunez</cp:lastModifiedBy>
  <cp:revision>2</cp:revision>
  <dcterms:created xsi:type="dcterms:W3CDTF">2026-02-10T08:24:00Z</dcterms:created>
  <dcterms:modified xsi:type="dcterms:W3CDTF">2026-02-10T08:24:00Z</dcterms:modified>
</cp:coreProperties>
</file>