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Minimum Exit Readiness Levels</w:t>
      </w:r>
    </w:p>
    <w:p>
      <w:pPr>
        <w:spacing w:before="120" w:after="120"/>
        <w:jc w:val="center"/>
      </w:pPr>
      <w:r>
        <w:rPr>
          <w:color w:val="303F9F"/>
          <w:sz w:val="32"/>
          <w:szCs w:val="32"/>
        </w:rPr>
        <w:t xml:space="preserve">By Industry Sector and Company Stage</w:t>
      </w:r>
    </w:p>
    <w:p>
      <w:pPr>
        <w:spacing w:before="240" w:after="480"/>
        <w:jc w:val="center"/>
      </w:pPr>
      <w:r>
        <w:rPr>
          <w:color w:val="666666"/>
          <w:sz w:val="24"/>
          <w:szCs w:val="24"/>
        </w:rPr>
        <w:t xml:space="preserve">A Research-Based Framework for UK SMEs</w:t>
      </w:r>
    </w:p>
    <w:p>
      <w:pPr>
        <w:jc w:val="center"/>
      </w:pPr>
      <w:r>
        <w:rPr>
          <w:sz w:val="22"/>
          <w:szCs w:val="22"/>
        </w:rPr>
        <w:t xml:space="preserve">January 2026</w:t>
      </w:r>
    </w:p>
    <w:p>
      <w:pPr>
        <w:spacing w:before="120"/>
        <w:jc w:val="center"/>
      </w:pPr>
      <w:r>
        <w:rPr>
          <w:color w:val="666666"/>
          <w:sz w:val="20"/>
          <w:szCs w:val="20"/>
        </w:rPr>
        <w:t xml:space="preserve">Version 1.0</w:t>
      </w:r>
    </w:p>
    <w:p>
      <w:pPr>
        <w:pStyle w:val="Heading1"/>
      </w:pPr>
      <w:r>
        <w:t xml:space="preserve">Executive Summary</w:t>
      </w:r>
    </w:p>
    <w:p>
      <w:pPr>
        <w:spacing w:after="200"/>
      </w:pPr>
      <w:r>
        <w:t xml:space="preserve">This report examines the minimum exit readiness levels required across six industry sectors and three company stages (pre-revenue, £5m valuation, and £30m valuation). Drawing on UK M&amp;A market data, due diligence standards, and buyer expectations, we establish differentiated readiness thresholds that reflect the realities of the current transaction environment.</w:t>
      </w:r>
    </w:p>
    <w:p>
      <w:pPr>
        <w:spacing w:after="200"/>
      </w:pPr>
      <w:r>
        <w:t xml:space="preserve">The analysis reveals that exit readiness requirements vary significantly based on three key factors: industry sector (with regulated industries like Healthcare requiring higher minimum levels), company stage (larger transactions demand more rigorous preparation), and buyer type (private equity buyers typically require higher readiness than trade buyers). Our findings suggest that the 'one size fits all' approach to exit preparation is insufficient—SME owners should calibrate their readiness efforts to their specific circumstances.</w:t>
      </w:r>
    </w:p>
    <w:p>
      <w:pPr>
        <w:spacing w:after="200"/>
      </w:pPr>
      <w:r>
        <w:rPr>
          <w:b/>
          <w:bCs/>
        </w:rPr>
        <w:t xml:space="preserve">Key Finding: </w:t>
      </w:r>
      <w:r>
        <w:t xml:space="preserve">Technology and Healthcare sectors require the highest minimum readiness levels (Level 2 minimum even for pre-revenue businesses), while Construction/Engineering and Retail/Hospitality can achieve successful exits at lower readiness levels for smaller transactions.</w:t>
      </w:r>
    </w:p>
    <w:p>
      <w:pPr>
        <w:pStyle w:val="Heading1"/>
      </w:pPr>
      <w:r>
        <w:t xml:space="preserve">1. Methodology</w:t>
      </w:r>
    </w:p>
    <w:p>
      <w:pPr>
        <w:spacing w:after="200"/>
      </w:pPr>
      <w:r>
        <w:t xml:space="preserve">This research synthesises data from multiple sources to establish minimum exit readiness thresholds. The 0-4 maturity scale aligns with the established SME Sale Readiness Assessment Framework, adapted from CMMI (Capability Maturity Model Integration) principles.</w:t>
      </w:r>
    </w:p>
    <w:p>
      <w:pPr>
        <w:pStyle w:val="Heading2"/>
      </w:pPr>
      <w:r>
        <w:t xml:space="preserve">1.1 Data Sources</w:t>
      </w:r>
    </w:p>
    <w:p>
      <w:pPr>
        <w:pStyle w:val="ListParagraph"/>
        <w:numPr>
          <w:ilvl w:val="0"/>
          <w:numId w:val="2"/>
        </w:numPr>
      </w:pPr>
      <w:r>
        <w:t xml:space="preserve">Dealsuite M&amp;A Monitor UK&amp;I (H1-H2 2024, H1 2025) – Transaction multiples by sector and size</w:t>
      </w:r>
    </w:p>
    <w:p>
      <w:pPr>
        <w:pStyle w:val="ListParagraph"/>
        <w:numPr>
          <w:ilvl w:val="0"/>
          <w:numId w:val="2"/>
        </w:numPr>
      </w:pPr>
      <w:r>
        <w:t xml:space="preserve">ICAEW Financial and Commercial Due Diligence Guidelines (2024-2025)</w:t>
      </w:r>
    </w:p>
    <w:p>
      <w:pPr>
        <w:pStyle w:val="ListParagraph"/>
        <w:numPr>
          <w:ilvl w:val="0"/>
          <w:numId w:val="2"/>
        </w:numPr>
      </w:pPr>
      <w:r>
        <w:t xml:space="preserve">EY Private Equity Exit Readiness Study (2025)</w:t>
      </w:r>
    </w:p>
    <w:p>
      <w:pPr>
        <w:pStyle w:val="ListParagraph"/>
        <w:numPr>
          <w:ilvl w:val="0"/>
          <w:numId w:val="2"/>
        </w:numPr>
      </w:pPr>
      <w:r>
        <w:t xml:space="preserve">KPMG ESG Due Diligence Study (2024) – 71% of UK PE buyers now prioritise ESG</w:t>
      </w:r>
    </w:p>
    <w:p>
      <w:pPr>
        <w:pStyle w:val="ListParagraph"/>
        <w:numPr>
          <w:ilvl w:val="0"/>
          <w:numId w:val="2"/>
        </w:numPr>
      </w:pPr>
      <w:r>
        <w:t xml:space="preserve">Baker McKenzie UK Private M&amp;A Guide</w:t>
      </w:r>
    </w:p>
    <w:p>
      <w:pPr>
        <w:pStyle w:val="ListParagraph"/>
        <w:numPr>
          <w:ilvl w:val="0"/>
          <w:numId w:val="2"/>
        </w:numPr>
      </w:pPr>
      <w:r>
        <w:t xml:space="preserve">Industry-specific regulatory requirements (CQC, FCA, etc.)</w:t>
      </w:r>
    </w:p>
    <w:p>
      <w:pPr>
        <w:pStyle w:val="Heading2"/>
      </w:pPr>
      <w:r>
        <w:t xml:space="preserve">1.2 Maturity Level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00"/>
        <w:gridCol w:w="2000"/>
      </w:tblGrid>
      <w:tr>
        <w:trPr>
          <w:tblHeader/>
        </w:trPr>
        <w:tc>
          <w:tcPr>
            <w:tcW w:type="dxa" w:w="12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Name</w:t>
            </w:r>
          </w:p>
        </w:tc>
        <w:tc>
          <w:tcPr>
            <w:tcW w:type="dxa" w:w="4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Buyer Impact</w:t>
            </w:r>
          </w:p>
        </w:tc>
      </w:tr>
      <w:tr>
        <w:tc>
          <w:tcPr>
            <w:tcW w:type="dxa" w:w="1200"/>
            <w:tcBorders>
              <w:top w:val="single" w:color="CCCCCC" w:sz="1"/>
              <w:left w:val="single" w:color="CCCCCC" w:sz="1"/>
              <w:bottom w:val="single" w:color="CCCCCC" w:sz="1"/>
              <w:right w:val="single" w:color="CCCCCC" w:sz="1"/>
            </w:tcBorders>
            <w:shd w:fill="FFE5E5" w:val="clear"/>
          </w:tcPr>
          <w:p>
            <w:pPr>
              <w:jc w:val="center"/>
            </w:pPr>
            <w:r>
              <w:rPr>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E5E5" w:val="clear"/>
          </w:tcPr>
          <w:p>
            <w:pPr>
              <w:jc w:val="left"/>
            </w:pPr>
            <w:r>
              <w:rPr>
                <w:b/>
                <w:bCs/>
                <w:color w:val="000000"/>
                <w:sz w:val="20"/>
                <w:szCs w:val="20"/>
              </w:rPr>
              <w:t xml:space="preserve">Incomplete</w:t>
            </w:r>
          </w:p>
        </w:tc>
        <w:tc>
          <w:tcPr>
            <w:tcW w:type="dxa" w:w="4500"/>
            <w:tcBorders>
              <w:top w:val="single" w:color="CCCCCC" w:sz="1"/>
              <w:left w:val="single" w:color="CCCCCC" w:sz="1"/>
              <w:bottom w:val="single" w:color="CCCCCC" w:sz="1"/>
              <w:right w:val="single" w:color="CCCCCC" w:sz="1"/>
            </w:tcBorders>
            <w:shd w:fill="FFE5E5" w:val="clear"/>
          </w:tcPr>
          <w:p>
            <w:pPr>
              <w:jc w:val="left"/>
            </w:pPr>
            <w:r>
              <w:rPr>
                <w:b w:val="false"/>
                <w:bCs w:val="false"/>
                <w:color w:val="000000"/>
                <w:sz w:val="20"/>
                <w:szCs w:val="20"/>
              </w:rPr>
              <w:t xml:space="preserve">Ad hoc or unknown. Information missing, severely incomplete, or never created.</w:t>
            </w:r>
          </w:p>
        </w:tc>
        <w:tc>
          <w:tcPr>
            <w:tcW w:type="dxa" w:w="2000"/>
            <w:tcBorders>
              <w:top w:val="single" w:color="CCCCCC" w:sz="1"/>
              <w:left w:val="single" w:color="CCCCCC" w:sz="1"/>
              <w:bottom w:val="single" w:color="CCCCCC" w:sz="1"/>
              <w:right w:val="single" w:color="CCCCCC" w:sz="1"/>
            </w:tcBorders>
            <w:shd w:fill="FFE5E5" w:val="clear"/>
          </w:tcPr>
          <w:p>
            <w:pPr>
              <w:jc w:val="left"/>
            </w:pPr>
            <w:r>
              <w:rPr>
                <w:b w:val="false"/>
                <w:bCs w:val="false"/>
                <w:color w:val="000000"/>
                <w:sz w:val="20"/>
                <w:szCs w:val="20"/>
              </w:rPr>
              <w:t xml:space="preserve">Deal-breaker. Walk-away risk.</w:t>
            </w:r>
          </w:p>
        </w:tc>
      </w:tr>
      <w:tr>
        <w:tc>
          <w:tcPr>
            <w:tcW w:type="dxa" w:w="12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3E0" w:val="clear"/>
          </w:tcPr>
          <w:p>
            <w:pPr>
              <w:jc w:val="left"/>
            </w:pPr>
            <w:r>
              <w:rPr>
                <w:b/>
                <w:bCs/>
                <w:color w:val="000000"/>
                <w:sz w:val="20"/>
                <w:szCs w:val="20"/>
              </w:rPr>
              <w:t xml:space="preserve">Initial</w:t>
            </w:r>
          </w:p>
        </w:tc>
        <w:tc>
          <w:tcPr>
            <w:tcW w:type="dxa" w:w="4500"/>
            <w:tcBorders>
              <w:top w:val="single" w:color="CCCCCC" w:sz="1"/>
              <w:left w:val="single" w:color="CCCCCC" w:sz="1"/>
              <w:bottom w:val="single" w:color="CCCCCC" w:sz="1"/>
              <w:right w:val="single" w:color="CCCCCC" w:sz="1"/>
            </w:tcBorders>
            <w:shd w:fill="FFF3E0" w:val="clear"/>
          </w:tcPr>
          <w:p>
            <w:pPr>
              <w:jc w:val="left"/>
            </w:pPr>
            <w:r>
              <w:rPr>
                <w:b w:val="false"/>
                <w:bCs w:val="false"/>
                <w:color w:val="000000"/>
                <w:sz w:val="20"/>
                <w:szCs w:val="20"/>
              </w:rPr>
              <w:t xml:space="preserve">Reactive. Information scattered, key-person dependent. Processes undocumented.</w:t>
            </w:r>
          </w:p>
        </w:tc>
        <w:tc>
          <w:tcPr>
            <w:tcW w:type="dxa" w:w="2000"/>
            <w:tcBorders>
              <w:top w:val="single" w:color="CCCCCC" w:sz="1"/>
              <w:left w:val="single" w:color="CCCCCC" w:sz="1"/>
              <w:bottom w:val="single" w:color="CCCCCC" w:sz="1"/>
              <w:right w:val="single" w:color="CCCCCC" w:sz="1"/>
            </w:tcBorders>
            <w:shd w:fill="FFF3E0" w:val="clear"/>
          </w:tcPr>
          <w:p>
            <w:pPr>
              <w:jc w:val="left"/>
            </w:pPr>
            <w:r>
              <w:rPr>
                <w:b w:val="false"/>
                <w:bCs w:val="false"/>
                <w:color w:val="000000"/>
                <w:sz w:val="20"/>
                <w:szCs w:val="20"/>
              </w:rPr>
              <w:t xml:space="preserve">Material concern. Deep DD required.</w:t>
            </w:r>
          </w:p>
        </w:tc>
      </w:tr>
      <w:tr>
        <w:tc>
          <w:tcPr>
            <w:tcW w:type="dxa" w:w="12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DE7" w:val="clear"/>
          </w:tcPr>
          <w:p>
            <w:pPr>
              <w:jc w:val="left"/>
            </w:pPr>
            <w:r>
              <w:rPr>
                <w:b/>
                <w:bCs/>
                <w:color w:val="000000"/>
                <w:sz w:val="20"/>
                <w:szCs w:val="20"/>
              </w:rPr>
              <w:t xml:space="preserve">Managed</w:t>
            </w:r>
          </w:p>
        </w:tc>
        <w:tc>
          <w:tcPr>
            <w:tcW w:type="dxa" w:w="4500"/>
            <w:tcBorders>
              <w:top w:val="single" w:color="CCCCCC" w:sz="1"/>
              <w:left w:val="single" w:color="CCCCCC" w:sz="1"/>
              <w:bottom w:val="single" w:color="CCCCCC" w:sz="1"/>
              <w:right w:val="single" w:color="CCCCCC" w:sz="1"/>
            </w:tcBorders>
            <w:shd w:fill="FFFDE7" w:val="clear"/>
          </w:tcPr>
          <w:p>
            <w:pPr>
              <w:jc w:val="left"/>
            </w:pPr>
            <w:r>
              <w:rPr>
                <w:b w:val="false"/>
                <w:bCs w:val="false"/>
                <w:color w:val="000000"/>
                <w:sz w:val="20"/>
                <w:szCs w:val="20"/>
              </w:rPr>
              <w:t xml:space="preserve">Planned and documented. Key information organised. Known gaps identified.</w:t>
            </w:r>
          </w:p>
        </w:tc>
        <w:tc>
          <w:tcPr>
            <w:tcW w:type="dxa" w:w="2000"/>
            <w:tcBorders>
              <w:top w:val="single" w:color="CCCCCC" w:sz="1"/>
              <w:left w:val="single" w:color="CCCCCC" w:sz="1"/>
              <w:bottom w:val="single" w:color="CCCCCC" w:sz="1"/>
              <w:right w:val="single" w:color="CCCCCC" w:sz="1"/>
            </w:tcBorders>
            <w:shd w:fill="FFFDE7" w:val="clear"/>
          </w:tcPr>
          <w:p>
            <w:pPr>
              <w:jc w:val="left"/>
            </w:pPr>
            <w:r>
              <w:rPr>
                <w:b w:val="false"/>
                <w:bCs w:val="false"/>
                <w:color w:val="000000"/>
                <w:sz w:val="20"/>
                <w:szCs w:val="20"/>
              </w:rPr>
              <w:t xml:space="preserve">Acceptable baseline for £5m deals.</w:t>
            </w:r>
          </w:p>
        </w:tc>
      </w:tr>
      <w:tr>
        <w:tc>
          <w:tcPr>
            <w:tcW w:type="dxa" w:w="12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E8F5E9" w:val="clear"/>
          </w:tcPr>
          <w:p>
            <w:pPr>
              <w:jc w:val="left"/>
            </w:pPr>
            <w:r>
              <w:rPr>
                <w:b/>
                <w:bCs/>
                <w:color w:val="000000"/>
                <w:sz w:val="20"/>
                <w:szCs w:val="20"/>
              </w:rPr>
              <w:t xml:space="preserve">Defined</w:t>
            </w:r>
          </w:p>
        </w:tc>
        <w:tc>
          <w:tcPr>
            <w:tcW w:type="dxa" w:w="4500"/>
            <w:tcBorders>
              <w:top w:val="single" w:color="CCCCCC" w:sz="1"/>
              <w:left w:val="single" w:color="CCCCCC" w:sz="1"/>
              <w:bottom w:val="single" w:color="CCCCCC" w:sz="1"/>
              <w:right w:val="single" w:color="CCCCCC" w:sz="1"/>
            </w:tcBorders>
            <w:shd w:fill="E8F5E9" w:val="clear"/>
          </w:tcPr>
          <w:p>
            <w:pPr>
              <w:jc w:val="left"/>
            </w:pPr>
            <w:r>
              <w:rPr>
                <w:b w:val="false"/>
                <w:bCs w:val="false"/>
                <w:color w:val="000000"/>
                <w:sz w:val="20"/>
                <w:szCs w:val="20"/>
              </w:rPr>
              <w:t xml:space="preserve">Standardised and proactive. Comprehensive documentation. Self-assessment with evidence.</w:t>
            </w:r>
          </w:p>
        </w:tc>
        <w:tc>
          <w:tcPr>
            <w:tcW w:type="dxa" w:w="2000"/>
            <w:tcBorders>
              <w:top w:val="single" w:color="CCCCCC" w:sz="1"/>
              <w:left w:val="single" w:color="CCCCCC" w:sz="1"/>
              <w:bottom w:val="single" w:color="CCCCCC" w:sz="1"/>
              <w:right w:val="single" w:color="CCCCCC" w:sz="1"/>
            </w:tcBorders>
            <w:shd w:fill="E8F5E9" w:val="clear"/>
          </w:tcPr>
          <w:p>
            <w:pPr>
              <w:jc w:val="left"/>
            </w:pPr>
            <w:r>
              <w:rPr>
                <w:b w:val="false"/>
                <w:bCs w:val="false"/>
                <w:color w:val="000000"/>
                <w:sz w:val="20"/>
                <w:szCs w:val="20"/>
              </w:rPr>
              <w:t xml:space="preserve">Strong position for £30m deals.</w:t>
            </w:r>
          </w:p>
        </w:tc>
      </w:tr>
      <w:tr>
        <w:tc>
          <w:tcPr>
            <w:tcW w:type="dxa" w:w="12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3F2FD" w:val="clear"/>
          </w:tcPr>
          <w:p>
            <w:pPr>
              <w:jc w:val="left"/>
            </w:pPr>
            <w:r>
              <w:rPr>
                <w:b/>
                <w:bCs/>
                <w:color w:val="000000"/>
                <w:sz w:val="20"/>
                <w:szCs w:val="20"/>
              </w:rPr>
              <w:t xml:space="preserve">Optimised</w:t>
            </w:r>
          </w:p>
        </w:tc>
        <w:tc>
          <w:tcPr>
            <w:tcW w:type="dxa" w:w="4500"/>
            <w:tcBorders>
              <w:top w:val="single" w:color="CCCCCC" w:sz="1"/>
              <w:left w:val="single" w:color="CCCCCC" w:sz="1"/>
              <w:bottom w:val="single" w:color="CCCCCC" w:sz="1"/>
              <w:right w:val="single" w:color="CCCCCC" w:sz="1"/>
            </w:tcBorders>
            <w:shd w:fill="E3F2FD" w:val="clear"/>
          </w:tcPr>
          <w:p>
            <w:pPr>
              <w:jc w:val="left"/>
            </w:pPr>
            <w:r>
              <w:rPr>
                <w:b w:val="false"/>
                <w:bCs w:val="false"/>
                <w:color w:val="000000"/>
                <w:sz w:val="20"/>
                <w:szCs w:val="20"/>
              </w:rPr>
              <w:t xml:space="preserve">Transaction-ready. Third-party verified. Continuous monitoring. Board oversight.</w:t>
            </w:r>
          </w:p>
        </w:tc>
        <w:tc>
          <w:tcPr>
            <w:tcW w:type="dxa" w:w="2000"/>
            <w:tcBorders>
              <w:top w:val="single" w:color="CCCCCC" w:sz="1"/>
              <w:left w:val="single" w:color="CCCCCC" w:sz="1"/>
              <w:bottom w:val="single" w:color="CCCCCC" w:sz="1"/>
              <w:right w:val="single" w:color="CCCCCC" w:sz="1"/>
            </w:tcBorders>
            <w:shd w:fill="E3F2FD" w:val="clear"/>
          </w:tcPr>
          <w:p>
            <w:pPr>
              <w:jc w:val="left"/>
            </w:pPr>
            <w:r>
              <w:rPr>
                <w:b w:val="false"/>
                <w:bCs w:val="false"/>
                <w:color w:val="000000"/>
                <w:sz w:val="20"/>
                <w:szCs w:val="20"/>
              </w:rPr>
              <w:t xml:space="preserve">Premium position. Competitive auction.</w:t>
            </w:r>
          </w:p>
        </w:tc>
      </w:tr>
    </w:tbl>
    <w:p>
      <w:pPr>
        <w:pStyle w:val="Heading1"/>
      </w:pPr>
      <w:r>
        <w:t xml:space="preserve">2. Market Context: EBITDA Multiples by Sector</w:t>
      </w:r>
    </w:p>
    <w:p>
      <w:pPr>
        <w:spacing w:after="200"/>
      </w:pPr>
      <w:r>
        <w:t xml:space="preserve">Understanding sector valuation multiples provides context for why readiness requirements differ. Higher-multiple sectors attract more sophisticated buyers who demand greater diligence rigour.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700"/>
      </w:tblGrid>
      <w:tr>
        <w:trPr>
          <w:tblHeader/>
        </w:trPr>
        <w:tc>
          <w:tcPr>
            <w:tcW w:type="dxa" w:w="28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Sector</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EBITDA Multiple (H1 2025)</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Multiple Range</w:t>
            </w:r>
          </w:p>
        </w:tc>
        <w:tc>
          <w:tcPr>
            <w:tcW w:type="dxa" w:w="27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Key Valuation Drivers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Technology/SaaS</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8.0–8.2x</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6.0x – 15.0x+</w:t>
            </w:r>
          </w:p>
        </w:tc>
        <w:tc>
          <w:tcPr>
            <w:tcW w:type="dxa" w:w="27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ARR, net revenue retention, churn &lt;5%</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Healthcare</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7.6–7.8x</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5.5x – 9.0x</w:t>
            </w:r>
          </w:p>
        </w:tc>
        <w:tc>
          <w:tcPr>
            <w:tcW w:type="dxa" w:w="27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CQC rating, NHS contracts, clinical governance</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Professional Services</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5.5–7.0x</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4.5x – 8.0x</w:t>
            </w:r>
          </w:p>
        </w:tc>
        <w:tc>
          <w:tcPr>
            <w:tcW w:type="dxa" w:w="27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Client retention, fee earner utilisation, WIP</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Manufacturing</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5.5–6.5x</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4.0x – 7.5x</w:t>
            </w:r>
          </w:p>
        </w:tc>
        <w:tc>
          <w:tcPr>
            <w:tcW w:type="dxa" w:w="27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Asset condition, capacity utilisation, supply chain</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Construction/Engineering</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3.5–5.0x</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3.0x – 6.0x</w:t>
            </w:r>
          </w:p>
        </w:tc>
        <w:tc>
          <w:tcPr>
            <w:tcW w:type="dxa" w:w="27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Order book, margins, H&amp;S record, certifications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Retail/Hospitality</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4.0–5.5x</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3.0x – 6.5x</w:t>
            </w:r>
          </w:p>
        </w:tc>
        <w:tc>
          <w:tcPr>
            <w:tcW w:type="dxa" w:w="27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LFL sales, lease portfolio, occupancy costs</w:t>
            </w:r>
          </w:p>
        </w:tc>
      </w:tr>
    </w:tbl>
    <w:p>
      <w:pPr>
        <w:spacing w:before="120" w:after="200"/>
      </w:pPr>
      <w:r>
        <w:rPr>
          <w:i/>
          <w:iCs/>
          <w:color w:val="666666"/>
          <w:sz w:val="18"/>
          <w:szCs w:val="18"/>
        </w:rPr>
        <w:t xml:space="preserve">Source: Dealsuite M&amp;A Monitor H1 2025, First Page Sage EBITDA Multiples Report 2025, GS Verde Group UK M&amp;A Analysis 2025</w:t>
      </w:r>
    </w:p>
    <w:p>
      <w:pPr>
        <w:pStyle w:val="Heading1"/>
      </w:pPr>
      <w:r>
        <w:t xml:space="preserve">3. Minimum Exit Readiness Levels by Industry and Stage</w:t>
      </w:r>
    </w:p>
    <w:p>
      <w:pPr>
        <w:spacing w:after="200"/>
      </w:pPr>
      <w:r>
        <w:t xml:space="preserve">The following table presents the minimum average readiness level (across all six domains) required for a credible sale process. These thresholds represent the baseline below which transactions become significantly more difficult or value-destructive.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500"/>
      </w:tblGrid>
      <w:tr>
        <w:trPr>
          <w:tblHeader/>
        </w:trPr>
        <w:tc>
          <w:tcPr>
            <w:tcW w:type="dxa" w:w="28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Industry Sector</w:t>
            </w:r>
          </w:p>
        </w:tc>
        <w:tc>
          <w:tcPr>
            <w:tcW w:type="dxa" w:w="21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Pre-Revenue</w:t>
            </w:r>
          </w:p>
        </w:tc>
        <w:tc>
          <w:tcPr>
            <w:tcW w:type="dxa" w:w="21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£5m Valuation</w:t>
            </w:r>
          </w:p>
        </w:tc>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£30m Valuation</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Technology/SaaS</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c>
          <w:tcPr>
            <w:tcW w:type="dxa" w:w="25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3.5</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Healthcare</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c>
          <w:tcPr>
            <w:tcW w:type="dxa" w:w="25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3.5</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Professional Services</w:t>
            </w:r>
          </w:p>
        </w:tc>
        <w:tc>
          <w:tcPr>
            <w:tcW w:type="dxa" w:w="21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1.5</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5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3.0</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Manufacturing</w:t>
            </w:r>
          </w:p>
        </w:tc>
        <w:tc>
          <w:tcPr>
            <w:tcW w:type="dxa" w:w="21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1.5</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5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3.0</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Construction/Engineering</w:t>
            </w:r>
          </w:p>
        </w:tc>
        <w:tc>
          <w:tcPr>
            <w:tcW w:type="dxa" w:w="21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1.0</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5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Retail/Hospitality</w:t>
            </w:r>
          </w:p>
        </w:tc>
        <w:tc>
          <w:tcPr>
            <w:tcW w:type="dxa" w:w="21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1.0</w:t>
            </w:r>
          </w:p>
        </w:tc>
        <w:tc>
          <w:tcPr>
            <w:tcW w:type="dxa" w:w="21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5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r>
    </w:tbl>
    <w:p>
      <w:pPr>
        <w:spacing w:before="120" w:after="240"/>
      </w:pPr>
      <w:r>
        <w:rPr>
          <w:i/>
          <w:iCs/>
          <w:sz w:val="18"/>
          <w:szCs w:val="18"/>
        </w:rPr>
        <w:t xml:space="preserve">Note: Values represent minimum average scores across all six assessment domains. Specific domains may require higher levels.</w:t>
      </w:r>
    </w:p>
    <w:p>
      <w:pPr>
        <w:pStyle w:val="Heading1"/>
      </w:pPr>
      <w:r>
        <w:t xml:space="preserve">4. Domain-Level Minimum Requirements</w:t>
      </w:r>
    </w:p>
    <w:p>
      <w:pPr>
        <w:spacing w:after="200"/>
      </w:pPr>
      <w:r>
        <w:t xml:space="preserve">While average scores provide a headline indicator, the minimum levels required for individual domains vary by industry. This section details the critical domain thresholds for each sector.</w:t>
      </w:r>
    </w:p>
    <w:p>
      <w:pPr>
        <w:pStyle w:val="Heading2"/>
      </w:pPr>
      <w:r>
        <w:t xml:space="preserve">4.1 Technology/SaaS</w:t>
      </w:r>
    </w:p>
    <w:p>
      <w:pPr>
        <w:spacing w:after="120"/>
      </w:pPr>
      <w:r>
        <w:t xml:space="preserve">Technology companies command the highest multiples but face the most rigorous IP and technical due diligence. The criticality of intellectual property and code quality elevates requirements across multiple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200"/>
      </w:tblGrid>
      <w:tr>
        <w:trPr>
          <w:tblHeader/>
        </w:trPr>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Pre-Revenue</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£5m</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£30m</w:t>
            </w:r>
          </w:p>
        </w:tc>
        <w:tc>
          <w:tcPr>
            <w:tcW w:type="dxa" w:w="22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Critical Factors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Financial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ARR/MRR waterfall, cohort analysis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Legal &amp; Corporate</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IP chain of title, code ownership</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Commercial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Churn &lt;5%, LTV:CAC &gt;3:1</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Operational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Architecture docs, pen testing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People &amp; Organisation</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Developer retention, IP assignments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ESG &amp; Risk</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privacy, cybersecurity</w:t>
            </w:r>
          </w:p>
        </w:tc>
      </w:tr>
    </w:tbl>
    <w:p>
      <w:pPr>
        <w:pStyle w:val="Heading2"/>
      </w:pPr>
      <w:r>
        <w:t xml:space="preserve">4.2 Healthcare</w:t>
      </w:r>
    </w:p>
    <w:p>
      <w:pPr>
        <w:spacing w:after="120"/>
      </w:pPr>
      <w:r>
        <w:t xml:space="preserve">Healthcare transactions face unique regulatory scrutiny. CQC ratings are non-negotiable—a 'Requires Improvement' or 'Inadequate' rating can be transaction-fatal. Clinical governance documentation is essential even for small deals.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200"/>
      </w:tblGrid>
      <w:tr>
        <w:trPr>
          <w:tblHeader/>
        </w:trPr>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Pre-Revenue</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£5m</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£30m</w:t>
            </w:r>
          </w:p>
        </w:tc>
        <w:tc>
          <w:tcPr>
            <w:tcW w:type="dxa" w:w="22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Critical Factors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Financial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NHS tariff analysis, fee mix</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Legal &amp; Corporate</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CQC registration, regulated activities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Commercial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NHS contract tenure, commissioner relationships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Operational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Clinical governance, incident reporting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People &amp; Organisation</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Staff registrations, DBS, fit &amp; proper</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ESG &amp; Risk</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CQC rating (Good/Outstanding req'd)</w:t>
            </w:r>
          </w:p>
        </w:tc>
      </w:tr>
    </w:tbl>
    <w:p>
      <w:pPr>
        <w:pStyle w:val="Heading2"/>
      </w:pPr>
      <w:r>
        <w:t xml:space="preserve">4.3 Professional Services</w:t>
      </w:r>
    </w:p>
    <w:p>
      <w:pPr>
        <w:spacing w:after="120"/>
      </w:pPr>
      <w:r>
        <w:t xml:space="preserve">People-intensive businesses where the key risk is client/fee earner concentration. Revenue quality (recurring vs project) significantly impacts required readiness levels and achievable multiples.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200"/>
      </w:tblGrid>
      <w:tr>
        <w:trPr>
          <w:tblHeader/>
        </w:trPr>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Pre-Revenue</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£5m</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£30m</w:t>
            </w:r>
          </w:p>
        </w:tc>
        <w:tc>
          <w:tcPr>
            <w:tcW w:type="dxa" w:w="22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Critical Factors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Financial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WIP valuation, lock-up days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Legal &amp; Corporate</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PI insurance, regulatory registrations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Commercial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Client concentration &lt;25%, relationship ownership</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Operational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Billing systems, time recording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People &amp; Organisation</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Key person risk, utilisation rates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ESG &amp; Risk</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Conflicts management, GDPR</w:t>
            </w:r>
          </w:p>
        </w:tc>
      </w:tr>
    </w:tbl>
    <w:p>
      <w:pPr>
        <w:pStyle w:val="Heading2"/>
      </w:pPr>
      <w:r>
        <w:t xml:space="preserve">4.4 Manufacturing</w:t>
      </w:r>
    </w:p>
    <w:p>
      <w:pPr>
        <w:spacing w:after="120"/>
      </w:pPr>
      <w:r>
        <w:t xml:space="preserve">Asset-intensive businesses where equipment condition and environmental liabilities are critical. Environmental DD increasingly required for larger deals, with Phase 1 assessments becoming 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200"/>
      </w:tblGrid>
      <w:tr>
        <w:trPr>
          <w:tblHeader/>
        </w:trPr>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Pre-Revenue</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£5m</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£30m</w:t>
            </w:r>
          </w:p>
        </w:tc>
        <w:tc>
          <w:tcPr>
            <w:tcW w:type="dxa" w:w="22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Critical Factors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Financial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Capex requirements, inventory valuation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Legal &amp; Corporate</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Equipment ownership, permits/licences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Commercial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Order book, customer concentration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Operational</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Equipment age, capacity utilisation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People &amp; Organisation</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H&amp;S record, skills matrix</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ESG &amp; Risk</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3F2FD" w:val="cle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Environmental permits, contamination</w:t>
            </w:r>
          </w:p>
        </w:tc>
      </w:tr>
    </w:tbl>
    <w:p>
      <w:pPr>
        <w:pStyle w:val="Heading2"/>
      </w:pPr>
      <w:r>
        <w:t xml:space="preserve">4.5 Construction/Engineering</w:t>
      </w:r>
    </w:p>
    <w:p>
      <w:pPr>
        <w:spacing w:after="120"/>
      </w:pPr>
      <w:r>
        <w:t xml:space="preserve">Project-based nature means revenue recognition and WIP valuation are critical. H&amp;S compliance non-negotiable. Lower multiples (3.5-5.0x) reflect cyclical nature, allowing lower readiness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200"/>
      </w:tblGrid>
      <w:tr>
        <w:trPr>
          <w:tblHeader/>
        </w:trPr>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Pre-Revenue</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£5m</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£30m</w:t>
            </w:r>
          </w:p>
        </w:tc>
        <w:tc>
          <w:tcPr>
            <w:tcW w:type="dxa" w:w="22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Critical Factors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Financial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Revenue recognition, retentions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Legal &amp; Corporate</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Contract terms, bond exposure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Commercial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Order book visibility, margins by project</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Operational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Project management, quality certifications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People &amp; Organisation</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CSCS cards, subcontractor management</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ESG &amp; Risk</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H&amp;S record, CDM compliance</w:t>
            </w:r>
          </w:p>
        </w:tc>
      </w:tr>
    </w:tbl>
    <w:p>
      <w:pPr>
        <w:pStyle w:val="Heading2"/>
      </w:pPr>
      <w:r>
        <w:t xml:space="preserve">4.6 Retail/Hospitality</w:t>
      </w:r>
    </w:p>
    <w:p>
      <w:pPr>
        <w:spacing w:after="120"/>
      </w:pPr>
      <w:r>
        <w:t xml:space="preserve">Property-intensive sectors where lease liabilities and dilapidations exposure can significantly impact value. Seasonality analysis essential. Multiple compression in recent years reflects market challenges.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200"/>
      </w:tblGrid>
      <w:tr>
        <w:trPr>
          <w:tblHeader/>
        </w:trPr>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Pre-Revenue</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£5m</w:t>
            </w:r>
          </w:p>
        </w:tc>
        <w:tc>
          <w:tcPr>
            <w:tcW w:type="dxa" w:w="16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£30m</w:t>
            </w:r>
          </w:p>
        </w:tc>
        <w:tc>
          <w:tcPr>
            <w:tcW w:type="dxa" w:w="22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Critical Factors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Financial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Seasonality, occupancy costs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Legal &amp; Corporate</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Lease portfolio, break clauses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Commercial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LFL sales, footfall/covers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Operational</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Stock management, EPoS systems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People &amp; Organisation</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Turnover rates, NIC exposure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ESG &amp; Risk</w:t>
            </w:r>
          </w:p>
        </w:tc>
        <w:tc>
          <w:tcPr>
            <w:tcW w:type="dxa" w:w="16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Licensing, food hygiene ratings</w:t>
            </w:r>
          </w:p>
        </w:tc>
      </w:tr>
    </w:tbl>
    <w:p>
      <w:pPr>
        <w:pStyle w:val="Heading1"/>
      </w:pPr>
      <w:r>
        <w:t xml:space="preserve">5. Impact of Buyer Type on Readiness Requirements</w:t>
      </w:r>
    </w:p>
    <w:p>
      <w:pPr>
        <w:spacing w:after="200"/>
      </w:pPr>
      <w:r>
        <w:t xml:space="preserve">Buyer type significantly affects the intensity and focus of due diligence. Private equity buyers typically require higher readiness levels than trade buyers, while listed company buyers face additional disclosure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rPr>
          <w:tblHeader/>
        </w:trPr>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Aspect</w:t>
            </w:r>
          </w:p>
        </w:tc>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Trade Buyer</w:t>
            </w:r>
          </w:p>
        </w:tc>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Private Equity</w:t>
            </w:r>
          </w:p>
        </w:tc>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Listed Company</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Minimum Readiness Adjustment</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-0.5 (sector knowledge)</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+0.5 (rigour)</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+0.5 (disclosure)</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Typical DD Duration</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4–8 weeks</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8–12 weeks</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10–16 weeks</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DD Question Volume</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200–400</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500–800</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400–600</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Vendor DD Expected</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Helpful but optional</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Strongly recommended</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Often required</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Primary Focus</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Strategic fit, synergies</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Financial returns, growth</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EPS accretion, disclosure</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Earn-out Frequency</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30–40%</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50–70%</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20–30%</w:t>
            </w:r>
          </w:p>
        </w:tc>
      </w:tr>
    </w:tbl>
    <w:p>
      <w:pPr>
        <w:spacing w:before="120" w:after="200"/>
      </w:pPr>
      <w:r>
        <w:rPr>
          <w:i/>
          <w:iCs/>
          <w:color w:val="666666"/>
          <w:sz w:val="18"/>
          <w:szCs w:val="18"/>
        </w:rPr>
        <w:t xml:space="preserve">Source: Analysis of UK M&amp;A transaction data 2023-2025, IFLR M&amp;A Guide 2025, Chambers M&amp;A Guide 2025</w:t>
      </w:r>
    </w:p>
    <w:p>
      <w:pPr>
        <w:pStyle w:val="Heading2"/>
      </w:pPr>
      <w:r>
        <w:t xml:space="preserve">5.1 Adjusted Minimum Levels by Buyer Type</w:t>
      </w:r>
    </w:p>
    <w:p>
      <w:pPr>
        <w:spacing w:after="120"/>
      </w:pPr>
      <w:r>
        <w:t xml:space="preserve">Applying the buyer type adjustment to the £5m valuation tier produces the following adjusted minimum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Industry (£5m)</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Trade Buyer</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Private Equity</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Listed Buyer</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Technology/SaaS</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0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3.0</w:t>
            </w:r>
          </w:p>
        </w:tc>
        <w:tc>
          <w:tcPr>
            <w:tcW w:type="dxa" w:w="20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3.0</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Healthcare</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c>
          <w:tcPr>
            <w:tcW w:type="dxa" w:w="20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3.0</w:t>
            </w:r>
          </w:p>
        </w:tc>
        <w:tc>
          <w:tcPr>
            <w:tcW w:type="dxa" w:w="20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3.0</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Professional Services</w:t>
            </w:r>
          </w:p>
        </w:tc>
        <w:tc>
          <w:tcPr>
            <w:tcW w:type="dxa" w:w="20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Manufacturing</w:t>
            </w:r>
          </w:p>
        </w:tc>
        <w:tc>
          <w:tcPr>
            <w:tcW w:type="dxa" w:w="20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Construction/Engineering</w:t>
            </w:r>
          </w:p>
        </w:tc>
        <w:tc>
          <w:tcPr>
            <w:tcW w:type="dxa" w:w="20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Retail/Hospitality</w:t>
            </w:r>
          </w:p>
        </w:tc>
        <w:tc>
          <w:tcPr>
            <w:tcW w:type="dxa" w:w="20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r>
    </w:tbl>
    <w:p>
      <w:pPr>
        <w:pStyle w:val="Heading1"/>
      </w:pPr>
      <w:r>
        <w:t xml:space="preserve">6. Additional Factors Affecting Readiness Requirements</w:t>
      </w:r>
    </w:p>
    <w:p>
      <w:pPr>
        <w:pStyle w:val="Heading2"/>
      </w:pPr>
      <w:r>
        <w:t xml:space="preserve">6.1 Company Size Premium Effect</w:t>
      </w:r>
    </w:p>
    <w:p>
      <w:pPr>
        <w:spacing w:after="120"/>
      </w:pPr>
      <w:r>
        <w:t xml:space="preserve">Dealsuite data demonstrates that companies with £5m EBITDA attract multiples 89% higher than those with £200k EBITDA. This 'size premium' correlates with buyer expectations—larger deals attract more rigorous due diligence and therefore require higher readiness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2000"/>
      </w:tblGrid>
      <w:tr>
        <w:trPr>
          <w:tblHeader/>
        </w:trPr>
        <w:tc>
          <w:tcPr>
            <w:tcW w:type="dxa" w:w="3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EBITDA Range</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Avg Multiple</w:t>
            </w:r>
          </w:p>
        </w:tc>
        <w:tc>
          <w:tcPr>
            <w:tcW w:type="dxa" w:w="25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DD Intensity</w:t>
            </w:r>
          </w:p>
        </w:tc>
        <w:tc>
          <w:tcPr>
            <w:tcW w:type="dxa" w:w="2000"/>
            <w:tcBorders>
              <w:top w:val="single" w:color="CCCCCC" w:sz="1"/>
              <w:left w:val="single" w:color="CCCCCC" w:sz="1"/>
              <w:bottom w:val="single" w:color="CCCCCC" w:sz="1"/>
              <w:right w:val="single" w:color="CCCCCC" w:sz="1"/>
            </w:tcBorders>
          </w:tcPr>
          <w:p>
            <w:pPr>
              <w:jc w:val="center"/>
            </w:pPr>
            <w:r>
              <w:rPr>
                <w:b/>
                <w:bCs/>
                <w:color w:val="FFFFFF"/>
                <w:sz w:val="20"/>
                <w:szCs w:val="20"/>
              </w:rPr>
              <w:t xml:space="preserve">Min Readiness</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&lt;£500k</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3.8x–4.5x</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Light</w:t>
            </w:r>
          </w:p>
        </w:tc>
        <w:tc>
          <w:tcPr>
            <w:tcW w:type="dxa" w:w="2000"/>
            <w:tcBorders>
              <w:top w:val="single" w:color="CCCCCC" w:sz="1"/>
              <w:left w:val="single" w:color="CCCCCC" w:sz="1"/>
              <w:bottom w:val="single" w:color="CCCCCC" w:sz="1"/>
              <w:right w:val="single" w:color="CCCCCC" w:sz="1"/>
            </w:tcBorders>
            <w:shd w:fill="FFF3E0" w:val="clear"/>
          </w:tcPr>
          <w:p>
            <w:pPr>
              <w:jc w:val="center"/>
            </w:pPr>
            <w:r>
              <w:rPr>
                <w:b w:val="false"/>
                <w:bCs w:val="false"/>
                <w:color w:val="000000"/>
                <w:sz w:val="20"/>
                <w:szCs w:val="20"/>
              </w:rPr>
              <w:t xml:space="preserve">Level 1.5</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£500k–£1.5m</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4.5x–5.5x</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Standard</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2.0</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£1.5m–£3m</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5.5x–6.5x</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Comprehensive</w:t>
            </w:r>
          </w:p>
        </w:tc>
        <w:tc>
          <w:tcPr>
            <w:tcW w:type="dxa" w:w="2000"/>
            <w:tcBorders>
              <w:top w:val="single" w:color="CCCCCC" w:sz="1"/>
              <w:left w:val="single" w:color="CCCCCC" w:sz="1"/>
              <w:bottom w:val="single" w:color="CCCCCC" w:sz="1"/>
              <w:right w:val="single" w:color="CCCCCC" w:sz="1"/>
            </w:tcBorders>
            <w:shd w:fill="FFFDE7" w:val="clear"/>
          </w:tcPr>
          <w:p>
            <w:pPr>
              <w:jc w:val="center"/>
            </w:pPr>
            <w:r>
              <w:rPr>
                <w:b w:val="false"/>
                <w:bCs w:val="false"/>
                <w:color w:val="000000"/>
                <w:sz w:val="20"/>
                <w:szCs w:val="20"/>
              </w:rPr>
              <w:t xml:space="preserve">Level 2.5</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£3m–£6m+</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6.5x–7.5x+</w:t>
            </w:r>
          </w:p>
        </w:tc>
        <w:tc>
          <w:tcPr>
            <w:tcW w:type="dxa" w:w="25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Full vendor DD expected</w:t>
            </w:r>
          </w:p>
        </w:tc>
        <w:tc>
          <w:tcPr>
            <w:tcW w:type="dxa" w:w="2000"/>
            <w:tcBorders>
              <w:top w:val="single" w:color="CCCCCC" w:sz="1"/>
              <w:left w:val="single" w:color="CCCCCC" w:sz="1"/>
              <w:bottom w:val="single" w:color="CCCCCC" w:sz="1"/>
              <w:right w:val="single" w:color="CCCCCC" w:sz="1"/>
            </w:tcBorders>
            <w:shd w:fill="E8F5E9" w:val="clear"/>
          </w:tcPr>
          <w:p>
            <w:pPr>
              <w:jc w:val="center"/>
            </w:pPr>
            <w:r>
              <w:rPr>
                <w:b w:val="false"/>
                <w:bCs w:val="false"/>
                <w:color w:val="000000"/>
                <w:sz w:val="20"/>
                <w:szCs w:val="20"/>
              </w:rPr>
              <w:t xml:space="preserve">Level 3.0+</w:t>
            </w:r>
          </w:p>
        </w:tc>
      </w:tr>
    </w:tbl>
    <w:p>
      <w:pPr>
        <w:pStyle w:val="Heading2"/>
      </w:pPr>
      <w:r>
        <w:t xml:space="preserve">6.2 ESG Considerations</w:t>
      </w:r>
    </w:p>
    <w:p>
      <w:pPr>
        <w:spacing w:after="200"/>
      </w:pPr>
      <w:r>
        <w:t xml:space="preserve">KPMG's 2024 ESG Due Diligence Study found that 71% of UK investors now prioritise ESG in transactions, with 57% expecting ESG DD on most deals within two years. This has elevated ESG &amp; Risk domain requirements across all sectors, particularly for private equity buyers.</w:t>
      </w:r>
    </w:p>
    <w:p>
      <w:pPr>
        <w:pStyle w:val="Heading2"/>
      </w:pPr>
      <w:r>
        <w:t xml:space="preserve">6.3 Tax Changes Impact (2025-2026)</w:t>
      </w:r>
    </w:p>
    <w:p>
      <w:pPr>
        <w:spacing w:after="200"/>
      </w:pPr>
      <w:r>
        <w:t xml:space="preserve">The increase in Business Asset Disposal Relief (BADR) rate from 10% to 14% (April 2025) and further to 18% (April 2026) is driving earlier exit preparation. Companies targeting April 2026 completion should begin readiness improvement 18-24 months in advance—meaning Q2 2024 was the optimal start point for companies not yet at target readiness levels.</w:t>
      </w:r>
    </w:p>
    <w:p>
      <w:pPr>
        <w:pStyle w:val="Heading2"/>
      </w:pPr>
      <w:r>
        <w:t xml:space="preserve">6.4 National Security Considerations</w:t>
      </w:r>
    </w:p>
    <w:p>
      <w:pPr>
        <w:spacing w:after="200"/>
      </w:pPr>
      <w:r>
        <w:t xml:space="preserve">The National Security and Investment Act 2021 (NSIA) applies to SMEs in 17 sensitive sectors including AI, data infrastructure, and defence. Companies in these sectors should add a minimum of Level +0.5 to their readiness requirements for the Legal &amp; Corporate and ESG &amp; Risk domains to account for mandatory notification and potential intervention.</w:t>
      </w:r>
    </w:p>
    <w:p>
      <w:pPr>
        <w:pStyle w:val="Heading1"/>
      </w:pPr>
      <w:r>
        <w:t xml:space="preserve">7. Conclusions and Recommendations</w:t>
      </w:r>
    </w:p>
    <w:p>
      <w:pPr>
        <w:pStyle w:val="Heading2"/>
      </w:pPr>
      <w:r>
        <w:t xml:space="preserve">7.1 Key Findings</w:t>
      </w:r>
    </w:p>
    <w:p>
      <w:pPr>
        <w:pStyle w:val="ListParagraph"/>
        <w:numPr>
          <w:ilvl w:val="0"/>
          <w:numId w:val="2"/>
        </w:numPr>
      </w:pPr>
      <w:r>
        <w:rPr>
          <w:b/>
          <w:bCs/>
        </w:rPr>
        <w:t xml:space="preserve">Industry matters significantly: </w:t>
      </w:r>
      <w:r>
        <w:t xml:space="preserve">Technology and Healthcare require minimum Level 2 even for pre-revenue companies, while Construction/Engineering and Retail/Hospitality can transact at Level 1 for smaller deals.</w:t>
      </w:r>
    </w:p>
    <w:p>
      <w:pPr>
        <w:pStyle w:val="ListParagraph"/>
        <w:numPr>
          <w:ilvl w:val="0"/>
          <w:numId w:val="2"/>
        </w:numPr>
      </w:pPr>
      <w:r>
        <w:rPr>
          <w:b/>
          <w:bCs/>
        </w:rPr>
        <w:t xml:space="preserve">Size drives expectations: </w:t>
      </w:r>
      <w:r>
        <w:t xml:space="preserve">The 89% multiple premium for larger deals correlates with proportionally higher readiness requirements.</w:t>
      </w:r>
    </w:p>
    <w:p>
      <w:pPr>
        <w:pStyle w:val="ListParagraph"/>
        <w:numPr>
          <w:ilvl w:val="0"/>
          <w:numId w:val="2"/>
        </w:numPr>
      </w:pPr>
      <w:r>
        <w:rPr>
          <w:b/>
          <w:bCs/>
        </w:rPr>
        <w:t xml:space="preserve">Buyer type adjusts requirements: </w:t>
      </w:r>
      <w:r>
        <w:t xml:space="preserve">PE buyers add approximately +0.5 to minimum levels versus trade buyers.</w:t>
      </w:r>
    </w:p>
    <w:p>
      <w:pPr>
        <w:pStyle w:val="ListParagraph"/>
        <w:numPr>
          <w:ilvl w:val="0"/>
          <w:numId w:val="2"/>
        </w:numPr>
      </w:pPr>
      <w:r>
        <w:rPr>
          <w:b/>
          <w:bCs/>
        </w:rPr>
        <w:t xml:space="preserve">Domain criticality varies: </w:t>
      </w:r>
      <w:r>
        <w:t xml:space="preserve">IP and Operational domains are critical for Tech; ESG &amp; Risk and People domains are critical for Healthcare; Commercial domain is critical for Professional Services.</w:t>
      </w:r>
    </w:p>
    <w:p>
      <w:pPr>
        <w:pStyle w:val="ListParagraph"/>
        <w:numPr>
          <w:ilvl w:val="0"/>
          <w:numId w:val="2"/>
        </w:numPr>
      </w:pPr>
      <w:r>
        <w:rPr>
          <w:b/>
          <w:bCs/>
        </w:rPr>
        <w:t xml:space="preserve">ESG is now table stakes: </w:t>
      </w:r>
      <w:r>
        <w:t xml:space="preserve">With 71% of PE buyers prioritising ESG, Level 2 minimum in the ESG &amp; Risk domain is effectively required for institutional buyers.</w:t>
      </w:r>
    </w:p>
    <w:p>
      <w:pPr>
        <w:pStyle w:val="Heading2"/>
      </w:pPr>
      <w:r>
        <w:t xml:space="preserve">7.2 Practical Recommendations</w:t>
      </w:r>
    </w:p>
    <w:p>
      <w:pPr>
        <w:spacing w:after="120"/>
      </w:pPr>
      <w:r>
        <w:rPr>
          <w:b/>
          <w:bCs/>
        </w:rPr>
        <w:t xml:space="preserve">For SME owners preparing for exit:</w:t>
      </w:r>
    </w:p>
    <w:p>
      <w:pPr>
        <w:pStyle w:val="ListParagraph"/>
        <w:numPr>
          <w:ilvl w:val="0"/>
          <w:numId w:val="2"/>
        </w:numPr>
      </w:pPr>
      <w:r>
        <w:t xml:space="preserve">Identify your likely buyer type(s) and adjust minimum targets accordingly</w:t>
      </w:r>
    </w:p>
    <w:p>
      <w:pPr>
        <w:pStyle w:val="ListParagraph"/>
        <w:numPr>
          <w:ilvl w:val="0"/>
          <w:numId w:val="2"/>
        </w:numPr>
      </w:pPr>
      <w:r>
        <w:t xml:space="preserve">Prioritise critical domains for your sector—don't spread effort evenly</w:t>
      </w:r>
    </w:p>
    <w:p>
      <w:pPr>
        <w:pStyle w:val="ListParagraph"/>
        <w:numPr>
          <w:ilvl w:val="0"/>
          <w:numId w:val="2"/>
        </w:numPr>
      </w:pPr>
      <w:r>
        <w:t xml:space="preserve">Address any domains at Level 0 immediately—these are potential deal-breakers</w:t>
      </w:r>
    </w:p>
    <w:p>
      <w:pPr>
        <w:pStyle w:val="ListParagraph"/>
        <w:numPr>
          <w:ilvl w:val="0"/>
          <w:numId w:val="2"/>
        </w:numPr>
      </w:pPr>
      <w:r>
        <w:t xml:space="preserve">Allow 12-18 months to move from Level 1 to Level 3 (typical improvement rate)</w:t>
      </w:r>
    </w:p>
    <w:p>
      <w:pPr>
        <w:pStyle w:val="ListParagraph"/>
        <w:numPr>
          <w:ilvl w:val="0"/>
          <w:numId w:val="2"/>
        </w:numPr>
      </w:pPr>
      <w:r>
        <w:t xml:space="preserve">Consider vendor DD investment for transactions &gt;£10m—it accelerates processes and builds buyer confidence</w:t>
      </w:r>
    </w:p>
    <w:p>
      <w:pPr>
        <w:pStyle w:val="Heading1"/>
      </w:pPr>
      <w:r>
        <w:t xml:space="preserve">8. Sources and References</w:t>
      </w:r>
    </w:p>
    <w:p>
      <w:pPr>
        <w:pStyle w:val="ListParagraph"/>
        <w:numPr>
          <w:ilvl w:val="0"/>
          <w:numId w:val="2"/>
        </w:numPr>
      </w:pPr>
      <w:r>
        <w:t xml:space="preserve">Dealsuite M&amp;A Monitor UK&amp;I (H1 2024, H2 2024, H1 2025)</w:t>
      </w:r>
    </w:p>
    <w:p>
      <w:pPr>
        <w:pStyle w:val="ListParagraph"/>
        <w:numPr>
          <w:ilvl w:val="0"/>
          <w:numId w:val="2"/>
        </w:numPr>
      </w:pPr>
      <w:r>
        <w:t xml:space="preserve">ICAEW Financial Due Diligence Guideline (2024)</w:t>
      </w:r>
    </w:p>
    <w:p>
      <w:pPr>
        <w:pStyle w:val="ListParagraph"/>
        <w:numPr>
          <w:ilvl w:val="0"/>
          <w:numId w:val="2"/>
        </w:numPr>
      </w:pPr>
      <w:r>
        <w:t xml:space="preserve">ICAEW Commercial Due Diligence Guideline (2025)</w:t>
      </w:r>
    </w:p>
    <w:p>
      <w:pPr>
        <w:pStyle w:val="ListParagraph"/>
        <w:numPr>
          <w:ilvl w:val="0"/>
          <w:numId w:val="2"/>
        </w:numPr>
      </w:pPr>
      <w:r>
        <w:t xml:space="preserve">EY Private Equity Exit Readiness Study (2025)</w:t>
      </w:r>
    </w:p>
    <w:p>
      <w:pPr>
        <w:pStyle w:val="ListParagraph"/>
        <w:numPr>
          <w:ilvl w:val="0"/>
          <w:numId w:val="2"/>
        </w:numPr>
      </w:pPr>
      <w:r>
        <w:t xml:space="preserve">KPMG ESG Due Diligence Study (2024)</w:t>
      </w:r>
    </w:p>
    <w:p>
      <w:pPr>
        <w:pStyle w:val="ListParagraph"/>
        <w:numPr>
          <w:ilvl w:val="0"/>
          <w:numId w:val="2"/>
        </w:numPr>
      </w:pPr>
      <w:r>
        <w:t xml:space="preserve">Baker McKenzie UK Private M&amp;A Guide</w:t>
      </w:r>
    </w:p>
    <w:p>
      <w:pPr>
        <w:pStyle w:val="ListParagraph"/>
        <w:numPr>
          <w:ilvl w:val="0"/>
          <w:numId w:val="2"/>
        </w:numPr>
      </w:pPr>
      <w:r>
        <w:t xml:space="preserve">IFLR M&amp;A Guide UK (2025)</w:t>
      </w:r>
    </w:p>
    <w:p>
      <w:pPr>
        <w:pStyle w:val="ListParagraph"/>
        <w:numPr>
          <w:ilvl w:val="0"/>
          <w:numId w:val="2"/>
        </w:numPr>
      </w:pPr>
      <w:r>
        <w:t xml:space="preserve">Chambers and Partners Technology M&amp;A Guide (2025)</w:t>
      </w:r>
    </w:p>
    <w:p>
      <w:pPr>
        <w:pStyle w:val="ListParagraph"/>
        <w:numPr>
          <w:ilvl w:val="0"/>
          <w:numId w:val="2"/>
        </w:numPr>
      </w:pPr>
      <w:r>
        <w:t xml:space="preserve">Wedlake Bell UK Private M&amp;A Trends (2025)</w:t>
      </w:r>
    </w:p>
    <w:p>
      <w:pPr>
        <w:pStyle w:val="ListParagraph"/>
        <w:numPr>
          <w:ilvl w:val="0"/>
          <w:numId w:val="2"/>
        </w:numPr>
      </w:pPr>
      <w:r>
        <w:t xml:space="preserve">First Page Sage EBITDA Multiples Report (2025)</w:t>
      </w:r>
    </w:p>
    <w:p>
      <w:pPr>
        <w:pStyle w:val="ListParagraph"/>
        <w:numPr>
          <w:ilvl w:val="0"/>
          <w:numId w:val="2"/>
        </w:numPr>
      </w:pPr>
      <w:r>
        <w:t xml:space="preserve">GS Verde Group UK M&amp;A Deal Multiples Analysis (2025)</w:t>
      </w:r>
    </w:p>
    <w:p>
      <w:pPr>
        <w:pStyle w:val="ListParagraph"/>
        <w:numPr>
          <w:ilvl w:val="0"/>
          <w:numId w:val="2"/>
        </w:numPr>
      </w:pPr>
      <w:r>
        <w:t xml:space="preserve">CLFI EBITDA Multiples by Industry UK (2025)</w:t>
      </w:r>
    </w:p>
    <w:p>
      <w:pPr>
        <w:pStyle w:val="ListParagraph"/>
        <w:numPr>
          <w:ilvl w:val="0"/>
          <w:numId w:val="2"/>
        </w:numPr>
      </w:pPr>
      <w:r>
        <w:t xml:space="preserve">McKinsey Engineering &amp; Construction M&amp;A Outlook (2025)</w:t>
      </w:r>
    </w:p>
    <w:p>
      <w:pPr>
        <w:pStyle w:val="ListParagraph"/>
        <w:numPr>
          <w:ilvl w:val="0"/>
          <w:numId w:val="2"/>
        </w:numPr>
      </w:pPr>
      <w:r>
        <w:t xml:space="preserve">RSM M&amp;A Trends Engineering and Manufacturing (2024)</w:t>
      </w:r>
    </w:p>
    <w:p>
      <w:pPr>
        <w:pStyle w:val="ListParagraph"/>
        <w:numPr>
          <w:ilvl w:val="0"/>
          <w:numId w:val="2"/>
        </w:numPr>
      </w:pPr>
      <w:r>
        <w:t xml:space="preserve">BDO Private Company Price Index (PCPI) (2024)</w:t>
      </w:r>
    </w:p>
    <w:p>
      <w:pPr>
        <w:spacing w:before="480"/>
        <w:jc w:val="center"/>
      </w:pPr>
      <w:r>
        <w:rPr>
          <w:i/>
          <w:iCs/>
          <w:color w:val="666666"/>
        </w:rPr>
        <w:t xml:space="preserve">— End of Report —</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SME Exit Readiness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237E"/>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A237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03F9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F51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2026-01-03T23:58:56.962Z</dcterms:created>
  <dcterms:modified xsi:type="dcterms:W3CDTF">2026-01-03T23:58:56.963Z</dcterms:modified>
</cp:coreProperties>
</file>

<file path=docProps/custom.xml><?xml version="1.0" encoding="utf-8"?>
<Properties xmlns="http://schemas.openxmlformats.org/officeDocument/2006/custom-properties" xmlns:vt="http://schemas.openxmlformats.org/officeDocument/2006/docPropsVTypes"/>
</file>