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Supplementary Analysis</w:t>
      </w:r>
    </w:p>
    <w:p>
      <w:pPr>
        <w:spacing w:before="120" w:after="360"/>
        <w:jc w:val="center"/>
      </w:pPr>
      <w:r>
        <w:rPr>
          <w:color w:val="303F9F"/>
          <w:sz w:val="28"/>
          <w:szCs w:val="28"/>
        </w:rPr>
        <w:t xml:space="preserve">Detailed Tables and Comparative Data</w:t>
      </w:r>
    </w:p>
    <w:p>
      <w:pPr>
        <w:pStyle w:val="Heading1"/>
      </w:pPr>
      <w:r>
        <w:t xml:space="preserve">A. Gap Between Minimum and Optimal Readiness Levels</w:t>
      </w:r>
    </w:p>
    <w:p>
      <w:pPr>
        <w:spacing w:after="200"/>
      </w:pPr>
      <w:r>
        <w:t xml:space="preserve">The minimum levels identified in the main report represent the baseline for a credible transaction. However, achieving optimal levels significantly improves outcomes including: faster transactions, reduced earn-out requirements, better warranty terms, and premium valuations. This section quantifies the gap.</w:t>
      </w:r>
    </w:p>
    <w:p>
      <w:pPr>
        <w:pStyle w:val="Heading2"/>
      </w:pPr>
      <w:r>
        <w:t xml:space="preserve">A.1 Pre-Revenue Companies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Optimal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 of Gap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Technology/SaaS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 disputes, code ownership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Healthcare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CQC transfer delays, staff concerns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Professional Services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person risk, client retention clauses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 condition queries, capex needs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Construction/Engineering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margin uncertainty, H&amp;S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Retail/Hospitality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Lease liability exposure, stock valuation</w:t>
            </w:r>
          </w:p>
        </w:tc>
      </w:tr>
    </w:tbl>
    <w:p>
      <w:pPr>
        <w:pStyle w:val="Heading2"/>
      </w:pPr>
      <w:r>
        <w:t xml:space="preserve">A.2 £5m Valuation Companies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Optimal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 of Gap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Technology/SaaS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Extended DD, earn-out 40-60%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Healthcare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Regulatory indemnities, staff warranties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Professional Services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concentration warranties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Environmental indemnities, capex holdback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Construction/Engineering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Contract-specific indemnities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Retail/Hospitality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Lease liability adjustments</w:t>
            </w:r>
          </w:p>
        </w:tc>
      </w:tr>
    </w:tbl>
    <w:p>
      <w:pPr>
        <w:pStyle w:val="Heading2"/>
      </w:pPr>
      <w:r>
        <w:t xml:space="preserve">A.3 £30m Valuation Companies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Optimal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 of Gap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Technology/SaaS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W&amp;I coverage limitations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Healthcare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Regulatory carve-outs in insurance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Professional Services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Management retention negotiations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Environmental survey requirements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Construction/Engineering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Project-by-project margin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Retail/Hospitality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Dilapidations provisions required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B. Critical Domain Thresholds by Industry</w:t>
      </w:r>
    </w:p>
    <w:p>
      <w:pPr>
        <w:spacing w:after="200"/>
      </w:pPr>
      <w:r>
        <w:t xml:space="preserve">Certain domains are 'critical' for specific industries—where falling below the minimum level is likely to be transaction-fatal or result in significant value destruction. This section identifies these critical thresholds.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3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 Domain(s)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 Level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Technology/SaaS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Legal &amp; Corporate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 chain of title essential; code ownership disputes can invalidate entire deal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Technology/SaaS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documentation required for integration planning; tech debt quantification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Healthcare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ESG &amp;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CQC rating non-negotiable; 'Requires Improvement' typically transaction-fatal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Healthcare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People &amp; Organisation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Staff registrations, DBS compliance, fit &amp; proper persons declarations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Professional Services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concentration &gt;30% creates unacceptable key client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Professional Services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People &amp; Organisation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person risk; fee earner retention critical to revenue sustainability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Equipment condition and capex requirements directly impact valuation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ESG &amp;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Environmental liability can exceed transaction value; contamination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Construction/Eng.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recognition on long-term contracts; WIP valuation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Construction/Eng.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ESG &amp;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H&amp;S record non-negotiable; CDM compliance essential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Retail/Hospitality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Legal &amp; Corporate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Lease portfolio analysis essential; break clauses and dilapidations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Retail/Hospitality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Seasonality analysis required; occupancy cost ratio critical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C. Comparison: VC Due Diligence vs Exit Readiness</w:t>
      </w:r>
    </w:p>
    <w:p>
      <w:pPr>
        <w:spacing w:after="200"/>
      </w:pPr>
      <w:r>
        <w:t xml:space="preserve">Analysis of the VC Due Diligence Checklist reveals that having compliance documentation alone (typical VC checklist items) achieves only Level 2-3 readiness. The gap exists in forward-looking, buyer-focused preparation elements.</w:t>
      </w:r>
    </w:p>
    <w:p>
      <w:pPr>
        <w:pStyle w:val="Heading2"/>
      </w:pPr>
      <w:r>
        <w:t xml:space="preserve">C.1 VC Checklist Coverage vs Exit Readiness Levels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7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VC Checklist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 Achieved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 to Level 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Missing Elements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Corporate Structure &amp; 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0-1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Disclosure letter drafting, consent matrix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Share Capital &amp; Shareholders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Generally complete for exit purposes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Accounts &amp; Financials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Normalised EBITDA, QoE analysis, locked-box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Finance &amp; Banking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Working capital analysis, debt mechanics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Contracts &amp; Trading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 of control clause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Assets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Valuation for locked-box, clean title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Intellectual Property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0-1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Freedom to operate opinion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Insurance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W&amp;I insurance readiness pack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Compliance &amp; Consents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Regulatory notification requirements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Litigation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0-1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Warranty exposure quantification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Employment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Retention packages, TUPE readiness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Pensions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Independent valuation (if DB scheme)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Landlord consent strategy, dilapidations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1-2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 assessment, contamination survey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Health &amp; Safety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trail, incident trend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 clearances, transfer pricing docs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Key Finding: </w:t>
      </w:r>
      <w:r>
        <w:t xml:space="preserve">A company with complete VC due diligence documentation achieves approximately Level 2-2.5 average readiness. The additional 0.5-1.5 levels required for optimal exit readiness come from transaction-specific preparation: normalised EBITDA, buyer-focused analytics, consent matrices, and vendor DD reports.</w:t>
      </w:r>
    </w:p>
    <w:p>
      <w:r>
        <w:br w:type="page"/>
      </w:r>
    </w:p>
    <w:p>
      <w:pPr>
        <w:pStyle w:val="Heading1"/>
      </w:pPr>
      <w:r>
        <w:t xml:space="preserve">D. Typical Time Required to Achieve Target Readiness</w:t>
      </w:r>
    </w:p>
    <w:p>
      <w:pPr>
        <w:spacing w:after="200"/>
      </w:pPr>
      <w:r>
        <w:t xml:space="preserve">The time required to improve readiness depends on starting position, available resources, and target level. This analysis provides guidance for exit planning timelines.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Starting 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Typical Timeline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Dependencies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Level 0 (Incomplete)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 (Managed)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18-24 months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Systems implementation, documentation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Level 1 (Initial)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2 (Managed)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9-15 months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 documentation, gap remediation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Level 1 (Initial)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3 (Defined)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15-24 months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preparation, analytics 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Level 2 (Managed)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3 (Defined)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6-12 months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Normalisation, self-assessment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Level 2 (Managed)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4 (Optimised)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12-18 months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Vendor DD, third-party 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Level 3 (Defined)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Level 4 (Optimised)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3-6 months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Vendor DD engagement, final polish</w:t>
            </w:r>
          </w:p>
        </w:tc>
      </w:tr>
    </w:tbl>
    <w:p>
      <w:pPr>
        <w:pStyle w:val="Heading2"/>
      </w:pPr>
      <w:r>
        <w:t xml:space="preserve">D.1 Cost Considerations</w:t>
      </w:r>
    </w:p>
    <w:p>
      <w:pPr>
        <w:spacing w:after="120"/>
      </w:pPr>
      <w:r>
        <w:t xml:space="preserve">Readiness improvement involves both internal effort and external advisory costs. The table below provides indicative ranges for professional support.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Typical Cost 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 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Exit planning advisory (M&amp;A advisor)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£10,000-£30,000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Starting Level 0-1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Vendor Financial Due Diligence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£30,000-£80,000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£5m+ valuation, PE buyers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Vendor Commercial Due Diligence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£25,000-£60,000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£10m+ valuation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Legal DD preparation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£15,000-£50,000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Complex structures, IP-heavy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IT/Technology DD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£15,000-£40,000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Technology companies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ESG assessment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£10,000-£30,000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 buyers, manufacturing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Environmental 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£3,000-£10,000 per 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Manufacturing, property-heavy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E. Domain Priority Matrix by Industry</w:t>
      </w:r>
    </w:p>
    <w:p>
      <w:pPr>
        <w:spacing w:after="200"/>
      </w:pPr>
      <w:r>
        <w:t xml:space="preserve">Not all domains carry equal weight for each industry. This matrix helps prioritise improvement efforts by indicating relative importance (1 = highest priority, 6 = lowest priority).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 Svcs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Manuf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Financial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Legal &amp; Corporate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People &amp; Organisation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ESG &amp;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</w:tbl>
    <w:p>
      <w:pPr>
        <w:spacing w:before="120" w:after="200"/>
      </w:pPr>
      <w:r>
        <w:rPr>
          <w:i/>
          <w:iCs/>
          <w:sz w:val="18"/>
          <w:szCs w:val="18"/>
        </w:rPr>
        <w:t xml:space="preserve">Note: Green highlighting indicates the highest priority domain(s) for each industry. Priority 1 = Critical, address first; Priority 6 = Important but can be addressed later.</w:t>
      </w:r>
    </w:p>
    <w:p>
      <w:pPr>
        <w:pStyle w:val="Heading1"/>
      </w:pPr>
      <w:r>
        <w:t xml:space="preserve">F. Summary: Quick Reference Guide</w:t>
      </w:r>
    </w:p>
    <w:p>
      <w:pPr>
        <w:spacing w:after="120"/>
      </w:pPr>
      <w:r>
        <w:rPr>
          <w:b/>
          <w:bCs/>
        </w:rPr>
        <w:t xml:space="preserve">Use this quick reference when assessing exit readiness requirements: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Identify your industry sector </w:t>
      </w:r>
      <w:r>
        <w:t xml:space="preserve">and company stage (pre-revenue, £5m, £30m valuation tier)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Determine likely buyer type </w:t>
      </w:r>
      <w:r>
        <w:t xml:space="preserve">and apply adjustment: Trade (-0.5), PE (+0.5), Listed (+0.5)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Identify critical domains </w:t>
      </w:r>
      <w:r>
        <w:t xml:space="preserve">for your industry (see Section B and 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Self-assess current levels </w:t>
      </w:r>
      <w:r>
        <w:t xml:space="preserve">using the SME Sale Readiness Self-Assessment Matrix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Calculate the gap </w:t>
      </w:r>
      <w:r>
        <w:t xml:space="preserve">between current and required minimum levels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Estimate timeline </w:t>
      </w:r>
      <w:r>
        <w:t xml:space="preserve">using Section D guidance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Prioritise improvement efforts </w:t>
      </w:r>
      <w:r>
        <w:t xml:space="preserve">on critical domains first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Consider vendor DD </w:t>
      </w:r>
      <w:r>
        <w:t xml:space="preserve">for transactions &gt;£10m or PE buyers</w:t>
      </w:r>
    </w:p>
    <w:p>
      <w:pPr>
        <w:spacing w:before="360"/>
        <w:jc w:val="center"/>
      </w:pPr>
      <w:r>
        <w:rPr>
          <w:i/>
          <w:iCs/>
          <w:color w:val="666666"/>
        </w:rPr>
        <w:t xml:space="preserve">— End of Supplementary Analysis —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Exit Readiness Analysis - Supplementary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237E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303F9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F51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2026-01-04T09:10:45.677Z</dcterms:created>
  <dcterms:modified xsi:type="dcterms:W3CDTF">2026-01-04T09:10:45.678Z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