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Evidence Appendix</w:t>
      </w:r>
    </w:p>
    <w:p>
      <w:pPr>
        <w:pStyle w:val="Subtitle"/>
      </w:pPr>
      <w:r>
        <w:t xml:space="preserve">UK SME Sale Readiness Assessment Framework</w:t>
      </w:r>
    </w:p>
    <w:p>
      <w:pPr>
        <w:spacing w:after="120"/>
        <w:jc w:val="center"/>
      </w:pPr>
      <w:r>
        <w:rPr>
          <w:sz w:val="24"/>
          <w:szCs w:val="24"/>
        </w:rPr>
        <w:t xml:space="preserve">Specific Documents and Data Required at Each Maturity Level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Version 1.0 — December 2025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This appendix provides detailed evidence requirements for each maturity level (0-4) across the six assessment domains. Use this document alongside the main Self-Assessment Matrix to:</w:t>
      </w:r>
    </w:p>
    <w:p>
      <w:pPr>
        <w:pStyle w:val="ListParagraph"/>
        <w:numPr>
          <w:ilvl w:val="0"/>
          <w:numId w:val="2"/>
        </w:numPr>
      </w:pPr>
      <w:r>
        <w:t xml:space="preserve">Identify specific documents needed to evidence your current level</w:t>
      </w:r>
    </w:p>
    <w:p>
      <w:pPr>
        <w:pStyle w:val="ListParagraph"/>
        <w:numPr>
          <w:ilvl w:val="0"/>
          <w:numId w:val="2"/>
        </w:numPr>
      </w:pPr>
      <w:r>
        <w:t xml:space="preserve">Plan document gathering for your target readiness level</w:t>
      </w:r>
    </w:p>
    <w:p>
      <w:pPr>
        <w:pStyle w:val="ListParagraph"/>
        <w:numPr>
          <w:ilvl w:val="0"/>
          <w:numId w:val="2"/>
        </w:numPr>
      </w:pPr>
      <w:r>
        <w:t xml:space="preserve">Prepare dataroom contents for buyer due diligence</w:t>
      </w:r>
    </w:p>
    <w:p>
      <w:pPr>
        <w:pStyle w:val="ListParagraph"/>
        <w:numPr>
          <w:ilvl w:val="0"/>
          <w:numId w:val="2"/>
        </w:numPr>
      </w:pPr>
      <w:r>
        <w:t xml:space="preserve">Understand buyer expectations at different transaction sizes</w:t>
      </w:r>
    </w:p>
    <w:p>
      <w:pPr>
        <w:spacing w:before="200" w:after="200"/>
      </w:pPr>
      <w:r>
        <w:rPr>
          <w:b/>
          <w:bCs/>
        </w:rPr>
        <w:t xml:space="preserve">Key Principle: </w:t>
      </w:r>
      <w:r>
        <w:t xml:space="preserve">Evidence requirements are cumulative—higher levels assume all lower-level documentation is in place. A company claiming Level 3 should have all Level 0-2 evidence plus Level 3 specific items.</w:t>
      </w:r>
    </w:p>
    <w:p>
      <w:pPr>
        <w:pStyle w:val="Heading2"/>
      </w:pPr>
      <w:r>
        <w:t xml:space="preserve">Maturity Level Colour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Initial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Managed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Defined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Optimised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Financial Domain</w:t>
      </w:r>
    </w:p>
    <w:p>
      <w:pPr>
        <w:spacing w:after="200"/>
      </w:pPr>
      <w:r>
        <w:rPr>
          <w:b/>
          <w:bCs/>
        </w:rPr>
        <w:t xml:space="preserve">Scope: </w:t>
      </w:r>
      <w:r>
        <w:t xml:space="preserve">Quality, accuracy, and completeness of financial information, records, and reporting systems. This domain covers Financial Due Diligence (FDD), Tax DD, working capital, and financial forecasting.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Evidence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0 –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hoc or unknown. Financial records missing, incomplete, or for tax compliance only.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No evidence available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Bank statements (if any)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Basic receipts/invoices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1 – Initial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statutory accounts filed. Basic bookkeeping. EBITDA cannot be reliably calculated.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Statutory accounts (Companies House)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Basic bookkeeping records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Corporation tax returns (CT600)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VAT registration certificate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Bank account statements (12 months)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Payroll records (RTI submissions)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2 –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management accounts produced. P&amp;L and balance sheet recognisable. Reconciliations incomplete.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Management accounts (12 months minimum)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Trial balance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Aged debtors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Aged creditors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Bank reconciliations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Revenue by customer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Working capital schedule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Fixed asset register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Budget/forecast (current year)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Tax computations and filings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Accounting policies document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3 – Defined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Audited/reviewed accounts (3+ years). Monthly MI. Normalised EBITDA understood. WC patterns documented.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Audited accounts (3 years) OR accounts reviewed by Top 20 firm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Monthly management accounts pack (36 months)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EBITDA bridge/normalisation schedule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Quality of earnings analysis (internal)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Working capital analysis (seasonality, trends)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Cash flow forecasts (12-24 months)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Revenue recognition policy (documented)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Detailed tax schedules (CT, VAT, PAYE)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Deferred tax provisions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Related party transactions register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Inter-company balances/loans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Bad debts and provisions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Capex schedule (historic and planned)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Banking summary and covenants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Finance procedures 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4 – Optimised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FDD prepared. Board-approved model with scenarios. Tax clearances obtained. Locked-box ready.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Vendor Financial Due Diligence report (Big 4/Top 20)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Board-approved financial model with sensitivities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Locked-box mechanics and leakage schedule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Net working capital target calculation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Net debt/cash-free debt-free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Tax clearances (HMRC)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Transfer pricing documentation (if applicable)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Contingent liability schedule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Pro forma adjustments schedule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KPI benchmarking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Audit management letters (3 years)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Accounting system documentation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Legal &amp; Corporate Domain</w:t>
      </w:r>
    </w:p>
    <w:p>
      <w:pPr>
        <w:spacing w:after="200"/>
      </w:pPr>
      <w:r>
        <w:rPr>
          <w:b/>
          <w:bCs/>
        </w:rPr>
        <w:t xml:space="preserve">Scope: </w:t>
      </w:r>
      <w:r>
        <w:t xml:space="preserve">Governance structures, statutory compliance, contracts, IP ownership, and corporate housekeeping. This domain covers Legal DD, Corporate DD, IP, and Material Contracts.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Evidence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0 –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Statutory registers missing/outdated. Share ownership unclear. Key contracts verbal or unsigned.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No evidence available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Companies House public record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1 – Initial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Companies House filings current. Basic Articles exist. Minute book incomplete. No contract register.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Certificate of Incorporation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Articles of Association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Companies House confirmation statement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List of directors and officers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PSC register (basic)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Register of members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Basic employment contracts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Key customer contracts (unsigned/partial)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2 –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register exists. IP ownership documented. Change-of-control clauses not identified.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Full statutory registers (members, directors, PSC, charges)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Share certificates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Shareholders' agreement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Board minutes (recent 12 months)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Written resolutions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Contract register (customers, suppliers)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Standard terms and conditions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IP register (trademarks, patents, domains)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Property leases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Insurance policies schedule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Litigation/disputes summary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Data protection registration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NDA templates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3 – Defined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statutory books maintained. All board minutes complete. Material contracts catalogued with CoC clauses. IP chain verified.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Complete minute book (all board meetings)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All shareholder resolutions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Corporate structure chart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Cap table with full history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Share option schemes (EMI documentation)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HMRC EMI clearance letters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All material contracts indexed with summaries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Change-of-control clause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contract renewal schedule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Supplier contract terms summary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IP assignments (employees, contractors)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IP freedom-to-operate opinion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Trademark registrations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Domain ownership records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Property lease break clause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Dilapidations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All insurance certificates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Claims history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Litigation register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Regulatory licences and permits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GDPR compliance documentation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DPIAs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4 – Optimised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secretarial audit complete. Legal DD pack prepared. IP FTO confirmed. Disclosure letter drafted.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Company secretarial audit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Vendor Legal Due Diligence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Clean title confirmation (all assets)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IP audit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IP valuation (if material)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Draft disclosure letter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Warranty schedule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Consent requirement matrix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Change-of-control notification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Landlord consent strategy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consent requirements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Regulatory notification requirements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Stock transfer forms (ready)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Board governance documentation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Powers of attorney register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Signing authorities matrix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Commercial Domain</w:t>
      </w:r>
    </w:p>
    <w:p>
      <w:pPr>
        <w:spacing w:after="200"/>
      </w:pPr>
      <w:r>
        <w:rPr>
          <w:b/>
          <w:bCs/>
        </w:rPr>
        <w:t xml:space="preserve">Scope: </w:t>
      </w:r>
      <w:r>
        <w:t xml:space="preserve">Revenue quality, customer relationships, market position, pipeline visibility, and growth prospects. This domain covers Commercial Due Diligence (CDD), market analysis, and customer analytics.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Evidence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0 –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not tracked by customer/product. No CRM. Top 5 customers cannot be identified.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No evidence available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Basic sales invoices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1 – Initial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by customer known. Basic sales tracking exists. Concentration and churn not measured.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Customer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Revenue by customer (current year)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Basic sales pipeline/prospect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Competitor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Price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Marketing materials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Customer testimonials (1-2)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2 –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by customer cohort analysed. Some recurring revenue identified. LTV, CAC, conversion not calculated.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CRM export/database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Revenue by customer (3 years)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concentration analysis (&lt;30%)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attrition/retention rates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Revenue by product/service line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Recurring vs non-recurring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Sales pipeline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Conversion funnel metrics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Market size estimate (TAM)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Competitor positioning map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Pricing history and margins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Key account plans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contract terms summary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Supplier concentration analysis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Marketing/growth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3 – Defined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Concentration &lt;30%. Cohort retention data. Contracted revenue &gt;40%. KPIs benchmarked.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Full customer stratification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Cohort retention analysis (by vintage)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lifetime value calculation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acquisition cost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LTV:CAC ratio (&gt;3:1 target)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Net revenue retention calculation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Churn analysis (logo and revenue)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ARR/MRR waterfall (if SaaS)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Sales cycle metrics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Win/loss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Competitive positioning study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TAM/SAM/SOM quantification with sources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Market share estimate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Pricing power evidence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satisfaction scores (NPS)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Reference customer programme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Growth strategy document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Sales team structure and targets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4 – Optimised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Commercial DD pack prepared. Full analytics. Market study complete. Competitive moat demonstrated.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Vendor Commercial Due Diligence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Third-party market research/report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interview summaries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Referenceable customer list (5+)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Competitive differentiation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Value creation roadmap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Synergy opportunity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dependency risk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Contract renewal probability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Pipeline weighted forecast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Pricing optimisation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Market entry barrier analysis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Brand equity assessment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Operational Domain</w:t>
      </w:r>
    </w:p>
    <w:p>
      <w:pPr>
        <w:spacing w:after="200"/>
      </w:pPr>
      <w:r>
        <w:rPr>
          <w:b/>
          <w:bCs/>
        </w:rPr>
        <w:t xml:space="preserve">Scope: </w:t>
      </w:r>
      <w:r>
        <w:t xml:space="preserve">Business processes, systems, supply chain, technology infrastructure, and operational resilience. This domain covers Operational DD, IT DD, and Technology assessment.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Evidence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0 –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Operations depend on founder knowledge. No documented processes. Critical systems have no backup.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No evidence available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Ad hoc process notes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1 – Initial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processes exist (undocumented). Basic IT systems. Primary suppliers identified but not assessed.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Key supplier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IT system inventory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Office/premises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Basic org chart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Core process descriptions (informal)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Website and e-commerce overview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2 –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 processes documented in SOPs. IT has basic DR. Supplier register exists. Capacity constraints not mapped.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Standard operating procedures (SOPs)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IT asset register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Software licence inventory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IT infrastructure diagram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Disaster recovery plan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Backup procedures and testing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Cybersecurity policies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GDPR technical measures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Supplier register with contract terms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Supplier concentration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Inventory management system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Quality management procedures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H&amp;S policies and records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Customer support processes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Service level agreements (SLAs)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3 – Defined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Operations run independently of founders. IT resilient with tested backups. Supply chain risks identified. Capacity understood.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Full operations manual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Process maps/flowcharts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ISO certifications (9001, 27001 etc.)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IT architecture documentation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Technology roadmap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System integration map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Business continuity plan (tested)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Cyber Essentials+ certification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Penetration test results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Vulnerability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IT service management (ITSM) documentation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Change management log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Incident management records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Uptime/availability metrics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Capacity utilisation metrics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Supply chain risk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Alternative supplier strategy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Unit economics by scale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Operational KPI dashboard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Customer support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4 – Optimised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Operational DD pack prepared. Cybersecurity assessed. Scalability demonstrated. TSA/carve-out ready.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Vendor Operational Due Diligence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IT Due Diligence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Independent cybersecurity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Scalability demonstration/model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Carve-out requirements (if applicable)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Transitional Services Agreement (TSA) draft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Integration planning inputs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Data migration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System dependencies map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Technical debt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Code quality assessment (if tech company)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Third-party IT contracts summary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People &amp; Organisation Domain</w:t>
      </w:r>
    </w:p>
    <w:p>
      <w:pPr>
        <w:spacing w:after="200"/>
      </w:pPr>
      <w:r>
        <w:rPr>
          <w:b/>
          <w:bCs/>
        </w:rPr>
        <w:t xml:space="preserve">Scope: </w:t>
      </w:r>
      <w:r>
        <w:t xml:space="preserve">Management depth, key person risk, employment compliance, culture, and succession readiness. This domain covers HR DD, Management DD, and Pensions.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Evidence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0 –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Founder essential to daily operations. No management team. Employment contracts missing/non-compliant.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No evidence available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Basic employee list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1 – Initial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Employment contracts exist for most staff. Key roles identified. Founder sole decision-maker. No succession plan.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Employee list with roles and start dates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Employment contracts (most staff)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Key personnel identified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Basic org chart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Pension scheme details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Auto-enrolment compliance evidence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Directors' service contracts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2 –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Functional org chart. At least one capable deputy. Employment mostly compliant. Key person risks documented but not mitigated.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Organisation chart (current)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Employee list (anonymised: roles, tenure, grades)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Standard employment contracts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Employee handbook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Key person dependency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Salary benchmarking data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Bonus/commission schemes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Benefits summary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Pension scheme documentation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TUPE assessment (if applicable)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Contractor/consultant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Turnover statistics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Absence records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Training records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3 – Defined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Second-tier management empowered. Key person risk reduced via cross-training. Compliance verified. Retention incentives considered.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Management team CVs/bios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Management team responsibilities matrix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Succession planning document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Key person mitigation plans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Cross-training documentation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Retention strategy document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EMI/share option scheme details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Compensation benchmarking analysis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Total reward statements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Performance management process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Employee engagement survey results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Grievance/disciplinary records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Tribunal history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Settlement agreements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IR35 compliance (contractors)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DBS compliance (if applicable)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Professional registration compliance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4 – Optimised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Management team transaction-ready with retention packages. Full HR DD pack. Business operates through deal process without founder.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Management Due Diligence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Retention package proposals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Management incentive plan (MIP) design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Rollover terms (for PE deals)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Independent pension valuation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Pension trustee engagement (if DB scheme)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HR compliance audit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TUPE analysis and employee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Redundancy cost modelling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Change management plan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Cultural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Day 1 readiness checklist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Leadership transition plan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Founder handover plan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ESG &amp; Risk Domain</w:t>
      </w:r>
    </w:p>
    <w:p>
      <w:pPr>
        <w:spacing w:after="200"/>
      </w:pPr>
      <w:r>
        <w:rPr>
          <w:b/>
          <w:bCs/>
        </w:rPr>
        <w:t xml:space="preserve">Scope: </w:t>
      </w:r>
      <w:r>
        <w:t xml:space="preserve">Environmental impact, social responsibility, governance quality, regulatory compliance, and risk management. This domain covers ESG DD, Environmental, and Compliance.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Evidence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0 –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ESG awareness. Compliance status unknown. No risk register. No data protection policy or incident response.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• No evidence available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1 – Initial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Basic regulatory compliance (H&amp;S, GDPR basics). No formal risk register. Environmental impact not assessed.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Health &amp; safety policy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H&amp;S risk assessments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Fire risk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GDPR registration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Privacy policy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Insurance policies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Basic regulatory compliance checklist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2 –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register maintained. Sector-specific regulations documented. Basic ESG policies exist but not actively monitored.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Risk register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Sector regulatory requirements list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Licence/permit register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Anti-bribery policy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Modern slavery statement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Whistleblowing policy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Data protection policies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Subject access request process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Data breach notification process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Environmental awareness statement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Waste management policy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Insurance claims history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Compliance framework mapping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3 – Defined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Material ESG risks identified and mitigated. Cyber controls documented and tested. Compliance audited. Insurance adequate.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ESG strategy document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Carbon footprint measurement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Scope 1 &amp; 2 emissions data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Environmental permits/licences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Environmental risk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Supply chain due diligence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Supplier code of conduct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D&amp;I policy and metrics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Board diversity statistics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Corporate governance statement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Board composition and independence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Audit committee documentation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Conflicts of interest policy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Enterprise risk framework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Risk appetite statement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Scenario planning documentation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Regulatory change tracking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Compliance audit reports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ISO 27001 certification (if applicable)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Cyber insurance policy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4 – Optimised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ESG DD pack prepared. Environmental surveys complete. Third-party assessment. Net zero pathway defined. Double materiality complete.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BDE2" w:val="clear"/>
          </w:tcPr>
          <w:p>
            <w:pPr>
              <w:spacing w:before="60" w:after="30"/>
            </w:pPr>
            <w:r>
              <w:rPr>
                <w:sz w:val="20"/>
                <w:szCs w:val="20"/>
              </w:rPr>
              <w:t xml:space="preserve">• Vendor ESG Due Diligence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Phase 1 environmental site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Asbestos surveys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Contamination assessments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Environmental liability quantification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Remediation cost estimates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Scope 1, 2, and 3 emissions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Net zero pathway/roadmap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Science-based targets (if set)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Double materiality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Third-party ESG rating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Sustainability report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Social impact assessment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Community engagement records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W&amp;I insurance readiness pack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• Regulatory notifications matrix</w:t>
            </w:r>
          </w:p>
          <w:p>
            <w:pPr>
              <w:spacing w:before="30" w:after="60"/>
            </w:pPr>
            <w:r>
              <w:rPr>
                <w:sz w:val="20"/>
                <w:szCs w:val="20"/>
              </w:rPr>
              <w:t xml:space="preserve">• Change-of-control compliance checklist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Supplementary: Early-Stage &amp; VC Requirements</w:t>
      </w:r>
    </w:p>
    <w:p>
      <w:pPr>
        <w:spacing w:after="200"/>
      </w:pPr>
      <w:r>
        <w:t xml:space="preserve">Pre-revenue and early-stage companies have different evidence requirements focused on IP, team, and potential rather than trading history. This section supplements the main framework for companies seeking VC or angel investment.</w:t>
      </w:r>
    </w:p>
    <w:p>
      <w:pPr>
        <w:pStyle w:val="Heading2"/>
      </w:pPr>
      <w:r>
        <w:t xml:space="preserve">Corporate &amp; Cap Table (Priority)</w:t>
      </w:r>
    </w:p>
    <w:p>
      <w:pPr>
        <w:pStyle w:val="ListParagraph"/>
        <w:numPr>
          <w:ilvl w:val="0"/>
          <w:numId w:val="2"/>
        </w:numPr>
      </w:pPr>
      <w:r>
        <w:t xml:space="preserve">Certificate of Incorporation and current Articles</w:t>
      </w:r>
    </w:p>
    <w:p>
      <w:pPr>
        <w:pStyle w:val="ListParagraph"/>
        <w:numPr>
          <w:ilvl w:val="0"/>
          <w:numId w:val="2"/>
        </w:numPr>
      </w:pPr>
      <w:r>
        <w:t xml:space="preserve">Cap table with all share classes, numbers, and holders</w:t>
      </w:r>
    </w:p>
    <w:p>
      <w:pPr>
        <w:pStyle w:val="ListParagraph"/>
        <w:numPr>
          <w:ilvl w:val="0"/>
          <w:numId w:val="2"/>
        </w:numPr>
      </w:pPr>
      <w:r>
        <w:t xml:space="preserve">Options, warrants, or convertible instruments outstanding</w:t>
      </w:r>
    </w:p>
    <w:p>
      <w:pPr>
        <w:pStyle w:val="ListParagraph"/>
        <w:numPr>
          <w:ilvl w:val="0"/>
          <w:numId w:val="2"/>
        </w:numPr>
      </w:pPr>
      <w:r>
        <w:t xml:space="preserve">Shareholder agreements and subscription agreements</w:t>
      </w:r>
    </w:p>
    <w:p>
      <w:pPr>
        <w:pStyle w:val="ListParagraph"/>
        <w:numPr>
          <w:ilvl w:val="0"/>
          <w:numId w:val="2"/>
        </w:numPr>
      </w:pPr>
      <w:r>
        <w:t xml:space="preserve">PSC register and ownership chart</w:t>
      </w:r>
    </w:p>
    <w:p>
      <w:pPr>
        <w:pStyle w:val="ListParagraph"/>
        <w:numPr>
          <w:ilvl w:val="0"/>
          <w:numId w:val="2"/>
        </w:numPr>
      </w:pPr>
      <w:r>
        <w:t xml:space="preserve">Director details and any powers of attorney</w:t>
      </w:r>
    </w:p>
    <w:p>
      <w:pPr>
        <w:pStyle w:val="Heading2"/>
      </w:pPr>
      <w:r>
        <w:t xml:space="preserve">Intellectual Property (Critical for Tech)</w:t>
      </w:r>
    </w:p>
    <w:p>
      <w:pPr>
        <w:pStyle w:val="ListParagraph"/>
        <w:numPr>
          <w:ilvl w:val="0"/>
          <w:numId w:val="2"/>
        </w:numPr>
      </w:pPr>
      <w:r>
        <w:t xml:space="preserve">IP owned, licensed, or used by the company</w:t>
      </w:r>
    </w:p>
    <w:p>
      <w:pPr>
        <w:pStyle w:val="ListParagraph"/>
        <w:numPr>
          <w:ilvl w:val="0"/>
          <w:numId w:val="2"/>
        </w:numPr>
      </w:pPr>
      <w:r>
        <w:t xml:space="preserve">IP assignment agreements from founders and contractors</w:t>
      </w:r>
    </w:p>
    <w:p>
      <w:pPr>
        <w:pStyle w:val="ListParagraph"/>
        <w:numPr>
          <w:ilvl w:val="0"/>
          <w:numId w:val="2"/>
        </w:numPr>
      </w:pPr>
      <w:r>
        <w:t xml:space="preserve">Patent applications and registrations</w:t>
      </w:r>
    </w:p>
    <w:p>
      <w:pPr>
        <w:pStyle w:val="ListParagraph"/>
        <w:numPr>
          <w:ilvl w:val="0"/>
          <w:numId w:val="2"/>
        </w:numPr>
      </w:pPr>
      <w:r>
        <w:t xml:space="preserve">Trademark registrations</w:t>
      </w:r>
    </w:p>
    <w:p>
      <w:pPr>
        <w:pStyle w:val="ListParagraph"/>
        <w:numPr>
          <w:ilvl w:val="0"/>
          <w:numId w:val="2"/>
        </w:numPr>
      </w:pPr>
      <w:r>
        <w:t xml:space="preserve">Open source software usage and compliance</w:t>
      </w:r>
    </w:p>
    <w:p>
      <w:pPr>
        <w:pStyle w:val="ListParagraph"/>
        <w:numPr>
          <w:ilvl w:val="0"/>
          <w:numId w:val="2"/>
        </w:numPr>
      </w:pPr>
      <w:r>
        <w:t xml:space="preserve">Any IP disputes or infringement claims</w:t>
      </w:r>
    </w:p>
    <w:p>
      <w:pPr>
        <w:pStyle w:val="Heading2"/>
      </w:pPr>
      <w:r>
        <w:t xml:space="preserve">Financial (Adapted for Pre-Revenue)</w:t>
      </w:r>
    </w:p>
    <w:p>
      <w:pPr>
        <w:pStyle w:val="ListParagraph"/>
        <w:numPr>
          <w:ilvl w:val="0"/>
          <w:numId w:val="2"/>
        </w:numPr>
      </w:pPr>
      <w:r>
        <w:t xml:space="preserve">Latest management accounts (even if basic)</w:t>
      </w:r>
    </w:p>
    <w:p>
      <w:pPr>
        <w:pStyle w:val="ListParagraph"/>
        <w:numPr>
          <w:ilvl w:val="0"/>
          <w:numId w:val="2"/>
        </w:numPr>
      </w:pPr>
      <w:r>
        <w:t xml:space="preserve">12-24 month cash flow forecast</w:t>
      </w:r>
    </w:p>
    <w:p>
      <w:pPr>
        <w:pStyle w:val="ListParagraph"/>
        <w:numPr>
          <w:ilvl w:val="0"/>
          <w:numId w:val="2"/>
        </w:numPr>
      </w:pPr>
      <w:r>
        <w:t xml:space="preserve">Burn rate analysis and runway calculation</w:t>
      </w:r>
    </w:p>
    <w:p>
      <w:pPr>
        <w:pStyle w:val="ListParagraph"/>
        <w:numPr>
          <w:ilvl w:val="0"/>
          <w:numId w:val="2"/>
        </w:numPr>
      </w:pPr>
      <w:r>
        <w:t xml:space="preserve">R&amp;D tax credit documentation</w:t>
      </w:r>
    </w:p>
    <w:p>
      <w:pPr>
        <w:pStyle w:val="ListParagraph"/>
        <w:numPr>
          <w:ilvl w:val="0"/>
          <w:numId w:val="2"/>
        </w:numPr>
      </w:pPr>
      <w:r>
        <w:t xml:space="preserve">Grant funding agreements</w:t>
      </w:r>
    </w:p>
    <w:p>
      <w:pPr>
        <w:pStyle w:val="ListParagraph"/>
        <w:numPr>
          <w:ilvl w:val="0"/>
          <w:numId w:val="2"/>
        </w:numPr>
      </w:pPr>
      <w:r>
        <w:t xml:space="preserve">Any convertible loan notes or SAFE agreements</w:t>
      </w:r>
    </w:p>
    <w:p>
      <w:pPr>
        <w:pStyle w:val="Heading2"/>
      </w:pPr>
      <w:r>
        <w:t xml:space="preserve">Team &amp; Employment</w:t>
      </w:r>
    </w:p>
    <w:p>
      <w:pPr>
        <w:pStyle w:val="ListParagraph"/>
        <w:numPr>
          <w:ilvl w:val="0"/>
          <w:numId w:val="2"/>
        </w:numPr>
      </w:pPr>
      <w:r>
        <w:t xml:space="preserve">Founder employment/service agreements</w:t>
      </w:r>
    </w:p>
    <w:p>
      <w:pPr>
        <w:pStyle w:val="ListParagraph"/>
        <w:numPr>
          <w:ilvl w:val="0"/>
          <w:numId w:val="2"/>
        </w:numPr>
      </w:pPr>
      <w:r>
        <w:t xml:space="preserve">Key employee contracts</w:t>
      </w:r>
    </w:p>
    <w:p>
      <w:pPr>
        <w:pStyle w:val="ListParagraph"/>
        <w:numPr>
          <w:ilvl w:val="0"/>
          <w:numId w:val="2"/>
        </w:numPr>
      </w:pPr>
      <w:r>
        <w:t xml:space="preserve">Contractor/consultant agreements</w:t>
      </w:r>
    </w:p>
    <w:p>
      <w:pPr>
        <w:pStyle w:val="ListParagraph"/>
        <w:numPr>
          <w:ilvl w:val="0"/>
          <w:numId w:val="2"/>
        </w:numPr>
      </w:pPr>
      <w:r>
        <w:t xml:space="preserve">EMI or other option scheme documentation</w:t>
      </w:r>
    </w:p>
    <w:p>
      <w:pPr>
        <w:pStyle w:val="ListParagraph"/>
        <w:numPr>
          <w:ilvl w:val="0"/>
          <w:numId w:val="2"/>
        </w:numPr>
      </w:pPr>
      <w:r>
        <w:t xml:space="preserve">Vesting schedules</w:t>
      </w:r>
    </w:p>
    <w:p>
      <w:pPr>
        <w:pStyle w:val="ListParagraph"/>
        <w:numPr>
          <w:ilvl w:val="0"/>
          <w:numId w:val="2"/>
        </w:numPr>
      </w:pPr>
      <w:r>
        <w:t xml:space="preserve">Any restrictive covenants from prior employers</w:t>
      </w:r>
    </w:p>
    <w:p>
      <w:pPr>
        <w:pStyle w:val="Heading2"/>
      </w:pPr>
      <w:r>
        <w:t xml:space="preserve">Commercial &amp; Market</w:t>
      </w:r>
    </w:p>
    <w:p>
      <w:pPr>
        <w:pStyle w:val="ListParagraph"/>
        <w:numPr>
          <w:ilvl w:val="0"/>
          <w:numId w:val="2"/>
        </w:numPr>
      </w:pPr>
      <w:r>
        <w:t xml:space="preserve">Business plan / investor deck</w:t>
      </w:r>
    </w:p>
    <w:p>
      <w:pPr>
        <w:pStyle w:val="ListParagraph"/>
        <w:numPr>
          <w:ilvl w:val="0"/>
          <w:numId w:val="2"/>
        </w:numPr>
      </w:pPr>
      <w:r>
        <w:t xml:space="preserve">TAM/SAM/SOM analysis</w:t>
      </w:r>
    </w:p>
    <w:p>
      <w:pPr>
        <w:pStyle w:val="ListParagraph"/>
        <w:numPr>
          <w:ilvl w:val="0"/>
          <w:numId w:val="2"/>
        </w:numPr>
      </w:pPr>
      <w:r>
        <w:t xml:space="preserve">Letters of intent or pilot agreements</w:t>
      </w:r>
    </w:p>
    <w:p>
      <w:pPr>
        <w:pStyle w:val="ListParagraph"/>
        <w:numPr>
          <w:ilvl w:val="0"/>
          <w:numId w:val="2"/>
        </w:numPr>
      </w:pPr>
      <w:r>
        <w:t xml:space="preserve">Early customer testimonials</w:t>
      </w:r>
    </w:p>
    <w:p>
      <w:pPr>
        <w:pStyle w:val="ListParagraph"/>
        <w:numPr>
          <w:ilvl w:val="0"/>
          <w:numId w:val="2"/>
        </w:numPr>
      </w:pPr>
      <w:r>
        <w:t xml:space="preserve">Pipeline/prospect documentation</w:t>
      </w:r>
    </w:p>
    <w:p>
      <w:pPr>
        <w:pStyle w:val="ListParagraph"/>
        <w:numPr>
          <w:ilvl w:val="0"/>
          <w:numId w:val="2"/>
        </w:numPr>
      </w:pPr>
      <w:r>
        <w:t xml:space="preserve">Competitive landscape analysis</w:t>
      </w:r>
    </w:p>
    <w:p>
      <w:r>
        <w:br w:type="page"/>
      </w:r>
    </w:p>
    <w:p>
      <w:pPr>
        <w:pStyle w:val="Heading1"/>
      </w:pPr>
      <w:r>
        <w:t xml:space="preserve">8. Industry-Specific Evidence Requirements</w:t>
      </w:r>
    </w:p>
    <w:p>
      <w:pPr>
        <w:spacing w:after="200"/>
      </w:pPr>
      <w:r>
        <w:t xml:space="preserve">Different industries require additional evidence beyond the core six domains. This section highlights sector-specific documents that buyers will expect.</w:t>
      </w:r>
    </w:p>
    <w:p>
      <w:pPr>
        <w:pStyle w:val="Heading2"/>
      </w:pPr>
      <w:r>
        <w:t xml:space="preserve">Technology &amp; SaaS</w:t>
      </w:r>
    </w:p>
    <w:p>
      <w:pPr>
        <w:pStyle w:val="ListParagraph"/>
        <w:numPr>
          <w:ilvl w:val="0"/>
          <w:numId w:val="2"/>
        </w:numPr>
      </w:pPr>
      <w:r>
        <w:t xml:space="preserve">SaaS metrics: ARR, MRR, churn, LTV:CAC, net revenue retention</w:t>
      </w:r>
    </w:p>
    <w:p>
      <w:pPr>
        <w:pStyle w:val="ListParagraph"/>
        <w:numPr>
          <w:ilvl w:val="0"/>
          <w:numId w:val="2"/>
        </w:numPr>
      </w:pPr>
      <w:r>
        <w:t xml:space="preserve">Code quality assessment / technical debt analysis</w:t>
      </w:r>
    </w:p>
    <w:p>
      <w:pPr>
        <w:pStyle w:val="ListParagraph"/>
        <w:numPr>
          <w:ilvl w:val="0"/>
          <w:numId w:val="2"/>
        </w:numPr>
      </w:pPr>
      <w:r>
        <w:t xml:space="preserve">System architecture documentation</w:t>
      </w:r>
    </w:p>
    <w:p>
      <w:pPr>
        <w:pStyle w:val="ListParagraph"/>
        <w:numPr>
          <w:ilvl w:val="0"/>
          <w:numId w:val="2"/>
        </w:numPr>
      </w:pPr>
      <w:r>
        <w:t xml:space="preserve">Penetration testing reports</w:t>
      </w:r>
    </w:p>
    <w:p>
      <w:pPr>
        <w:pStyle w:val="ListParagraph"/>
        <w:numPr>
          <w:ilvl w:val="0"/>
          <w:numId w:val="2"/>
        </w:numPr>
      </w:pPr>
      <w:r>
        <w:t xml:space="preserve">SOC 2 or ISO 27001 certification</w:t>
      </w:r>
    </w:p>
    <w:p>
      <w:pPr>
        <w:pStyle w:val="ListParagraph"/>
        <w:numPr>
          <w:ilvl w:val="0"/>
          <w:numId w:val="2"/>
        </w:numPr>
      </w:pPr>
      <w:r>
        <w:t xml:space="preserve">Open source licence compliance (software composition analysis)</w:t>
      </w:r>
    </w:p>
    <w:p>
      <w:pPr>
        <w:pStyle w:val="ListParagraph"/>
        <w:numPr>
          <w:ilvl w:val="0"/>
          <w:numId w:val="2"/>
        </w:numPr>
      </w:pPr>
      <w:r>
        <w:t xml:space="preserve">Product roadmap (12-24 months)</w:t>
      </w:r>
    </w:p>
    <w:p>
      <w:pPr>
        <w:pStyle w:val="ListParagraph"/>
        <w:numPr>
          <w:ilvl w:val="0"/>
          <w:numId w:val="2"/>
        </w:numPr>
      </w:pPr>
      <w:r>
        <w:t xml:space="preserve">API documentation</w:t>
      </w:r>
    </w:p>
    <w:p>
      <w:pPr>
        <w:pStyle w:val="ListParagraph"/>
        <w:numPr>
          <w:ilvl w:val="0"/>
          <w:numId w:val="2"/>
        </w:numPr>
      </w:pPr>
      <w:r>
        <w:t xml:space="preserve">Development team velocity metrics</w:t>
      </w:r>
    </w:p>
    <w:p>
      <w:pPr>
        <w:pStyle w:val="Heading2"/>
      </w:pPr>
      <w:r>
        <w:t xml:space="preserve">Manufacturing</w:t>
      </w:r>
    </w:p>
    <w:p>
      <w:pPr>
        <w:pStyle w:val="ListParagraph"/>
        <w:numPr>
          <w:ilvl w:val="0"/>
          <w:numId w:val="2"/>
        </w:numPr>
      </w:pPr>
      <w:r>
        <w:t xml:space="preserve">Equipment register with age, condition, and valuations</w:t>
      </w:r>
    </w:p>
    <w:p>
      <w:pPr>
        <w:pStyle w:val="ListParagraph"/>
        <w:numPr>
          <w:ilvl w:val="0"/>
          <w:numId w:val="2"/>
        </w:numPr>
      </w:pPr>
      <w:r>
        <w:t xml:space="preserve">Capex replacement schedule</w:t>
      </w:r>
    </w:p>
    <w:p>
      <w:pPr>
        <w:pStyle w:val="ListParagraph"/>
        <w:numPr>
          <w:ilvl w:val="0"/>
          <w:numId w:val="2"/>
        </w:numPr>
      </w:pPr>
      <w:r>
        <w:t xml:space="preserve">Phase 1 environmental site assessment</w:t>
      </w:r>
    </w:p>
    <w:p>
      <w:pPr>
        <w:pStyle w:val="ListParagraph"/>
        <w:numPr>
          <w:ilvl w:val="0"/>
          <w:numId w:val="2"/>
        </w:numPr>
      </w:pPr>
      <w:r>
        <w:t xml:space="preserve">Environmental permits and licences</w:t>
      </w:r>
    </w:p>
    <w:p>
      <w:pPr>
        <w:pStyle w:val="ListParagraph"/>
        <w:numPr>
          <w:ilvl w:val="0"/>
          <w:numId w:val="2"/>
        </w:numPr>
      </w:pPr>
      <w:r>
        <w:t xml:space="preserve">Quality certifications (ISO 9001)</w:t>
      </w:r>
    </w:p>
    <w:p>
      <w:pPr>
        <w:pStyle w:val="ListParagraph"/>
        <w:numPr>
          <w:ilvl w:val="0"/>
          <w:numId w:val="2"/>
        </w:numPr>
      </w:pPr>
      <w:r>
        <w:t xml:space="preserve">Supply chain mapping and risk assessment</w:t>
      </w:r>
    </w:p>
    <w:p>
      <w:pPr>
        <w:pStyle w:val="ListParagraph"/>
        <w:numPr>
          <w:ilvl w:val="0"/>
          <w:numId w:val="2"/>
        </w:numPr>
      </w:pPr>
      <w:r>
        <w:t xml:space="preserve">Capacity utilisation metrics</w:t>
      </w:r>
    </w:p>
    <w:p>
      <w:pPr>
        <w:pStyle w:val="ListParagraph"/>
        <w:numPr>
          <w:ilvl w:val="0"/>
          <w:numId w:val="2"/>
        </w:numPr>
      </w:pPr>
      <w:r>
        <w:t xml:space="preserve">Product liability insurance</w:t>
      </w:r>
    </w:p>
    <w:p>
      <w:pPr>
        <w:pStyle w:val="ListParagraph"/>
        <w:numPr>
          <w:ilvl w:val="0"/>
          <w:numId w:val="2"/>
        </w:numPr>
      </w:pPr>
      <w:r>
        <w:t xml:space="preserve">Warranty and returns analysis</w:t>
      </w:r>
    </w:p>
    <w:p>
      <w:pPr>
        <w:pStyle w:val="Heading2"/>
      </w:pPr>
      <w:r>
        <w:t xml:space="preserve">Professional Services</w:t>
      </w:r>
    </w:p>
    <w:p>
      <w:pPr>
        <w:pStyle w:val="ListParagraph"/>
        <w:numPr>
          <w:ilvl w:val="0"/>
          <w:numId w:val="2"/>
        </w:numPr>
      </w:pPr>
      <w:r>
        <w:t xml:space="preserve">Revenue by client analysis (concentration)</w:t>
      </w:r>
    </w:p>
    <w:p>
      <w:pPr>
        <w:pStyle w:val="ListParagraph"/>
        <w:numPr>
          <w:ilvl w:val="0"/>
          <w:numId w:val="2"/>
        </w:numPr>
      </w:pPr>
      <w:r>
        <w:t xml:space="preserve">Client contract terms and renewal rates</w:t>
      </w:r>
    </w:p>
    <w:p>
      <w:pPr>
        <w:pStyle w:val="ListParagraph"/>
        <w:numPr>
          <w:ilvl w:val="0"/>
          <w:numId w:val="2"/>
        </w:numPr>
      </w:pPr>
      <w:r>
        <w:t xml:space="preserve">Fee earner utilisation rates</w:t>
      </w:r>
    </w:p>
    <w:p>
      <w:pPr>
        <w:pStyle w:val="ListParagraph"/>
        <w:numPr>
          <w:ilvl w:val="0"/>
          <w:numId w:val="2"/>
        </w:numPr>
      </w:pPr>
      <w:r>
        <w:t xml:space="preserve">Billing rate analysis by grade</w:t>
      </w:r>
    </w:p>
    <w:p>
      <w:pPr>
        <w:pStyle w:val="ListParagraph"/>
        <w:numPr>
          <w:ilvl w:val="0"/>
          <w:numId w:val="2"/>
        </w:numPr>
      </w:pPr>
      <w:r>
        <w:t xml:space="preserve">WIP valuation and lock-up days</w:t>
      </w:r>
    </w:p>
    <w:p>
      <w:pPr>
        <w:pStyle w:val="ListParagraph"/>
        <w:numPr>
          <w:ilvl w:val="0"/>
          <w:numId w:val="2"/>
        </w:numPr>
      </w:pPr>
      <w:r>
        <w:t xml:space="preserve">Bad debt history and recoverability</w:t>
      </w:r>
    </w:p>
    <w:p>
      <w:pPr>
        <w:pStyle w:val="ListParagraph"/>
        <w:numPr>
          <w:ilvl w:val="0"/>
          <w:numId w:val="2"/>
        </w:numPr>
      </w:pPr>
      <w:r>
        <w:t xml:space="preserve">PI insurance policy and claims history</w:t>
      </w:r>
    </w:p>
    <w:p>
      <w:pPr>
        <w:pStyle w:val="ListParagraph"/>
        <w:numPr>
          <w:ilvl w:val="0"/>
          <w:numId w:val="2"/>
        </w:numPr>
      </w:pPr>
      <w:r>
        <w:t xml:space="preserve">Regulatory registrations (FCA, SRA if applicable)</w:t>
      </w:r>
    </w:p>
    <w:p>
      <w:pPr>
        <w:pStyle w:val="ListParagraph"/>
        <w:numPr>
          <w:ilvl w:val="0"/>
          <w:numId w:val="2"/>
        </w:numPr>
      </w:pPr>
      <w:r>
        <w:t xml:space="preserve">Partner/principal agreements</w:t>
      </w:r>
    </w:p>
    <w:p>
      <w:pPr>
        <w:pStyle w:val="Heading2"/>
      </w:pPr>
      <w:r>
        <w:t xml:space="preserve">Healthcare</w:t>
      </w:r>
    </w:p>
    <w:p>
      <w:pPr>
        <w:pStyle w:val="ListParagraph"/>
        <w:numPr>
          <w:ilvl w:val="0"/>
          <w:numId w:val="2"/>
        </w:numPr>
      </w:pPr>
      <w:r>
        <w:t xml:space="preserve">CQC registration and inspection reports</w:t>
      </w:r>
    </w:p>
    <w:p>
      <w:pPr>
        <w:pStyle w:val="ListParagraph"/>
        <w:numPr>
          <w:ilvl w:val="0"/>
          <w:numId w:val="2"/>
        </w:numPr>
      </w:pPr>
      <w:r>
        <w:t xml:space="preserve">CQC action plans (if applicable)</w:t>
      </w:r>
    </w:p>
    <w:p>
      <w:pPr>
        <w:pStyle w:val="ListParagraph"/>
        <w:numPr>
          <w:ilvl w:val="0"/>
          <w:numId w:val="2"/>
        </w:numPr>
      </w:pPr>
      <w:r>
        <w:t xml:space="preserve">Clinical governance policies</w:t>
      </w:r>
    </w:p>
    <w:p>
      <w:pPr>
        <w:pStyle w:val="ListParagraph"/>
        <w:numPr>
          <w:ilvl w:val="0"/>
          <w:numId w:val="2"/>
        </w:numPr>
      </w:pPr>
      <w:r>
        <w:t xml:space="preserve">Incident reporting and safeguarding records</w:t>
      </w:r>
    </w:p>
    <w:p>
      <w:pPr>
        <w:pStyle w:val="ListParagraph"/>
        <w:numPr>
          <w:ilvl w:val="0"/>
          <w:numId w:val="2"/>
        </w:numPr>
      </w:pPr>
      <w:r>
        <w:t xml:space="preserve">NHS contract documentation</w:t>
      </w:r>
    </w:p>
    <w:p>
      <w:pPr>
        <w:pStyle w:val="ListParagraph"/>
        <w:numPr>
          <w:ilvl w:val="0"/>
          <w:numId w:val="2"/>
        </w:numPr>
      </w:pPr>
      <w:r>
        <w:t xml:space="preserve">Commissioner relationships analysis</w:t>
      </w:r>
    </w:p>
    <w:p>
      <w:pPr>
        <w:pStyle w:val="ListParagraph"/>
        <w:numPr>
          <w:ilvl w:val="0"/>
          <w:numId w:val="2"/>
        </w:numPr>
      </w:pPr>
      <w:r>
        <w:t xml:space="preserve">Staff professional registrations</w:t>
      </w:r>
    </w:p>
    <w:p>
      <w:pPr>
        <w:pStyle w:val="ListParagraph"/>
        <w:numPr>
          <w:ilvl w:val="0"/>
          <w:numId w:val="2"/>
        </w:numPr>
      </w:pPr>
      <w:r>
        <w:t xml:space="preserve">DBS compliance records</w:t>
      </w:r>
    </w:p>
    <w:p>
      <w:pPr>
        <w:pStyle w:val="ListParagraph"/>
        <w:numPr>
          <w:ilvl w:val="0"/>
          <w:numId w:val="2"/>
        </w:numPr>
      </w:pPr>
      <w:r>
        <w:t xml:space="preserve">Fit and proper persons declarations</w:t>
      </w:r>
    </w:p>
    <w:p>
      <w:pPr>
        <w:pStyle w:val="Heading2"/>
      </w:pPr>
      <w:r>
        <w:t xml:space="preserve">Retail &amp; Hospitality</w:t>
      </w:r>
    </w:p>
    <w:p>
      <w:pPr>
        <w:pStyle w:val="ListParagraph"/>
        <w:numPr>
          <w:ilvl w:val="0"/>
          <w:numId w:val="2"/>
        </w:numPr>
      </w:pPr>
      <w:r>
        <w:t xml:space="preserve">Lease register with all terms and break clauses</w:t>
      </w:r>
    </w:p>
    <w:p>
      <w:pPr>
        <w:pStyle w:val="ListParagraph"/>
        <w:numPr>
          <w:ilvl w:val="0"/>
          <w:numId w:val="2"/>
        </w:numPr>
      </w:pPr>
      <w:r>
        <w:t xml:space="preserve">Rent review schedule</w:t>
      </w:r>
    </w:p>
    <w:p>
      <w:pPr>
        <w:pStyle w:val="ListParagraph"/>
        <w:numPr>
          <w:ilvl w:val="0"/>
          <w:numId w:val="2"/>
        </w:numPr>
      </w:pPr>
      <w:r>
        <w:t xml:space="preserve">Dilapidations exposure assessment</w:t>
      </w:r>
    </w:p>
    <w:p>
      <w:pPr>
        <w:pStyle w:val="ListParagraph"/>
        <w:numPr>
          <w:ilvl w:val="0"/>
          <w:numId w:val="2"/>
        </w:numPr>
      </w:pPr>
      <w:r>
        <w:t xml:space="preserve">Like-for-like sales analysis</w:t>
      </w:r>
    </w:p>
    <w:p>
      <w:pPr>
        <w:pStyle w:val="ListParagraph"/>
        <w:numPr>
          <w:ilvl w:val="0"/>
          <w:numId w:val="2"/>
        </w:numPr>
      </w:pPr>
      <w:r>
        <w:t xml:space="preserve">Footfall/covers metrics</w:t>
      </w:r>
    </w:p>
    <w:p>
      <w:pPr>
        <w:pStyle w:val="ListParagraph"/>
        <w:numPr>
          <w:ilvl w:val="0"/>
          <w:numId w:val="2"/>
        </w:numPr>
      </w:pPr>
      <w:r>
        <w:t xml:space="preserve">Seasonality analysis</w:t>
      </w:r>
    </w:p>
    <w:p>
      <w:pPr>
        <w:pStyle w:val="ListParagraph"/>
        <w:numPr>
          <w:ilvl w:val="0"/>
          <w:numId w:val="2"/>
        </w:numPr>
      </w:pPr>
      <w:r>
        <w:t xml:space="preserve">Stock valuation and shrinkage rates</w:t>
      </w:r>
    </w:p>
    <w:p>
      <w:pPr>
        <w:pStyle w:val="ListParagraph"/>
        <w:numPr>
          <w:ilvl w:val="0"/>
          <w:numId w:val="2"/>
        </w:numPr>
      </w:pPr>
      <w:r>
        <w:t xml:space="preserve">Premises licences</w:t>
      </w:r>
    </w:p>
    <w:p>
      <w:pPr>
        <w:pStyle w:val="ListParagraph"/>
        <w:numPr>
          <w:ilvl w:val="0"/>
          <w:numId w:val="2"/>
        </w:numPr>
      </w:pPr>
      <w:r>
        <w:t xml:space="preserve">Food hygiene ratings</w:t>
      </w:r>
    </w:p>
    <w:p>
      <w:pPr>
        <w:pStyle w:val="ListParagraph"/>
        <w:numPr>
          <w:ilvl w:val="0"/>
          <w:numId w:val="2"/>
        </w:numPr>
      </w:pPr>
      <w:r>
        <w:t xml:space="preserve">Franchise agreements (if applicable)</w:t>
      </w:r>
    </w:p>
    <w:p>
      <w:r>
        <w:br w:type="page"/>
      </w:r>
    </w:p>
    <w:p>
      <w:pPr>
        <w:pStyle w:val="Heading1"/>
      </w:pPr>
      <w:r>
        <w:t xml:space="preserve">9. Recommended Dataroom Structure</w:t>
      </w:r>
    </w:p>
    <w:p>
      <w:pPr>
        <w:spacing w:after="200"/>
      </w:pPr>
      <w:r>
        <w:t xml:space="preserve">When preparing for due diligence, organise your evidence into a logical dataroom structure. The following sections align with typical buyer expectations and due diligence workstreams.</w:t>
      </w:r>
    </w:p>
    <w:p>
      <w:pPr>
        <w:pStyle w:val="Heading2"/>
      </w:pPr>
      <w:r>
        <w:t xml:space="preserve">1. Overview</w:t>
      </w:r>
    </w:p>
    <w:p>
      <w:pPr>
        <w:pStyle w:val="ListParagraph"/>
        <w:numPr>
          <w:ilvl w:val="0"/>
          <w:numId w:val="2"/>
        </w:numPr>
      </w:pPr>
      <w:r>
        <w:t xml:space="preserve">Company timeline</w:t>
      </w:r>
    </w:p>
    <w:p>
      <w:pPr>
        <w:pStyle w:val="ListParagraph"/>
        <w:numPr>
          <w:ilvl w:val="0"/>
          <w:numId w:val="2"/>
        </w:numPr>
      </w:pPr>
      <w:r>
        <w:t xml:space="preserve">Dataroom content guide</w:t>
      </w:r>
    </w:p>
    <w:p>
      <w:pPr>
        <w:pStyle w:val="ListParagraph"/>
        <w:numPr>
          <w:ilvl w:val="0"/>
          <w:numId w:val="2"/>
        </w:numPr>
      </w:pPr>
      <w:r>
        <w:t xml:space="preserve">Information Memorandum / Teaser</w:t>
      </w:r>
    </w:p>
    <w:p>
      <w:pPr>
        <w:pStyle w:val="ListParagraph"/>
        <w:numPr>
          <w:ilvl w:val="0"/>
          <w:numId w:val="2"/>
        </w:numPr>
      </w:pPr>
      <w:r>
        <w:t xml:space="preserve">Financial model</w:t>
      </w:r>
    </w:p>
    <w:p>
      <w:pPr>
        <w:pStyle w:val="Heading2"/>
      </w:pPr>
      <w:r>
        <w:t xml:space="preserve">2. Company Secretarial</w:t>
      </w:r>
    </w:p>
    <w:p>
      <w:pPr>
        <w:pStyle w:val="ListParagraph"/>
        <w:numPr>
          <w:ilvl w:val="0"/>
          <w:numId w:val="2"/>
        </w:numPr>
      </w:pPr>
      <w:r>
        <w:t xml:space="preserve">Statutory registers and cap table</w:t>
      </w:r>
    </w:p>
    <w:p>
      <w:pPr>
        <w:pStyle w:val="ListParagraph"/>
        <w:numPr>
          <w:ilvl w:val="0"/>
          <w:numId w:val="2"/>
        </w:numPr>
      </w:pPr>
      <w:r>
        <w:t xml:space="preserve">Share certificates and transfer forms</w:t>
      </w:r>
    </w:p>
    <w:p>
      <w:pPr>
        <w:pStyle w:val="ListParagraph"/>
        <w:numPr>
          <w:ilvl w:val="0"/>
          <w:numId w:val="2"/>
        </w:numPr>
      </w:pPr>
      <w:r>
        <w:t xml:space="preserve">Corporate structure chart</w:t>
      </w:r>
    </w:p>
    <w:p>
      <w:pPr>
        <w:pStyle w:val="ListParagraph"/>
        <w:numPr>
          <w:ilvl w:val="0"/>
          <w:numId w:val="2"/>
        </w:numPr>
      </w:pPr>
      <w:r>
        <w:t xml:space="preserve">Shareholders' agreement</w:t>
      </w:r>
    </w:p>
    <w:p>
      <w:pPr>
        <w:pStyle w:val="ListParagraph"/>
        <w:numPr>
          <w:ilvl w:val="0"/>
          <w:numId w:val="2"/>
        </w:numPr>
      </w:pPr>
      <w:r>
        <w:t xml:space="preserve">Share options (EMI schemes)</w:t>
      </w:r>
    </w:p>
    <w:p>
      <w:pPr>
        <w:pStyle w:val="ListParagraph"/>
        <w:numPr>
          <w:ilvl w:val="0"/>
          <w:numId w:val="2"/>
        </w:numPr>
      </w:pPr>
      <w:r>
        <w:t xml:space="preserve">Articles of Association</w:t>
      </w:r>
    </w:p>
    <w:p>
      <w:pPr>
        <w:pStyle w:val="ListParagraph"/>
        <w:numPr>
          <w:ilvl w:val="0"/>
          <w:numId w:val="2"/>
        </w:numPr>
      </w:pPr>
      <w:r>
        <w:t xml:space="preserve">Board minutes and resolutions</w:t>
      </w:r>
    </w:p>
    <w:p>
      <w:pPr>
        <w:pStyle w:val="Heading2"/>
      </w:pPr>
      <w:r>
        <w:t xml:space="preserve">3. Financial &amp; Tax</w:t>
      </w:r>
    </w:p>
    <w:p>
      <w:pPr>
        <w:pStyle w:val="ListParagraph"/>
        <w:numPr>
          <w:ilvl w:val="0"/>
          <w:numId w:val="2"/>
        </w:numPr>
      </w:pPr>
      <w:r>
        <w:t xml:space="preserve">Statutory accounts (3 years)</w:t>
      </w:r>
    </w:p>
    <w:p>
      <w:pPr>
        <w:pStyle w:val="ListParagraph"/>
        <w:numPr>
          <w:ilvl w:val="0"/>
          <w:numId w:val="2"/>
        </w:numPr>
      </w:pPr>
      <w:r>
        <w:t xml:space="preserve">Management accounts</w:t>
      </w:r>
    </w:p>
    <w:p>
      <w:pPr>
        <w:pStyle w:val="ListParagraph"/>
        <w:numPr>
          <w:ilvl w:val="0"/>
          <w:numId w:val="2"/>
        </w:numPr>
      </w:pPr>
      <w:r>
        <w:t xml:space="preserve">Budgets and forecasts</w:t>
      </w:r>
    </w:p>
    <w:p>
      <w:pPr>
        <w:pStyle w:val="ListParagraph"/>
        <w:numPr>
          <w:ilvl w:val="0"/>
          <w:numId w:val="2"/>
        </w:numPr>
      </w:pPr>
      <w:r>
        <w:t xml:space="preserve">Balance sheet reconciliations</w:t>
      </w:r>
    </w:p>
    <w:p>
      <w:pPr>
        <w:pStyle w:val="ListParagraph"/>
        <w:numPr>
          <w:ilvl w:val="0"/>
          <w:numId w:val="2"/>
        </w:numPr>
      </w:pPr>
      <w:r>
        <w:t xml:space="preserve">Corporation tax computations and CT600s</w:t>
      </w:r>
    </w:p>
    <w:p>
      <w:pPr>
        <w:pStyle w:val="ListParagraph"/>
        <w:numPr>
          <w:ilvl w:val="0"/>
          <w:numId w:val="2"/>
        </w:numPr>
      </w:pPr>
      <w:r>
        <w:t xml:space="preserve">VAT registrations and returns</w:t>
      </w:r>
    </w:p>
    <w:p>
      <w:pPr>
        <w:pStyle w:val="ListParagraph"/>
        <w:numPr>
          <w:ilvl w:val="0"/>
          <w:numId w:val="2"/>
        </w:numPr>
      </w:pPr>
      <w:r>
        <w:t xml:space="preserve">HMRC correspondence</w:t>
      </w:r>
    </w:p>
    <w:p>
      <w:pPr>
        <w:pStyle w:val="ListParagraph"/>
        <w:numPr>
          <w:ilvl w:val="0"/>
          <w:numId w:val="2"/>
        </w:numPr>
      </w:pPr>
      <w:r>
        <w:t xml:space="preserve">Fixed asset register</w:t>
      </w:r>
    </w:p>
    <w:p>
      <w:pPr>
        <w:pStyle w:val="Heading2"/>
      </w:pPr>
      <w:r>
        <w:t xml:space="preserve">4. Customers &amp; Revenue</w:t>
      </w:r>
    </w:p>
    <w:p>
      <w:pPr>
        <w:pStyle w:val="ListParagraph"/>
        <w:numPr>
          <w:ilvl w:val="0"/>
          <w:numId w:val="2"/>
        </w:numPr>
      </w:pPr>
      <w:r>
        <w:t xml:space="preserve">Customer data and analysis</w:t>
      </w:r>
    </w:p>
    <w:p>
      <w:pPr>
        <w:pStyle w:val="ListParagraph"/>
        <w:numPr>
          <w:ilvl w:val="0"/>
          <w:numId w:val="2"/>
        </w:numPr>
      </w:pPr>
      <w:r>
        <w:t xml:space="preserve">Marketing/growth strategy</w:t>
      </w:r>
    </w:p>
    <w:p>
      <w:pPr>
        <w:pStyle w:val="ListParagraph"/>
        <w:numPr>
          <w:ilvl w:val="0"/>
          <w:numId w:val="2"/>
        </w:numPr>
      </w:pPr>
      <w:r>
        <w:t xml:space="preserve">Market and competitor analysis</w:t>
      </w:r>
    </w:p>
    <w:p>
      <w:pPr>
        <w:pStyle w:val="ListParagraph"/>
        <w:numPr>
          <w:ilvl w:val="0"/>
          <w:numId w:val="2"/>
        </w:numPr>
      </w:pPr>
      <w:r>
        <w:t xml:space="preserve">Customer pipeline</w:t>
      </w:r>
    </w:p>
    <w:p>
      <w:pPr>
        <w:pStyle w:val="Heading2"/>
      </w:pPr>
      <w:r>
        <w:t xml:space="preserve">5. Products &amp; Services</w:t>
      </w:r>
    </w:p>
    <w:p>
      <w:pPr>
        <w:pStyle w:val="ListParagraph"/>
        <w:numPr>
          <w:ilvl w:val="0"/>
          <w:numId w:val="2"/>
        </w:numPr>
      </w:pPr>
      <w:r>
        <w:t xml:space="preserve">Product/service descriptions</w:t>
      </w:r>
    </w:p>
    <w:p>
      <w:pPr>
        <w:pStyle w:val="ListParagraph"/>
        <w:numPr>
          <w:ilvl w:val="0"/>
          <w:numId w:val="2"/>
        </w:numPr>
      </w:pPr>
      <w:r>
        <w:t xml:space="preserve">Product roadmap</w:t>
      </w:r>
    </w:p>
    <w:p>
      <w:pPr>
        <w:pStyle w:val="ListParagraph"/>
        <w:numPr>
          <w:ilvl w:val="0"/>
          <w:numId w:val="2"/>
        </w:numPr>
      </w:pPr>
      <w:r>
        <w:t xml:space="preserve">Customer documentation</w:t>
      </w:r>
    </w:p>
    <w:p>
      <w:pPr>
        <w:pStyle w:val="Heading2"/>
      </w:pPr>
      <w:r>
        <w:t xml:space="preserve">6. Technology &amp; IT</w:t>
      </w:r>
    </w:p>
    <w:p>
      <w:pPr>
        <w:pStyle w:val="ListParagraph"/>
        <w:numPr>
          <w:ilvl w:val="0"/>
          <w:numId w:val="2"/>
        </w:numPr>
      </w:pPr>
      <w:r>
        <w:t xml:space="preserve">IT overview and architecture</w:t>
      </w:r>
    </w:p>
    <w:p>
      <w:pPr>
        <w:pStyle w:val="ListParagraph"/>
        <w:numPr>
          <w:ilvl w:val="0"/>
          <w:numId w:val="2"/>
        </w:numPr>
      </w:pPr>
      <w:r>
        <w:t xml:space="preserve">Technology roadmap</w:t>
      </w:r>
    </w:p>
    <w:p>
      <w:pPr>
        <w:pStyle w:val="ListParagraph"/>
        <w:numPr>
          <w:ilvl w:val="0"/>
          <w:numId w:val="2"/>
        </w:numPr>
      </w:pPr>
      <w:r>
        <w:t xml:space="preserve">IT service management documentation</w:t>
      </w:r>
    </w:p>
    <w:p>
      <w:pPr>
        <w:pStyle w:val="ListParagraph"/>
        <w:numPr>
          <w:ilvl w:val="0"/>
          <w:numId w:val="2"/>
        </w:numPr>
      </w:pPr>
      <w:r>
        <w:t xml:space="preserve">Infrastructure and security</w:t>
      </w:r>
    </w:p>
    <w:p>
      <w:pPr>
        <w:pStyle w:val="ListParagraph"/>
        <w:numPr>
          <w:ilvl w:val="0"/>
          <w:numId w:val="2"/>
        </w:numPr>
      </w:pPr>
      <w:r>
        <w:t xml:space="preserve">Licensing and software inventory</w:t>
      </w:r>
    </w:p>
    <w:p>
      <w:pPr>
        <w:pStyle w:val="ListParagraph"/>
        <w:numPr>
          <w:ilvl w:val="0"/>
          <w:numId w:val="2"/>
        </w:numPr>
      </w:pPr>
      <w:r>
        <w:t xml:space="preserve">Development processes</w:t>
      </w:r>
    </w:p>
    <w:p>
      <w:pPr>
        <w:pStyle w:val="Heading2"/>
      </w:pPr>
      <w:r>
        <w:t xml:space="preserve">7. Intellectual Property</w:t>
      </w:r>
    </w:p>
    <w:p>
      <w:pPr>
        <w:pStyle w:val="ListParagraph"/>
        <w:numPr>
          <w:ilvl w:val="0"/>
          <w:numId w:val="2"/>
        </w:numPr>
      </w:pPr>
      <w:r>
        <w:t xml:space="preserve">IP overview and register</w:t>
      </w:r>
    </w:p>
    <w:p>
      <w:pPr>
        <w:pStyle w:val="ListParagraph"/>
        <w:numPr>
          <w:ilvl w:val="0"/>
          <w:numId w:val="2"/>
        </w:numPr>
      </w:pPr>
      <w:r>
        <w:t xml:space="preserve">Trademarks and patents</w:t>
      </w:r>
    </w:p>
    <w:p>
      <w:pPr>
        <w:pStyle w:val="ListParagraph"/>
        <w:numPr>
          <w:ilvl w:val="0"/>
          <w:numId w:val="2"/>
        </w:numPr>
      </w:pPr>
      <w:r>
        <w:t xml:space="preserve">IP assignments</w:t>
      </w:r>
    </w:p>
    <w:p>
      <w:pPr>
        <w:pStyle w:val="ListParagraph"/>
        <w:numPr>
          <w:ilvl w:val="0"/>
          <w:numId w:val="2"/>
        </w:numPr>
      </w:pPr>
      <w:r>
        <w:t xml:space="preserve">NDAs</w:t>
      </w:r>
    </w:p>
    <w:p>
      <w:pPr>
        <w:pStyle w:val="Heading2"/>
      </w:pPr>
      <w:r>
        <w:t xml:space="preserve">8. Property</w:t>
      </w:r>
    </w:p>
    <w:p>
      <w:pPr>
        <w:pStyle w:val="ListParagraph"/>
        <w:numPr>
          <w:ilvl w:val="0"/>
          <w:numId w:val="2"/>
        </w:numPr>
      </w:pPr>
      <w:r>
        <w:t xml:space="preserve">Property summary</w:t>
      </w:r>
    </w:p>
    <w:p>
      <w:pPr>
        <w:pStyle w:val="ListParagraph"/>
        <w:numPr>
          <w:ilvl w:val="0"/>
          <w:numId w:val="2"/>
        </w:numPr>
      </w:pPr>
      <w:r>
        <w:t xml:space="preserve">Leases and licences</w:t>
      </w:r>
    </w:p>
    <w:p>
      <w:pPr>
        <w:pStyle w:val="ListParagraph"/>
        <w:numPr>
          <w:ilvl w:val="0"/>
          <w:numId w:val="2"/>
        </w:numPr>
      </w:pPr>
      <w:r>
        <w:t xml:space="preserve">Environmental and asbestos reports</w:t>
      </w:r>
    </w:p>
    <w:p>
      <w:pPr>
        <w:pStyle w:val="ListParagraph"/>
        <w:numPr>
          <w:ilvl w:val="0"/>
          <w:numId w:val="2"/>
        </w:numPr>
      </w:pPr>
      <w:r>
        <w:t xml:space="preserve">Dilapidations assessments</w:t>
      </w:r>
    </w:p>
    <w:p>
      <w:pPr>
        <w:pStyle w:val="Heading2"/>
      </w:pPr>
      <w:r>
        <w:t xml:space="preserve">9. Insurance</w:t>
      </w:r>
    </w:p>
    <w:p>
      <w:pPr>
        <w:pStyle w:val="ListParagraph"/>
        <w:numPr>
          <w:ilvl w:val="0"/>
          <w:numId w:val="2"/>
        </w:numPr>
      </w:pPr>
      <w:r>
        <w:t xml:space="preserve">Insurance summary and policies</w:t>
      </w:r>
    </w:p>
    <w:p>
      <w:pPr>
        <w:pStyle w:val="ListParagraph"/>
        <w:numPr>
          <w:ilvl w:val="0"/>
          <w:numId w:val="2"/>
        </w:numPr>
      </w:pPr>
      <w:r>
        <w:t xml:space="preserve">Claims history</w:t>
      </w:r>
    </w:p>
    <w:p>
      <w:pPr>
        <w:pStyle w:val="Heading2"/>
      </w:pPr>
      <w:r>
        <w:t xml:space="preserve">10. Operations</w:t>
      </w:r>
    </w:p>
    <w:p>
      <w:pPr>
        <w:pStyle w:val="ListParagraph"/>
        <w:numPr>
          <w:ilvl w:val="0"/>
          <w:numId w:val="2"/>
        </w:numPr>
      </w:pPr>
      <w:r>
        <w:t xml:space="preserve">Operations overview</w:t>
      </w:r>
    </w:p>
    <w:p>
      <w:pPr>
        <w:pStyle w:val="ListParagraph"/>
        <w:numPr>
          <w:ilvl w:val="0"/>
          <w:numId w:val="2"/>
        </w:numPr>
      </w:pPr>
      <w:r>
        <w:t xml:space="preserve">Supply chain documentation</w:t>
      </w:r>
    </w:p>
    <w:p>
      <w:pPr>
        <w:pStyle w:val="ListParagraph"/>
        <w:numPr>
          <w:ilvl w:val="0"/>
          <w:numId w:val="2"/>
        </w:numPr>
      </w:pPr>
      <w:r>
        <w:t xml:space="preserve">IT infrastructure and support contracts</w:t>
      </w:r>
    </w:p>
    <w:p>
      <w:pPr>
        <w:pStyle w:val="Heading2"/>
      </w:pPr>
      <w:r>
        <w:t xml:space="preserve">11. Legal &amp; Regulatory</w:t>
      </w:r>
    </w:p>
    <w:p>
      <w:pPr>
        <w:pStyle w:val="ListParagraph"/>
        <w:numPr>
          <w:ilvl w:val="0"/>
          <w:numId w:val="2"/>
        </w:numPr>
      </w:pPr>
      <w:r>
        <w:t xml:space="preserve">Litigation history</w:t>
      </w:r>
    </w:p>
    <w:p>
      <w:pPr>
        <w:pStyle w:val="ListParagraph"/>
        <w:numPr>
          <w:ilvl w:val="0"/>
          <w:numId w:val="2"/>
        </w:numPr>
      </w:pPr>
      <w:r>
        <w:t xml:space="preserve">Data protection and GDPR</w:t>
      </w:r>
    </w:p>
    <w:p>
      <w:pPr>
        <w:pStyle w:val="ListParagraph"/>
        <w:numPr>
          <w:ilvl w:val="0"/>
          <w:numId w:val="2"/>
        </w:numPr>
      </w:pPr>
      <w:r>
        <w:t xml:space="preserve">Compliance frameworks (ISO, etc.)</w:t>
      </w:r>
    </w:p>
    <w:p>
      <w:pPr>
        <w:pStyle w:val="ListParagraph"/>
        <w:numPr>
          <w:ilvl w:val="0"/>
          <w:numId w:val="2"/>
        </w:numPr>
      </w:pPr>
      <w:r>
        <w:t xml:space="preserve">ESG policies</w:t>
      </w:r>
    </w:p>
    <w:p>
      <w:pPr>
        <w:pStyle w:val="Heading2"/>
      </w:pPr>
      <w:r>
        <w:t xml:space="preserve">12. Staff &amp; Management</w:t>
      </w:r>
    </w:p>
    <w:p>
      <w:pPr>
        <w:pStyle w:val="ListParagraph"/>
        <w:numPr>
          <w:ilvl w:val="0"/>
          <w:numId w:val="2"/>
        </w:numPr>
      </w:pPr>
      <w:r>
        <w:t xml:space="preserve">Org chart and headcount</w:t>
      </w:r>
    </w:p>
    <w:p>
      <w:pPr>
        <w:pStyle w:val="ListParagraph"/>
        <w:numPr>
          <w:ilvl w:val="0"/>
          <w:numId w:val="2"/>
        </w:numPr>
      </w:pPr>
      <w:r>
        <w:t xml:space="preserve">Employee list (anonymised)</w:t>
      </w:r>
    </w:p>
    <w:p>
      <w:pPr>
        <w:pStyle w:val="ListParagraph"/>
        <w:numPr>
          <w:ilvl w:val="0"/>
          <w:numId w:val="2"/>
        </w:numPr>
      </w:pPr>
      <w:r>
        <w:t xml:space="preserve">Remuneration policies</w:t>
      </w:r>
    </w:p>
    <w:p>
      <w:pPr>
        <w:pStyle w:val="ListParagraph"/>
        <w:numPr>
          <w:ilvl w:val="0"/>
          <w:numId w:val="2"/>
        </w:numPr>
      </w:pPr>
      <w:r>
        <w:t xml:space="preserve">Pension arrangements</w:t>
      </w:r>
    </w:p>
    <w:p>
      <w:pPr>
        <w:pStyle w:val="ListParagraph"/>
        <w:numPr>
          <w:ilvl w:val="0"/>
          <w:numId w:val="2"/>
        </w:numPr>
      </w:pPr>
      <w:r>
        <w:t xml:space="preserve">HR policies and handbook</w:t>
      </w:r>
    </w:p>
    <w:p>
      <w:pPr>
        <w:pStyle w:val="ListParagraph"/>
        <w:numPr>
          <w:ilvl w:val="0"/>
          <w:numId w:val="2"/>
        </w:numPr>
      </w:pPr>
      <w:r>
        <w:t xml:space="preserve">Employment contracts</w:t>
      </w:r>
    </w:p>
    <w:p>
      <w:pPr>
        <w:pStyle w:val="Heading2"/>
      </w:pPr>
      <w:r>
        <w:t xml:space="preserve">13. Contracts</w:t>
      </w:r>
    </w:p>
    <w:p>
      <w:pPr>
        <w:pStyle w:val="ListParagraph"/>
        <w:numPr>
          <w:ilvl w:val="0"/>
          <w:numId w:val="2"/>
        </w:numPr>
      </w:pPr>
      <w:r>
        <w:t xml:space="preserve">Directors' contracts</w:t>
      </w:r>
    </w:p>
    <w:p>
      <w:pPr>
        <w:pStyle w:val="ListParagraph"/>
        <w:numPr>
          <w:ilvl w:val="0"/>
          <w:numId w:val="2"/>
        </w:numPr>
      </w:pPr>
      <w:r>
        <w:t xml:space="preserve">Customer contracts</w:t>
      </w:r>
    </w:p>
    <w:p>
      <w:pPr>
        <w:pStyle w:val="ListParagraph"/>
        <w:numPr>
          <w:ilvl w:val="0"/>
          <w:numId w:val="2"/>
        </w:numPr>
      </w:pPr>
      <w:r>
        <w:t xml:space="preserve">Supplier contracts</w:t>
      </w:r>
    </w:p>
    <w:p>
      <w:pPr>
        <w:pStyle w:val="ListParagraph"/>
        <w:numPr>
          <w:ilvl w:val="0"/>
          <w:numId w:val="2"/>
        </w:numPr>
      </w:pPr>
      <w:r>
        <w:t xml:space="preserve">Employee contracts</w:t>
      </w:r>
    </w:p>
    <w:p>
      <w:r>
        <w:br w:type="page"/>
      </w:r>
    </w:p>
    <w:p>
      <w:pPr>
        <w:pStyle w:val="Heading1"/>
      </w:pPr>
      <w:r>
        <w:t xml:space="preserve">10. Sources</w:t>
      </w:r>
    </w:p>
    <w:p>
      <w:pPr>
        <w:spacing w:after="200"/>
      </w:pPr>
      <w:r>
        <w:t xml:space="preserve">This Evidence Appendix draws on the following authoritative sources for UK M&amp;A due diligence:</w:t>
      </w:r>
    </w:p>
    <w:p>
      <w:pPr>
        <w:pStyle w:val="ListParagraph"/>
        <w:numPr>
          <w:ilvl w:val="0"/>
          <w:numId w:val="2"/>
        </w:numPr>
      </w:pPr>
      <w:r>
        <w:t xml:space="preserve">ICAEW Financial Due Diligence Guideline (2024)</w:t>
      </w:r>
    </w:p>
    <w:p>
      <w:pPr>
        <w:pStyle w:val="ListParagraph"/>
        <w:numPr>
          <w:ilvl w:val="0"/>
          <w:numId w:val="2"/>
        </w:numPr>
      </w:pPr>
      <w:r>
        <w:t xml:space="preserve">ICAEW Commercial Due Diligence Guideline (2025)</w:t>
      </w:r>
    </w:p>
    <w:p>
      <w:pPr>
        <w:pStyle w:val="ListParagraph"/>
        <w:numPr>
          <w:ilvl w:val="0"/>
          <w:numId w:val="2"/>
        </w:numPr>
      </w:pPr>
      <w:r>
        <w:t xml:space="preserve">Baker McKenzie UK Private M&amp;A Guide</w:t>
      </w:r>
    </w:p>
    <w:p>
      <w:pPr>
        <w:pStyle w:val="ListParagraph"/>
        <w:numPr>
          <w:ilvl w:val="0"/>
          <w:numId w:val="2"/>
        </w:numPr>
      </w:pPr>
      <w:r>
        <w:t xml:space="preserve">EY Private Equity Exit Readiness Study (2025)</w:t>
      </w:r>
    </w:p>
    <w:p>
      <w:pPr>
        <w:pStyle w:val="ListParagraph"/>
        <w:numPr>
          <w:ilvl w:val="0"/>
          <w:numId w:val="2"/>
        </w:numPr>
      </w:pPr>
      <w:r>
        <w:t xml:space="preserve">KPMG ESG Due Diligence Study (2024)</w:t>
      </w:r>
    </w:p>
    <w:p>
      <w:pPr>
        <w:pStyle w:val="ListParagraph"/>
        <w:numPr>
          <w:ilvl w:val="0"/>
          <w:numId w:val="2"/>
        </w:numPr>
      </w:pPr>
      <w:r>
        <w:t xml:space="preserve">Deloitte UK Exit Readiness Framework</w:t>
      </w:r>
    </w:p>
    <w:p>
      <w:pPr>
        <w:pStyle w:val="ListParagraph"/>
        <w:numPr>
          <w:ilvl w:val="0"/>
          <w:numId w:val="2"/>
        </w:numPr>
      </w:pPr>
      <w:r>
        <w:t xml:space="preserve">CMMI Institute Capability Maturity Model (2023)</w:t>
      </w:r>
    </w:p>
    <w:p>
      <w:pPr>
        <w:pStyle w:val="ListParagraph"/>
        <w:numPr>
          <w:ilvl w:val="0"/>
          <w:numId w:val="2"/>
        </w:numPr>
      </w:pPr>
      <w:r>
        <w:t xml:space="preserve">Dealsuite M&amp;A Monitor UK&amp;I (H1 2024/2025)</w:t>
      </w:r>
    </w:p>
    <w:p>
      <w:pPr>
        <w:pStyle w:val="ListParagraph"/>
        <w:numPr>
          <w:ilvl w:val="0"/>
          <w:numId w:val="2"/>
        </w:numPr>
      </w:pPr>
      <w:r>
        <w:t xml:space="preserve">UK SME Sale Readiness Assessment Framework (v2.0)</w:t>
      </w:r>
    </w:p>
    <w:p>
      <w:pPr>
        <w:pStyle w:val="ListParagraph"/>
        <w:numPr>
          <w:ilvl w:val="0"/>
          <w:numId w:val="2"/>
        </w:numPr>
      </w:pPr>
      <w:r>
        <w:t xml:space="preserve">SME Sale Readiness Self-Assessment Matrix</w:t>
      </w:r>
    </w:p>
    <w:p>
      <w:pPr>
        <w:pStyle w:val="ListParagraph"/>
        <w:numPr>
          <w:ilvl w:val="0"/>
          <w:numId w:val="2"/>
        </w:numPr>
      </w:pPr>
      <w:r>
        <w:t xml:space="preserve">VC Due Diligence Disclosure Checklist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SME Sale Readiness – Evidence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i/>
      <w:i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2025-12-30T14:48:58.689Z</dcterms:created>
  <dcterms:modified xsi:type="dcterms:W3CDTF">2025-12-30T14:48:58.690Z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