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EFD1" w14:textId="77777777" w:rsidR="00424535" w:rsidRDefault="00A613F3">
      <w:pPr>
        <w:pStyle w:val="Title"/>
      </w:pPr>
      <w:r>
        <w:t>SME Sale Readiness</w:t>
      </w:r>
    </w:p>
    <w:p w14:paraId="679B0355" w14:textId="77777777" w:rsidR="00424535" w:rsidRDefault="00A613F3">
      <w:pPr>
        <w:pStyle w:val="Title"/>
        <w:spacing w:after="300"/>
      </w:pPr>
      <w:r>
        <w:t>Self-Assessment Matrix</w:t>
      </w:r>
    </w:p>
    <w:p w14:paraId="40DBCEFD" w14:textId="77777777" w:rsidR="00424535" w:rsidRDefault="00A613F3">
      <w:pPr>
        <w:pStyle w:val="Heading1"/>
      </w:pPr>
      <w:r>
        <w:t>Purpose</w:t>
      </w:r>
    </w:p>
    <w:p w14:paraId="7CB3FFF3" w14:textId="77777777" w:rsidR="00496EDC" w:rsidRDefault="00A613F3">
      <w:pPr>
        <w:spacing w:after="120"/>
      </w:pPr>
      <w:r>
        <w:t>This matrix enables SME owners and their advisors to rapidly assess exit readiness across six critical domains. Each domain uses a 0-4 maturity scale where Level 0 represents significant gaps and Level 4 represents full transaction-readiness. The assessment is designed to be completed in 30-60 minutes and provides the foundation for developing a tailored improvement roadmap</w:t>
      </w:r>
      <w:r w:rsidR="00496EDC">
        <w:t xml:space="preserve"> in tandem with an experienced M&amp;A advisor. </w:t>
      </w:r>
    </w:p>
    <w:p w14:paraId="4BA08418" w14:textId="7AAAF486" w:rsidR="00424535" w:rsidRDefault="00496EDC">
      <w:pPr>
        <w:spacing w:after="120"/>
      </w:pPr>
      <w:r>
        <w:t>In many cases, with the support of an experienced advisor, discovered weaknesses can be mitigated or built into the growth story in a way that will reduce the impact on valuation or transaction friction. Experienced advisors will also know what different types of buyers will prioritise, reducing needless effort.</w:t>
      </w:r>
    </w:p>
    <w:p w14:paraId="67F871CB" w14:textId="7129D0D1" w:rsidR="00424535" w:rsidRDefault="00A613F3">
      <w:pPr>
        <w:spacing w:after="200"/>
      </w:pPr>
      <w:r>
        <w:rPr>
          <w:b/>
          <w:bCs/>
        </w:rPr>
        <w:t xml:space="preserve">Key Principle: </w:t>
      </w:r>
      <w:r>
        <w:t>Transparency over perfection. A business that understands and documents its weaknesses is more valuable than one with undiscovered problems. Buyers and their advisors will find issues during due diligence; the question is whether the vendor knew about them first</w:t>
      </w:r>
      <w:r w:rsidR="00496EDC">
        <w:t xml:space="preserve"> and has taken proactive steps to explain the situation or mitigate</w:t>
      </w:r>
      <w:r>
        <w:t>.</w:t>
      </w:r>
    </w:p>
    <w:p w14:paraId="41327A39" w14:textId="77777777" w:rsidR="00424535" w:rsidRDefault="00A613F3">
      <w:pPr>
        <w:pStyle w:val="Heading1"/>
      </w:pPr>
      <w:r>
        <w:t>How to Use This Matrix</w:t>
      </w:r>
    </w:p>
    <w:p w14:paraId="4887B1C0" w14:textId="77777777" w:rsidR="00424535" w:rsidRDefault="00A613F3">
      <w:pPr>
        <w:spacing w:after="80"/>
      </w:pPr>
      <w:r>
        <w:t>1. Read each domain's definitions carefully, starting from Level 0.</w:t>
      </w:r>
    </w:p>
    <w:p w14:paraId="18BAF2D0" w14:textId="77777777" w:rsidR="00424535" w:rsidRDefault="00A613F3">
      <w:pPr>
        <w:spacing w:after="80"/>
      </w:pPr>
      <w:r>
        <w:t>2. Identify the highest level where ALL criteria are genuinely met (partial compliance = lower level).</w:t>
      </w:r>
    </w:p>
    <w:p w14:paraId="5701C3CB" w14:textId="77777777" w:rsidR="00424535" w:rsidRDefault="00A613F3">
      <w:pPr>
        <w:spacing w:after="80"/>
      </w:pPr>
      <w:r>
        <w:t>3. Record your current level and target level in the scoring summary.</w:t>
      </w:r>
    </w:p>
    <w:p w14:paraId="79C11F5B" w14:textId="77777777" w:rsidR="00424535" w:rsidRDefault="00A613F3">
      <w:pPr>
        <w:spacing w:after="80"/>
      </w:pPr>
      <w:r>
        <w:t>4. Use the results with an M&amp;A advisor to develop a prioritised improvement plan.</w:t>
      </w:r>
    </w:p>
    <w:p w14:paraId="00DCD362" w14:textId="77777777" w:rsidR="00424535" w:rsidRDefault="00A613F3">
      <w:pPr>
        <w:spacing w:after="200"/>
      </w:pPr>
      <w:r>
        <w:t>5. Re-assess quarterly to track progress and adjust priorities.</w:t>
      </w:r>
    </w:p>
    <w:p w14:paraId="32A60AAE" w14:textId="77777777" w:rsidR="00424535" w:rsidRDefault="00A613F3">
      <w:pPr>
        <w:pStyle w:val="Heading1"/>
      </w:pPr>
      <w:r>
        <w:t>Minimum Standards by Valuation Tier</w:t>
      </w:r>
    </w:p>
    <w:p w14:paraId="26F471E8" w14:textId="77777777" w:rsidR="00424535" w:rsidRDefault="00A613F3">
      <w:pPr>
        <w:spacing w:after="120"/>
      </w:pPr>
      <w:r>
        <w:t>Different transaction sizes attract different buyer expectations. Use this table to understand the baseline requirements for your target valuation: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1638"/>
        <w:gridCol w:w="1465"/>
        <w:gridCol w:w="1199"/>
      </w:tblGrid>
      <w:tr w:rsidR="00424535" w14:paraId="04B6D884" w14:textId="77777777"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AC29535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Valuation Tier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E2CBC2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Typical EBITDA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8AFCE32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 Level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8627F0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Level</w:t>
            </w:r>
          </w:p>
        </w:tc>
      </w:tr>
      <w:tr w:rsidR="00424535" w14:paraId="1088F3BA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9CE783" w14:textId="77777777" w:rsidR="00424535" w:rsidRDefault="00A613F3">
            <w:r>
              <w:rPr>
                <w:sz w:val="20"/>
                <w:szCs w:val="20"/>
              </w:rPr>
              <w:t>Pre-revenue / Seed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6A8933" w14:textId="77777777" w:rsidR="00424535" w:rsidRDefault="00A613F3">
            <w:pPr>
              <w:jc w:val="center"/>
            </w:pPr>
            <w:r>
              <w:rPr>
                <w:sz w:val="20"/>
                <w:szCs w:val="20"/>
              </w:rPr>
              <w:t>Negative / &lt;£200k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</w:tcPr>
          <w:p w14:paraId="551E1FB3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 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7FB2FC60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 2</w:t>
            </w:r>
          </w:p>
        </w:tc>
      </w:tr>
      <w:tr w:rsidR="00424535" w14:paraId="5EB10616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FADBFE" w14:textId="77777777" w:rsidR="00424535" w:rsidRDefault="00A613F3">
            <w:r>
              <w:rPr>
                <w:sz w:val="20"/>
                <w:szCs w:val="20"/>
              </w:rPr>
              <w:t>~£5m Valuation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D68CAB" w14:textId="77777777" w:rsidR="00424535" w:rsidRDefault="00A613F3">
            <w:pPr>
              <w:jc w:val="center"/>
            </w:pPr>
            <w:r>
              <w:rPr>
                <w:sz w:val="20"/>
                <w:szCs w:val="20"/>
              </w:rPr>
              <w:t>£500k - £1.5m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5BDF5D74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 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2311031C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 3</w:t>
            </w:r>
          </w:p>
        </w:tc>
      </w:tr>
      <w:tr w:rsidR="00424535" w14:paraId="01E8B0E6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436DAE" w14:textId="77777777" w:rsidR="00424535" w:rsidRDefault="00A613F3">
            <w:r>
              <w:rPr>
                <w:sz w:val="20"/>
                <w:szCs w:val="20"/>
              </w:rPr>
              <w:t>Up to £30m Valuation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D3976F" w14:textId="77777777" w:rsidR="00424535" w:rsidRDefault="00A613F3">
            <w:pPr>
              <w:jc w:val="center"/>
            </w:pPr>
            <w:r>
              <w:rPr>
                <w:sz w:val="20"/>
                <w:szCs w:val="20"/>
              </w:rPr>
              <w:t>£3m - £6m+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19655465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 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</w:tcPr>
          <w:p w14:paraId="5F635CB7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 4</w:t>
            </w:r>
          </w:p>
        </w:tc>
      </w:tr>
    </w:tbl>
    <w:p w14:paraId="56D727EB" w14:textId="77777777" w:rsidR="00424535" w:rsidRDefault="00A613F3">
      <w:r>
        <w:br w:type="page"/>
      </w:r>
    </w:p>
    <w:p w14:paraId="17233D57" w14:textId="77777777" w:rsidR="00424535" w:rsidRDefault="00A613F3">
      <w:pPr>
        <w:pStyle w:val="Heading1"/>
      </w:pPr>
      <w:r>
        <w:lastRenderedPageBreak/>
        <w:t>1. Financial</w:t>
      </w:r>
    </w:p>
    <w:p w14:paraId="3DF4EA5A" w14:textId="77777777" w:rsidR="00424535" w:rsidRDefault="00A613F3">
      <w:pPr>
        <w:spacing w:after="120"/>
      </w:pPr>
      <w:r>
        <w:rPr>
          <w:b/>
          <w:bCs/>
        </w:rPr>
        <w:t xml:space="preserve">Scope: </w:t>
      </w:r>
      <w:r>
        <w:t>Quality, accuracy, and completeness of financial information, records, and reporting systems.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8360"/>
      </w:tblGrid>
      <w:tr w:rsidR="00424535" w14:paraId="7CCC4C9D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7CF5DED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9534821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B02FDB8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Self-Assessment Definition</w:t>
            </w:r>
          </w:p>
        </w:tc>
      </w:tr>
      <w:tr w:rsidR="00424535" w14:paraId="7B4049CF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  <w:vAlign w:val="center"/>
          </w:tcPr>
          <w:p w14:paraId="44A41BE5" w14:textId="77777777" w:rsidR="00424535" w:rsidRDefault="00A613F3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  <w:vAlign w:val="center"/>
          </w:tcPr>
          <w:p w14:paraId="66CEF994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Incomplete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</w:tcPr>
          <w:p w14:paraId="2D49975B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Financial records are missing, inconsistent, or maintained only for basic tax compliance with no management accounts or cash flow visibility.</w:t>
            </w:r>
          </w:p>
        </w:tc>
      </w:tr>
      <w:tr w:rsidR="00424535" w14:paraId="216B25C1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  <w:vAlign w:val="center"/>
          </w:tcPr>
          <w:p w14:paraId="6C5C7C8A" w14:textId="77777777" w:rsidR="00424535" w:rsidRDefault="00A613F3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  <w:vAlign w:val="center"/>
          </w:tcPr>
          <w:p w14:paraId="33229B2B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</w:tcPr>
          <w:p w14:paraId="51A77CCA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Annual statutory accounts are filed on time with basic bookkeeping in place, but management accounts are irregular and EBITDA cannot be reliably calculated.</w:t>
            </w:r>
          </w:p>
        </w:tc>
      </w:tr>
      <w:tr w:rsidR="00424535" w14:paraId="7EF91D4B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vAlign w:val="center"/>
          </w:tcPr>
          <w:p w14:paraId="269424D2" w14:textId="77777777" w:rsidR="00424535" w:rsidRDefault="00A613F3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vAlign w:val="center"/>
          </w:tcPr>
          <w:p w14:paraId="1C555F9D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Defined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1241BCEA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Monthly management accounts are produced with a recognisable P&amp;L and balance sheet, but reconciliations are incomplete and working capital is not actively monitored.</w:t>
            </w:r>
          </w:p>
        </w:tc>
      </w:tr>
      <w:tr w:rsidR="00424535" w14:paraId="4882EDE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vAlign w:val="center"/>
          </w:tcPr>
          <w:p w14:paraId="35E5C09B" w14:textId="77777777" w:rsidR="00424535" w:rsidRDefault="00A613F3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vAlign w:val="center"/>
          </w:tcPr>
          <w:p w14:paraId="4A1AC59C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Managed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001BE092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 xml:space="preserve">Audited accounts (or accounts reviewed by a reputable firm) are available for 3+ years with monthly MI, normalised EBITDA is </w:t>
            </w:r>
            <w:proofErr w:type="gramStart"/>
            <w:r>
              <w:rPr>
                <w:sz w:val="20"/>
                <w:szCs w:val="20"/>
              </w:rPr>
              <w:t>understood, and</w:t>
            </w:r>
            <w:proofErr w:type="gramEnd"/>
            <w:r>
              <w:rPr>
                <w:sz w:val="20"/>
                <w:szCs w:val="20"/>
              </w:rPr>
              <w:t xml:space="preserve"> working capital patterns are documented.</w:t>
            </w:r>
          </w:p>
        </w:tc>
      </w:tr>
      <w:tr w:rsidR="00424535" w14:paraId="23A46D0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14:paraId="61EE4901" w14:textId="77777777" w:rsidR="00424535" w:rsidRDefault="00A613F3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14:paraId="0D73A487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Optimised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</w:tcPr>
          <w:p w14:paraId="287B7782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Vendor financial due diligence is prepared, a board-approved financial model exists with scenario analysis, tax clearances are obtained, and locked-box mechanics are ready.</w:t>
            </w:r>
          </w:p>
        </w:tc>
      </w:tr>
    </w:tbl>
    <w:p w14:paraId="75F66A5F" w14:textId="77777777" w:rsidR="00424535" w:rsidRDefault="00424535">
      <w:pPr>
        <w:spacing w:after="200"/>
      </w:pPr>
    </w:p>
    <w:p w14:paraId="095BA265" w14:textId="77777777" w:rsidR="00424535" w:rsidRDefault="00A613F3">
      <w:pPr>
        <w:pStyle w:val="Heading1"/>
      </w:pPr>
      <w:r>
        <w:t>2. Legal &amp; Corporate</w:t>
      </w:r>
    </w:p>
    <w:p w14:paraId="1B71B51D" w14:textId="77777777" w:rsidR="00424535" w:rsidRDefault="00A613F3">
      <w:pPr>
        <w:spacing w:after="120"/>
      </w:pPr>
      <w:r>
        <w:rPr>
          <w:b/>
          <w:bCs/>
        </w:rPr>
        <w:t xml:space="preserve">Scope: </w:t>
      </w:r>
      <w:r>
        <w:t>Governance structures, statutory compliance, contracts, IP ownership, and corporate housekeeping.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8360"/>
      </w:tblGrid>
      <w:tr w:rsidR="00424535" w14:paraId="1E60D508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3DEAC1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63EA6C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224F1E6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Self-Assessment Definition</w:t>
            </w:r>
          </w:p>
        </w:tc>
      </w:tr>
      <w:tr w:rsidR="00424535" w14:paraId="217B5908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  <w:vAlign w:val="center"/>
          </w:tcPr>
          <w:p w14:paraId="03D94A88" w14:textId="77777777" w:rsidR="00424535" w:rsidRDefault="00A613F3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  <w:vAlign w:val="center"/>
          </w:tcPr>
          <w:p w14:paraId="420D06D8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Incomplete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</w:tcPr>
          <w:p w14:paraId="08CC523B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Statutory registers are missing or out of date, share ownership is unclear, and key contracts (if any exist) are verbal or unsigned.</w:t>
            </w:r>
          </w:p>
        </w:tc>
      </w:tr>
      <w:tr w:rsidR="00424535" w14:paraId="6B5CA537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  <w:vAlign w:val="center"/>
          </w:tcPr>
          <w:p w14:paraId="14135935" w14:textId="77777777" w:rsidR="00424535" w:rsidRDefault="00A613F3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  <w:vAlign w:val="center"/>
          </w:tcPr>
          <w:p w14:paraId="4551FCCD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</w:tcPr>
          <w:p w14:paraId="755C274D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Companies House filings are current and basic articles of association exist, but the minute book is incomplete and there is no contract register.</w:t>
            </w:r>
          </w:p>
        </w:tc>
      </w:tr>
      <w:tr w:rsidR="00424535" w14:paraId="79152C2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vAlign w:val="center"/>
          </w:tcPr>
          <w:p w14:paraId="5C3B0CB7" w14:textId="77777777" w:rsidR="00424535" w:rsidRDefault="00A613F3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vAlign w:val="center"/>
          </w:tcPr>
          <w:p w14:paraId="6063AB4F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Defined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6AAFE5F1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A contract register exists covering key customers and suppliers, IP ownership is documented at company level, but change-of-control clauses are not identified.</w:t>
            </w:r>
          </w:p>
        </w:tc>
      </w:tr>
      <w:tr w:rsidR="00424535" w14:paraId="67C494C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vAlign w:val="center"/>
          </w:tcPr>
          <w:p w14:paraId="3C4B0F89" w14:textId="77777777" w:rsidR="00424535" w:rsidRDefault="00A613F3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vAlign w:val="center"/>
          </w:tcPr>
          <w:p w14:paraId="269FC5ED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Managed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5A78CFB1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Full statutory books are maintained, all board minutes are complete, material contracts are catalogued with change-of-control clauses flagged, and IP chain of title is verified.</w:t>
            </w:r>
          </w:p>
        </w:tc>
      </w:tr>
      <w:tr w:rsidR="00424535" w14:paraId="57594D1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14:paraId="7B8CDAE7" w14:textId="77777777" w:rsidR="00424535" w:rsidRDefault="00A613F3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14:paraId="65B6C1BB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Optimised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</w:tcPr>
          <w:p w14:paraId="2F331FD7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Company secretarial audit is complete, legal due diligence pack is prepared, IP freedom-to-operate is confirmed, and disclosure letter drafting can commence immediately.</w:t>
            </w:r>
          </w:p>
        </w:tc>
      </w:tr>
    </w:tbl>
    <w:p w14:paraId="17EEC72B" w14:textId="77777777" w:rsidR="00424535" w:rsidRDefault="00A613F3">
      <w:r>
        <w:br w:type="page"/>
      </w:r>
    </w:p>
    <w:p w14:paraId="3E5B7A5D" w14:textId="77777777" w:rsidR="00424535" w:rsidRDefault="00A613F3">
      <w:pPr>
        <w:pStyle w:val="Heading1"/>
      </w:pPr>
      <w:r>
        <w:lastRenderedPageBreak/>
        <w:t>3. Commercial</w:t>
      </w:r>
    </w:p>
    <w:p w14:paraId="56720F09" w14:textId="77777777" w:rsidR="00424535" w:rsidRDefault="00A613F3">
      <w:pPr>
        <w:spacing w:after="120"/>
      </w:pPr>
      <w:r>
        <w:rPr>
          <w:b/>
          <w:bCs/>
        </w:rPr>
        <w:t xml:space="preserve">Scope: </w:t>
      </w:r>
      <w:r>
        <w:t>Revenue quality, customer relationships, market position, pipeline visibility, and growth prospects.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8360"/>
      </w:tblGrid>
      <w:tr w:rsidR="00424535" w14:paraId="070FC635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0B7B085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FBDFDE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6C823BC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Self-Assessment Definition</w:t>
            </w:r>
          </w:p>
        </w:tc>
      </w:tr>
      <w:tr w:rsidR="00424535" w14:paraId="592CAFE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  <w:vAlign w:val="center"/>
          </w:tcPr>
          <w:p w14:paraId="033389BE" w14:textId="77777777" w:rsidR="00424535" w:rsidRDefault="00A613F3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  <w:vAlign w:val="center"/>
          </w:tcPr>
          <w:p w14:paraId="6B37F11F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Incomplete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</w:tcPr>
          <w:p w14:paraId="5C2A2DD2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Revenue is not tracked by customer or product, there is no CRM or sales pipeline visibility, and the top 5 customers cannot be readily identified.</w:t>
            </w:r>
          </w:p>
        </w:tc>
      </w:tr>
      <w:tr w:rsidR="00424535" w14:paraId="1B7C234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  <w:vAlign w:val="center"/>
          </w:tcPr>
          <w:p w14:paraId="2265DA63" w14:textId="77777777" w:rsidR="00424535" w:rsidRDefault="00A613F3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  <w:vAlign w:val="center"/>
          </w:tcPr>
          <w:p w14:paraId="3877BFCA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</w:tcPr>
          <w:p w14:paraId="65056838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Revenue by customer is known and a basic sales tracking system exists, but customer concentration and churn rates are not measured.</w:t>
            </w:r>
          </w:p>
        </w:tc>
      </w:tr>
      <w:tr w:rsidR="00424535" w14:paraId="4838AF3D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vAlign w:val="center"/>
          </w:tcPr>
          <w:p w14:paraId="04615892" w14:textId="77777777" w:rsidR="00424535" w:rsidRDefault="00A613F3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vAlign w:val="center"/>
          </w:tcPr>
          <w:p w14:paraId="258F985B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Defined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10D4A132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Revenue is analysed by customer cohort with some recurring/contracted revenue identified, but lifetime value, acquisition costs, and pipeline conversion rates are not calculated.</w:t>
            </w:r>
          </w:p>
        </w:tc>
      </w:tr>
      <w:tr w:rsidR="00424535" w14:paraId="2065998B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vAlign w:val="center"/>
          </w:tcPr>
          <w:p w14:paraId="41A79A37" w14:textId="77777777" w:rsidR="00424535" w:rsidRDefault="00A613F3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vAlign w:val="center"/>
          </w:tcPr>
          <w:p w14:paraId="55D40EC4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Managed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4347466D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Customer concentration is below 30%, cohort retention data is available, contracted revenue exceeds 40%, and KPIs are benchmarked against industry standards.</w:t>
            </w:r>
          </w:p>
        </w:tc>
      </w:tr>
      <w:tr w:rsidR="00424535" w14:paraId="02F907D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14:paraId="74C02A15" w14:textId="77777777" w:rsidR="00424535" w:rsidRDefault="00A613F3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14:paraId="0B1B5780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Optimised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</w:tcPr>
          <w:p w14:paraId="32F88452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Commercial due diligence pack is prepared with full customer stratification, LTV/CAC analysis, market positioning study, and demonstrable competitive moat.</w:t>
            </w:r>
          </w:p>
        </w:tc>
      </w:tr>
    </w:tbl>
    <w:p w14:paraId="26ADC873" w14:textId="77777777" w:rsidR="00424535" w:rsidRDefault="00424535">
      <w:pPr>
        <w:spacing w:after="200"/>
      </w:pPr>
    </w:p>
    <w:p w14:paraId="73EFB05B" w14:textId="77777777" w:rsidR="00424535" w:rsidRDefault="00A613F3">
      <w:pPr>
        <w:pStyle w:val="Heading1"/>
      </w:pPr>
      <w:r>
        <w:t>4. Operational</w:t>
      </w:r>
    </w:p>
    <w:p w14:paraId="4D4D75F7" w14:textId="77777777" w:rsidR="00424535" w:rsidRDefault="00A613F3">
      <w:pPr>
        <w:spacing w:after="120"/>
      </w:pPr>
      <w:r>
        <w:rPr>
          <w:b/>
          <w:bCs/>
        </w:rPr>
        <w:t xml:space="preserve">Scope: </w:t>
      </w:r>
      <w:r>
        <w:t>Business processes, systems, supply chain, technology infrastructure, and operational resilience.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8360"/>
      </w:tblGrid>
      <w:tr w:rsidR="00424535" w14:paraId="25208C1F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FB35594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DE6E83C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67F4A0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Self-Assessment Definition</w:t>
            </w:r>
          </w:p>
        </w:tc>
      </w:tr>
      <w:tr w:rsidR="00424535" w14:paraId="1982AE5B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  <w:vAlign w:val="center"/>
          </w:tcPr>
          <w:p w14:paraId="6CAC4D9C" w14:textId="77777777" w:rsidR="00424535" w:rsidRDefault="00A613F3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  <w:vAlign w:val="center"/>
          </w:tcPr>
          <w:p w14:paraId="292A5D66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Incomplete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</w:tcPr>
          <w:p w14:paraId="594DD21E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Operations depend on founder knowledge with no documented processes, critical systems have no backup, and supplier relationships are undocumented.</w:t>
            </w:r>
          </w:p>
        </w:tc>
      </w:tr>
      <w:tr w:rsidR="00424535" w14:paraId="74F79C31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  <w:vAlign w:val="center"/>
          </w:tcPr>
          <w:p w14:paraId="45678A49" w14:textId="77777777" w:rsidR="00424535" w:rsidRDefault="00A613F3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  <w:vAlign w:val="center"/>
          </w:tcPr>
          <w:p w14:paraId="3030F953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</w:tcPr>
          <w:p w14:paraId="61D9A0B8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Core operational processes exist (even if undocumented), basic IT systems are in place, and primary suppliers are identified but not assessed for risk.</w:t>
            </w:r>
          </w:p>
        </w:tc>
      </w:tr>
      <w:tr w:rsidR="00424535" w14:paraId="57BD21D7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vAlign w:val="center"/>
          </w:tcPr>
          <w:p w14:paraId="5A2FEC79" w14:textId="77777777" w:rsidR="00424535" w:rsidRDefault="00A613F3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vAlign w:val="center"/>
          </w:tcPr>
          <w:p w14:paraId="7B8FD4B7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Defined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57E06CDC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Key processes are documented in SOPs, IT systems have basic disaster recovery, and a supplier register exists, but capacity constraints and single-point failures are not mapped.</w:t>
            </w:r>
          </w:p>
        </w:tc>
      </w:tr>
      <w:tr w:rsidR="00424535" w14:paraId="247776C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vAlign w:val="center"/>
          </w:tcPr>
          <w:p w14:paraId="0DC820DB" w14:textId="77777777" w:rsidR="00424535" w:rsidRDefault="00A613F3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vAlign w:val="center"/>
          </w:tcPr>
          <w:p w14:paraId="51A12CAD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Managed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2F3BCEC0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Operations run independently of founders, IT is resilient with tested backups, supply chain risks are identified and mitigated, and capacity headroom is understood.</w:t>
            </w:r>
          </w:p>
        </w:tc>
      </w:tr>
      <w:tr w:rsidR="00424535" w14:paraId="069885E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14:paraId="1614F176" w14:textId="77777777" w:rsidR="00424535" w:rsidRDefault="00A613F3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14:paraId="3C7FF9AF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Optimised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</w:tcPr>
          <w:p w14:paraId="149A82CC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Operational due diligence pack is prepared, scalability is demonstrated, technology stack is documented and secure, and integration planning inputs are ready.</w:t>
            </w:r>
          </w:p>
        </w:tc>
      </w:tr>
    </w:tbl>
    <w:p w14:paraId="2454E44D" w14:textId="77777777" w:rsidR="00424535" w:rsidRDefault="00A613F3">
      <w:r>
        <w:br w:type="page"/>
      </w:r>
    </w:p>
    <w:p w14:paraId="67C73676" w14:textId="77777777" w:rsidR="00424535" w:rsidRDefault="00A613F3">
      <w:pPr>
        <w:pStyle w:val="Heading1"/>
      </w:pPr>
      <w:r>
        <w:lastRenderedPageBreak/>
        <w:t>5. People &amp; Organisation</w:t>
      </w:r>
    </w:p>
    <w:p w14:paraId="60813A8F" w14:textId="77777777" w:rsidR="00424535" w:rsidRDefault="00A613F3">
      <w:pPr>
        <w:spacing w:after="120"/>
      </w:pPr>
      <w:r>
        <w:rPr>
          <w:b/>
          <w:bCs/>
        </w:rPr>
        <w:t xml:space="preserve">Scope: </w:t>
      </w:r>
      <w:r>
        <w:t>Management depth, key person risk, employment compliance, culture, and succession readiness.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8360"/>
      </w:tblGrid>
      <w:tr w:rsidR="00424535" w14:paraId="65F6AC40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8B07D27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BE2F04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C1E6ADE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Self-Assessment Definition</w:t>
            </w:r>
          </w:p>
        </w:tc>
      </w:tr>
      <w:tr w:rsidR="00424535" w14:paraId="3003B4AF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  <w:vAlign w:val="center"/>
          </w:tcPr>
          <w:p w14:paraId="433AF8C7" w14:textId="77777777" w:rsidR="00424535" w:rsidRDefault="00A613F3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  <w:vAlign w:val="center"/>
          </w:tcPr>
          <w:p w14:paraId="4866C8DA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Incomplete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</w:tcPr>
          <w:p w14:paraId="2A3435E1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The founder is essential to daily operations with no management team, employment contracts are missing or non-compliant, and no org chart exists.</w:t>
            </w:r>
          </w:p>
        </w:tc>
      </w:tr>
      <w:tr w:rsidR="00424535" w14:paraId="04FD196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  <w:vAlign w:val="center"/>
          </w:tcPr>
          <w:p w14:paraId="19375D0B" w14:textId="77777777" w:rsidR="00424535" w:rsidRDefault="00A613F3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  <w:vAlign w:val="center"/>
          </w:tcPr>
          <w:p w14:paraId="7BF91CB3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</w:tcPr>
          <w:p w14:paraId="1ECEF797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Employment contracts exist for most staff and key roles are identified, but the founder remains the sole decision-maker and there is no succession plan.</w:t>
            </w:r>
          </w:p>
        </w:tc>
      </w:tr>
      <w:tr w:rsidR="00424535" w14:paraId="096CA16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vAlign w:val="center"/>
          </w:tcPr>
          <w:p w14:paraId="7CC33038" w14:textId="77777777" w:rsidR="00424535" w:rsidRDefault="00A613F3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vAlign w:val="center"/>
          </w:tcPr>
          <w:p w14:paraId="671DC4F5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Defined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7C19EB81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A functional org chart exists with at least one capable deputy, employment records are mostly compliant, but key person dependencies are documented but not mitigated.</w:t>
            </w:r>
          </w:p>
        </w:tc>
      </w:tr>
      <w:tr w:rsidR="00424535" w14:paraId="454D4D1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vAlign w:val="center"/>
          </w:tcPr>
          <w:p w14:paraId="27790234" w14:textId="77777777" w:rsidR="00424535" w:rsidRDefault="00A613F3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vAlign w:val="center"/>
          </w:tcPr>
          <w:p w14:paraId="68563C30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Managed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4F4FD939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A second-tier management team is in place and empowered, key person risk is reduced through cross-training, employment compliance is verified, and retention incentives are considered.</w:t>
            </w:r>
          </w:p>
        </w:tc>
      </w:tr>
      <w:tr w:rsidR="00424535" w14:paraId="2003314E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14:paraId="4193BFC7" w14:textId="77777777" w:rsidR="00424535" w:rsidRDefault="00A613F3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14:paraId="5C310D42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Optimised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</w:tcPr>
          <w:p w14:paraId="60D68041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Management team is transaction-ready with retention packages designed, full HR due diligence pack is prepared, and the business can operate through a 12-week deal process without founder involvement.</w:t>
            </w:r>
          </w:p>
        </w:tc>
      </w:tr>
    </w:tbl>
    <w:p w14:paraId="35874232" w14:textId="77777777" w:rsidR="00424535" w:rsidRDefault="00424535">
      <w:pPr>
        <w:spacing w:after="200"/>
      </w:pPr>
    </w:p>
    <w:p w14:paraId="21034F3C" w14:textId="77777777" w:rsidR="00424535" w:rsidRDefault="00A613F3">
      <w:pPr>
        <w:pStyle w:val="Heading1"/>
      </w:pPr>
      <w:r>
        <w:t>6. ESG &amp; Risk</w:t>
      </w:r>
    </w:p>
    <w:p w14:paraId="170366D3" w14:textId="77777777" w:rsidR="00424535" w:rsidRDefault="00A613F3">
      <w:pPr>
        <w:spacing w:after="120"/>
      </w:pPr>
      <w:r>
        <w:rPr>
          <w:b/>
          <w:bCs/>
        </w:rPr>
        <w:t xml:space="preserve">Scope: </w:t>
      </w:r>
      <w:r>
        <w:t>Environmental impact, social responsibility, governance quality, regulatory compliance, and risk management.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8360"/>
      </w:tblGrid>
      <w:tr w:rsidR="00424535" w14:paraId="6490D043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88C5EB4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C1A061E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D6987F0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Self-Assessment Definition</w:t>
            </w:r>
          </w:p>
        </w:tc>
      </w:tr>
      <w:tr w:rsidR="00424535" w14:paraId="1EDAAC7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  <w:vAlign w:val="center"/>
          </w:tcPr>
          <w:p w14:paraId="22927E85" w14:textId="77777777" w:rsidR="00424535" w:rsidRDefault="00A613F3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  <w:vAlign w:val="center"/>
          </w:tcPr>
          <w:p w14:paraId="690C8889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Incomplete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BE4D5"/>
          </w:tcPr>
          <w:p w14:paraId="20DECFE8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No awareness of ESG requirements, compliance status is unknown, no risk register exists, and there is no data protection policy or incident response plan.</w:t>
            </w:r>
          </w:p>
        </w:tc>
      </w:tr>
      <w:tr w:rsidR="00424535" w14:paraId="4D411E91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  <w:vAlign w:val="center"/>
          </w:tcPr>
          <w:p w14:paraId="4617C32D" w14:textId="77777777" w:rsidR="00424535" w:rsidRDefault="00A613F3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  <w:vAlign w:val="center"/>
          </w:tcPr>
          <w:p w14:paraId="18A75CAF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699"/>
          </w:tcPr>
          <w:p w14:paraId="679B560D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 xml:space="preserve">Basic regulatory compliance is understood (health &amp; safety, GDPR basics), but there </w:t>
            </w:r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 xml:space="preserve"> no formal risk register and environmental impact has not been assessed.</w:t>
            </w:r>
          </w:p>
        </w:tc>
      </w:tr>
      <w:tr w:rsidR="00424535" w14:paraId="616E7DC8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vAlign w:val="center"/>
          </w:tcPr>
          <w:p w14:paraId="563E8574" w14:textId="77777777" w:rsidR="00424535" w:rsidRDefault="00A613F3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vAlign w:val="center"/>
          </w:tcPr>
          <w:p w14:paraId="379298BF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Defined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0DFA968E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A risk register is maintained, sector-specific regulatory requirements are documented (e.g., CQC, FCA), and basic ESG policies exist but are not actively monitored.</w:t>
            </w:r>
          </w:p>
        </w:tc>
      </w:tr>
      <w:tr w:rsidR="00424535" w14:paraId="69CF9501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vAlign w:val="center"/>
          </w:tcPr>
          <w:p w14:paraId="66DC4456" w14:textId="77777777" w:rsidR="00424535" w:rsidRDefault="00A613F3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vAlign w:val="center"/>
          </w:tcPr>
          <w:p w14:paraId="2B36798D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Managed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63E1D5AF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Material ESG risks are identified and mitigated, cyber security controls are documented and tested, regulatory compliance is audited, and insurance coverage is appropriate.</w:t>
            </w:r>
          </w:p>
        </w:tc>
      </w:tr>
      <w:tr w:rsidR="00424535" w14:paraId="7016F4BF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14:paraId="5B943FEC" w14:textId="77777777" w:rsidR="00424535" w:rsidRDefault="00A613F3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14:paraId="6165248A" w14:textId="77777777" w:rsidR="00424535" w:rsidRDefault="00A613F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Optimised</w:t>
            </w:r>
          </w:p>
        </w:tc>
        <w:tc>
          <w:tcPr>
            <w:tcW w:w="8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</w:tcPr>
          <w:p w14:paraId="003799E1" w14:textId="77777777" w:rsidR="00424535" w:rsidRDefault="00A613F3">
            <w:pPr>
              <w:spacing w:before="60" w:after="60"/>
            </w:pPr>
            <w:r>
              <w:rPr>
                <w:sz w:val="20"/>
                <w:szCs w:val="20"/>
              </w:rPr>
              <w:t>ESG due diligence pack is prepared, carbon footprint is measured, governance meets institutional investor expectations, and the business is ready for W&amp;I insurance underwriting.</w:t>
            </w:r>
          </w:p>
        </w:tc>
      </w:tr>
    </w:tbl>
    <w:p w14:paraId="3BB84371" w14:textId="77777777" w:rsidR="00424535" w:rsidRDefault="00A613F3">
      <w:r>
        <w:br w:type="page"/>
      </w:r>
    </w:p>
    <w:p w14:paraId="27001840" w14:textId="77777777" w:rsidR="00424535" w:rsidRDefault="00A613F3">
      <w:pPr>
        <w:pStyle w:val="Heading1"/>
      </w:pPr>
      <w:r>
        <w:lastRenderedPageBreak/>
        <w:t>Assessment Summary</w:t>
      </w:r>
    </w:p>
    <w:p w14:paraId="49AF0CB1" w14:textId="77777777" w:rsidR="00424535" w:rsidRDefault="00A613F3">
      <w:pPr>
        <w:spacing w:after="80"/>
      </w:pPr>
      <w:r>
        <w:rPr>
          <w:b/>
          <w:bCs/>
        </w:rPr>
        <w:t xml:space="preserve">Company Name: </w:t>
      </w:r>
      <w:r>
        <w:t>_________________________________</w:t>
      </w:r>
    </w:p>
    <w:p w14:paraId="5B86BA0A" w14:textId="77777777" w:rsidR="00424535" w:rsidRDefault="00A613F3">
      <w:pPr>
        <w:spacing w:after="80"/>
      </w:pPr>
      <w:r>
        <w:rPr>
          <w:b/>
          <w:bCs/>
        </w:rPr>
        <w:t xml:space="preserve">Assessment Date: </w:t>
      </w:r>
      <w:r>
        <w:t>_________________________________</w:t>
      </w:r>
    </w:p>
    <w:p w14:paraId="5A9C065F" w14:textId="77777777" w:rsidR="00424535" w:rsidRDefault="00A613F3">
      <w:pPr>
        <w:spacing w:after="80"/>
      </w:pPr>
      <w:r>
        <w:rPr>
          <w:b/>
          <w:bCs/>
        </w:rPr>
        <w:t xml:space="preserve">Completed By: </w:t>
      </w:r>
      <w:r>
        <w:t>_________________________________</w:t>
      </w:r>
    </w:p>
    <w:p w14:paraId="2EAD4434" w14:textId="77777777" w:rsidR="00424535" w:rsidRDefault="00A613F3">
      <w:pPr>
        <w:spacing w:after="200"/>
      </w:pPr>
      <w:r>
        <w:rPr>
          <w:b/>
          <w:bCs/>
        </w:rPr>
        <w:t xml:space="preserve">Target Valuation Tier: </w:t>
      </w:r>
      <w:r>
        <w:t>_________________________________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5"/>
        <w:gridCol w:w="1439"/>
        <w:gridCol w:w="1317"/>
        <w:gridCol w:w="1659"/>
      </w:tblGrid>
      <w:tr w:rsidR="00424535" w14:paraId="1055CE84" w14:textId="77777777"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81E42A0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BEED5C2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</w:rPr>
              <w:t>Current Level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48B40F4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</w:rPr>
              <w:t>Target Level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D47A371" w14:textId="77777777" w:rsidR="00424535" w:rsidRDefault="00A613F3">
            <w:pPr>
              <w:jc w:val="center"/>
            </w:pPr>
            <w:r>
              <w:rPr>
                <w:b/>
                <w:bCs/>
                <w:color w:val="FFFFFF"/>
              </w:rPr>
              <w:t>Priority Actions</w:t>
            </w:r>
          </w:p>
        </w:tc>
      </w:tr>
      <w:tr w:rsidR="00424535" w14:paraId="169F0FBE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E054BA" w14:textId="77777777" w:rsidR="00424535" w:rsidRDefault="00A613F3">
            <w:r>
              <w:rPr>
                <w:b/>
                <w:bCs/>
              </w:rPr>
              <w:t>Financial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1F34F2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3EE56D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F48BAB" w14:textId="77777777" w:rsidR="00424535" w:rsidRDefault="00424535"/>
        </w:tc>
      </w:tr>
      <w:tr w:rsidR="00424535" w14:paraId="2249D611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2B9FB9" w14:textId="77777777" w:rsidR="00424535" w:rsidRDefault="00A613F3">
            <w:r>
              <w:rPr>
                <w:b/>
                <w:bCs/>
              </w:rPr>
              <w:t>Legal &amp; Corporate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9B62C8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298620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0B29A8" w14:textId="77777777" w:rsidR="00424535" w:rsidRDefault="00424535"/>
        </w:tc>
      </w:tr>
      <w:tr w:rsidR="00424535" w14:paraId="095708AF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A62152" w14:textId="77777777" w:rsidR="00424535" w:rsidRDefault="00A613F3">
            <w:r>
              <w:rPr>
                <w:b/>
                <w:bCs/>
              </w:rPr>
              <w:t>Commercial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5903C8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F2E3F3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1FC861" w14:textId="77777777" w:rsidR="00424535" w:rsidRDefault="00424535"/>
        </w:tc>
      </w:tr>
      <w:tr w:rsidR="00424535" w14:paraId="6C29F367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F4D413" w14:textId="77777777" w:rsidR="00424535" w:rsidRDefault="00A613F3">
            <w:r>
              <w:rPr>
                <w:b/>
                <w:bCs/>
              </w:rPr>
              <w:t>Operational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78C713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7A0C94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415A17" w14:textId="77777777" w:rsidR="00424535" w:rsidRDefault="00424535"/>
        </w:tc>
      </w:tr>
      <w:tr w:rsidR="00424535" w14:paraId="1BF7FF2D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6BA876" w14:textId="77777777" w:rsidR="00424535" w:rsidRDefault="00A613F3">
            <w:r>
              <w:rPr>
                <w:b/>
                <w:bCs/>
              </w:rPr>
              <w:t>People &amp; Organisation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2A7C06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E4E51F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36A22B" w14:textId="77777777" w:rsidR="00424535" w:rsidRDefault="00424535"/>
        </w:tc>
      </w:tr>
      <w:tr w:rsidR="00424535" w14:paraId="65ADBE0E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0513A1" w14:textId="77777777" w:rsidR="00424535" w:rsidRDefault="00A613F3">
            <w:r>
              <w:rPr>
                <w:b/>
                <w:bCs/>
              </w:rPr>
              <w:t>ESG &amp; Risk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CEB665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380F4B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AF787B" w14:textId="77777777" w:rsidR="00424535" w:rsidRDefault="00424535"/>
        </w:tc>
      </w:tr>
      <w:tr w:rsidR="00424535" w14:paraId="398B0019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7E6E6"/>
          </w:tcPr>
          <w:p w14:paraId="556101D7" w14:textId="77777777" w:rsidR="00424535" w:rsidRDefault="00A613F3">
            <w:r>
              <w:rPr>
                <w:b/>
                <w:bCs/>
              </w:rPr>
              <w:t>Overall Score (Average)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7E6E6"/>
          </w:tcPr>
          <w:p w14:paraId="05907E62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7E6E6"/>
          </w:tcPr>
          <w:p w14:paraId="134D30F3" w14:textId="77777777" w:rsidR="00424535" w:rsidRDefault="0042453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7E6E6"/>
          </w:tcPr>
          <w:p w14:paraId="135B885C" w14:textId="77777777" w:rsidR="00424535" w:rsidRDefault="00424535"/>
        </w:tc>
      </w:tr>
    </w:tbl>
    <w:p w14:paraId="248F8E49" w14:textId="77777777" w:rsidR="00424535" w:rsidRDefault="00A613F3">
      <w:pPr>
        <w:pStyle w:val="Heading1"/>
        <w:spacing w:before="400"/>
      </w:pPr>
      <w:r>
        <w:t>Interpreting Your Results</w:t>
      </w:r>
    </w:p>
    <w:p w14:paraId="325239C6" w14:textId="77777777" w:rsidR="00424535" w:rsidRDefault="00A613F3">
      <w:pPr>
        <w:spacing w:after="100"/>
      </w:pPr>
      <w:r>
        <w:rPr>
          <w:b/>
          <w:bCs/>
        </w:rPr>
        <w:t xml:space="preserve">Average Score 0-1: </w:t>
      </w:r>
      <w:r>
        <w:t>Significant preparation required. Focus on achieving Level 2 baseline before engaging with buyers. Typical timeline: 18-24 months to transaction readiness.</w:t>
      </w:r>
    </w:p>
    <w:p w14:paraId="177F1DB3" w14:textId="77777777" w:rsidR="00424535" w:rsidRDefault="00A613F3">
      <w:pPr>
        <w:spacing w:after="100"/>
      </w:pPr>
      <w:r>
        <w:rPr>
          <w:b/>
          <w:bCs/>
        </w:rPr>
        <w:t xml:space="preserve">Average Score 1.5-2.5: </w:t>
      </w:r>
      <w:r>
        <w:t>Foundation in place but gaps remain. Suitable for trade buyer conversations with appropriate expectations. Typical timeline: 9-15 months to enhanced readiness.</w:t>
      </w:r>
    </w:p>
    <w:p w14:paraId="02A31B6C" w14:textId="77777777" w:rsidR="00424535" w:rsidRDefault="00A613F3">
      <w:pPr>
        <w:spacing w:after="100"/>
      </w:pPr>
      <w:r>
        <w:rPr>
          <w:b/>
          <w:bCs/>
        </w:rPr>
        <w:t xml:space="preserve">Average Score 2.5-3.5: </w:t>
      </w:r>
      <w:r>
        <w:t>Transaction-ready for most buyer types. Focus on addressing any domains below Level 3. Typical timeline: 3-9 months to optimised positioning.</w:t>
      </w:r>
    </w:p>
    <w:p w14:paraId="465FA4F9" w14:textId="77777777" w:rsidR="00424535" w:rsidRDefault="00A613F3">
      <w:pPr>
        <w:spacing w:after="200"/>
      </w:pPr>
      <w:r>
        <w:rPr>
          <w:b/>
          <w:bCs/>
        </w:rPr>
        <w:t xml:space="preserve">Average Score 3.5-4: </w:t>
      </w:r>
      <w:r>
        <w:t>Fully optimised for competitive process. Ready for PE auction or premium trade sale. Vendor DD investment likely to yield significant return.</w:t>
      </w:r>
    </w:p>
    <w:p w14:paraId="5E48BAC6" w14:textId="77777777" w:rsidR="00424535" w:rsidRDefault="00A613F3">
      <w:pPr>
        <w:pStyle w:val="Heading2"/>
      </w:pPr>
      <w:r>
        <w:t>Critical Thresholds</w:t>
      </w:r>
    </w:p>
    <w:p w14:paraId="2732385D" w14:textId="77777777" w:rsidR="00424535" w:rsidRDefault="00A613F3">
      <w:pPr>
        <w:spacing w:after="100"/>
      </w:pPr>
      <w:r>
        <w:t>Any domain at Level 0 is a potential deal-breaker and must be addressed before market engagement.</w:t>
      </w:r>
    </w:p>
    <w:p w14:paraId="4CA919FB" w14:textId="77777777" w:rsidR="00424535" w:rsidRDefault="00A613F3">
      <w:pPr>
        <w:spacing w:after="100"/>
      </w:pPr>
      <w:r>
        <w:t>Financial domain below Level 2 will prevent any credible valuation discussion.</w:t>
      </w:r>
    </w:p>
    <w:p w14:paraId="0E5695FE" w14:textId="77777777" w:rsidR="00424535" w:rsidRDefault="00A613F3">
      <w:pPr>
        <w:spacing w:after="100"/>
      </w:pPr>
      <w:r>
        <w:t>People &amp; Organisation below Level 2 creates unacceptable key person risk for institutional buyers.</w:t>
      </w:r>
    </w:p>
    <w:p w14:paraId="2AC4E2A7" w14:textId="77777777" w:rsidR="00424535" w:rsidRDefault="00A613F3">
      <w:pPr>
        <w:spacing w:after="200"/>
      </w:pPr>
      <w:r>
        <w:t>Legal &amp; Corporate below Level 2 may prevent transaction completion due to inability to provide clean title.</w:t>
      </w:r>
    </w:p>
    <w:p w14:paraId="5E37EF0B" w14:textId="77777777" w:rsidR="00424535" w:rsidRDefault="00A613F3">
      <w:pPr>
        <w:pStyle w:val="Heading1"/>
      </w:pPr>
      <w:r>
        <w:t>Framework Sources</w:t>
      </w:r>
    </w:p>
    <w:p w14:paraId="22DA52B0" w14:textId="77777777" w:rsidR="00424535" w:rsidRDefault="00A613F3">
      <w:pPr>
        <w:spacing w:after="80"/>
      </w:pPr>
      <w:r>
        <w:t>This matrix is derived from the UK SME Sale Readiness Framework and incorporates guidance from:</w:t>
      </w:r>
    </w:p>
    <w:p w14:paraId="2CA2EDAD" w14:textId="77777777" w:rsidR="00424535" w:rsidRDefault="00A613F3">
      <w:pPr>
        <w:spacing w:after="60"/>
      </w:pPr>
      <w:r>
        <w:t>• ICAEW Corporate Finance Faculty: Financial and Commercial Due Diligence Guidelines (2024-2025)</w:t>
      </w:r>
    </w:p>
    <w:p w14:paraId="0184C11F" w14:textId="77777777" w:rsidR="00424535" w:rsidRDefault="00A613F3">
      <w:pPr>
        <w:spacing w:after="60"/>
      </w:pPr>
      <w:r>
        <w:t>• CMMI Institute: Capability Maturity Model Integration framework (adapted)</w:t>
      </w:r>
    </w:p>
    <w:p w14:paraId="5CF1695F" w14:textId="77777777" w:rsidR="00424535" w:rsidRDefault="00A613F3">
      <w:pPr>
        <w:spacing w:after="60"/>
      </w:pPr>
      <w:r>
        <w:t xml:space="preserve">• </w:t>
      </w:r>
      <w:proofErr w:type="spellStart"/>
      <w:r>
        <w:t>Dealsuite</w:t>
      </w:r>
      <w:proofErr w:type="spellEnd"/>
      <w:r>
        <w:t xml:space="preserve"> M&amp;A Monitor UK &amp; Ireland: Valuation data and transaction benchmarks</w:t>
      </w:r>
    </w:p>
    <w:p w14:paraId="34645AAC" w14:textId="77777777" w:rsidR="00424535" w:rsidRDefault="00A613F3">
      <w:pPr>
        <w:spacing w:after="60"/>
      </w:pPr>
      <w:r>
        <w:t>• EY Exit Readiness Study 2025: PE exit preparation best practices</w:t>
      </w:r>
    </w:p>
    <w:p w14:paraId="08F752C7" w14:textId="77777777" w:rsidR="00424535" w:rsidRDefault="00A613F3">
      <w:pPr>
        <w:spacing w:after="60"/>
      </w:pPr>
      <w:r>
        <w:t>• KPMG ESG Due Diligence Study 2024: ESG integration in M&amp;A</w:t>
      </w:r>
    </w:p>
    <w:p w14:paraId="132F4B0D" w14:textId="77777777" w:rsidR="00424535" w:rsidRDefault="00A613F3">
      <w:pPr>
        <w:spacing w:after="200"/>
      </w:pPr>
      <w:r>
        <w:t>• Baker McKenzie Global Private M&amp;A Guide: UK transaction practices</w:t>
      </w:r>
    </w:p>
    <w:sectPr w:rsidR="00424535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D6B96" w14:textId="77777777" w:rsidR="00ED2B8B" w:rsidRDefault="00ED2B8B">
      <w:r>
        <w:separator/>
      </w:r>
    </w:p>
  </w:endnote>
  <w:endnote w:type="continuationSeparator" w:id="0">
    <w:p w14:paraId="3B5F9C7C" w14:textId="77777777" w:rsidR="00ED2B8B" w:rsidRDefault="00ED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0CCBB" w14:textId="77777777" w:rsidR="00424535" w:rsidRDefault="00A613F3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763F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763FC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 |  Companion to UK SME Sale Readiness Framework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A225D" w14:textId="77777777" w:rsidR="00ED2B8B" w:rsidRDefault="00ED2B8B">
      <w:r>
        <w:separator/>
      </w:r>
    </w:p>
  </w:footnote>
  <w:footnote w:type="continuationSeparator" w:id="0">
    <w:p w14:paraId="77DE82BD" w14:textId="77777777" w:rsidR="00ED2B8B" w:rsidRDefault="00ED2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1A41" w14:textId="77777777" w:rsidR="00424535" w:rsidRDefault="00A613F3">
    <w:pPr>
      <w:jc w:val="right"/>
    </w:pPr>
    <w:r>
      <w:rPr>
        <w:i/>
        <w:iCs/>
        <w:color w:val="666666"/>
        <w:sz w:val="18"/>
        <w:szCs w:val="18"/>
      </w:rPr>
      <w:t>SME Sale Readiness Self-Assessment Matrix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D663B"/>
    <w:multiLevelType w:val="hybridMultilevel"/>
    <w:tmpl w:val="638430A6"/>
    <w:lvl w:ilvl="0" w:tplc="B1EC49AC">
      <w:start w:val="1"/>
      <w:numFmt w:val="bullet"/>
      <w:lvlText w:val="●"/>
      <w:lvlJc w:val="left"/>
      <w:pPr>
        <w:ind w:left="720" w:hanging="360"/>
      </w:pPr>
    </w:lvl>
    <w:lvl w:ilvl="1" w:tplc="DE727920">
      <w:start w:val="1"/>
      <w:numFmt w:val="bullet"/>
      <w:lvlText w:val="○"/>
      <w:lvlJc w:val="left"/>
      <w:pPr>
        <w:ind w:left="1440" w:hanging="360"/>
      </w:pPr>
    </w:lvl>
    <w:lvl w:ilvl="2" w:tplc="3A62159A">
      <w:start w:val="1"/>
      <w:numFmt w:val="bullet"/>
      <w:lvlText w:val="■"/>
      <w:lvlJc w:val="left"/>
      <w:pPr>
        <w:ind w:left="2160" w:hanging="360"/>
      </w:pPr>
    </w:lvl>
    <w:lvl w:ilvl="3" w:tplc="2A043318">
      <w:start w:val="1"/>
      <w:numFmt w:val="bullet"/>
      <w:lvlText w:val="●"/>
      <w:lvlJc w:val="left"/>
      <w:pPr>
        <w:ind w:left="2880" w:hanging="360"/>
      </w:pPr>
    </w:lvl>
    <w:lvl w:ilvl="4" w:tplc="A9222010">
      <w:start w:val="1"/>
      <w:numFmt w:val="bullet"/>
      <w:lvlText w:val="○"/>
      <w:lvlJc w:val="left"/>
      <w:pPr>
        <w:ind w:left="3600" w:hanging="360"/>
      </w:pPr>
    </w:lvl>
    <w:lvl w:ilvl="5" w:tplc="6E3435E0">
      <w:start w:val="1"/>
      <w:numFmt w:val="bullet"/>
      <w:lvlText w:val="■"/>
      <w:lvlJc w:val="left"/>
      <w:pPr>
        <w:ind w:left="4320" w:hanging="360"/>
      </w:pPr>
    </w:lvl>
    <w:lvl w:ilvl="6" w:tplc="191476B6">
      <w:start w:val="1"/>
      <w:numFmt w:val="bullet"/>
      <w:lvlText w:val="●"/>
      <w:lvlJc w:val="left"/>
      <w:pPr>
        <w:ind w:left="5040" w:hanging="360"/>
      </w:pPr>
    </w:lvl>
    <w:lvl w:ilvl="7" w:tplc="9D5C538E">
      <w:start w:val="1"/>
      <w:numFmt w:val="bullet"/>
      <w:lvlText w:val="●"/>
      <w:lvlJc w:val="left"/>
      <w:pPr>
        <w:ind w:left="5760" w:hanging="360"/>
      </w:pPr>
    </w:lvl>
    <w:lvl w:ilvl="8" w:tplc="C8D426BE">
      <w:start w:val="1"/>
      <w:numFmt w:val="bullet"/>
      <w:lvlText w:val="●"/>
      <w:lvlJc w:val="left"/>
      <w:pPr>
        <w:ind w:left="6480" w:hanging="360"/>
      </w:pPr>
    </w:lvl>
  </w:abstractNum>
  <w:num w:numId="1" w16cid:durableId="1973633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535"/>
    <w:rsid w:val="002600B1"/>
    <w:rsid w:val="00304CEC"/>
    <w:rsid w:val="00424535"/>
    <w:rsid w:val="00496EDC"/>
    <w:rsid w:val="005878C5"/>
    <w:rsid w:val="00697189"/>
    <w:rsid w:val="008B6848"/>
    <w:rsid w:val="009763FC"/>
    <w:rsid w:val="00A613F3"/>
    <w:rsid w:val="00AA02AD"/>
    <w:rsid w:val="00DE17E3"/>
    <w:rsid w:val="00E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A5CD"/>
  <w15:docId w15:val="{B55DD2C6-2D6F-4AA9-8FAC-A8B7BD89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1433</Words>
  <Characters>8703</Characters>
  <Application>Microsoft Office Word</Application>
  <DocSecurity>0</DocSecurity>
  <Lines>260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Gavin Scruby</cp:lastModifiedBy>
  <cp:revision>4</cp:revision>
  <dcterms:created xsi:type="dcterms:W3CDTF">2025-12-28T23:53:00Z</dcterms:created>
  <dcterms:modified xsi:type="dcterms:W3CDTF">2026-01-02T23:17:00Z</dcterms:modified>
</cp:coreProperties>
</file>