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UK SME Sale Readiness</w:t>
      </w:r>
    </w:p>
    <w:p>
      <w:pPr>
        <w:pStyle w:val="Title"/>
      </w:pPr>
      <w:r>
        <w:t xml:space="preserve">Assessment Framework</w:t>
      </w:r>
    </w:p>
    <w:p>
      <w:pPr>
        <w:spacing w:before="400"/>
        <w:jc w:val="center"/>
      </w:pPr>
      <w:r>
        <w:rPr>
          <w:rFonts w:ascii="Arial" w:cs="Arial" w:eastAsia="Arial" w:hAnsi="Arial"/>
          <w:color w:val="5D6D7E"/>
          <w:sz w:val="28"/>
          <w:szCs w:val="28"/>
        </w:rPr>
        <w:t xml:space="preserve">Tiered Framework for Pre-Revenue, £5m, and £30m Valuations</w:t>
      </w:r>
    </w:p>
    <w:p>
      <w:pPr>
        <w:spacing w:before="200"/>
        <w:jc w:val="center"/>
      </w:pPr>
      <w:r>
        <w:rPr>
          <w:rFonts w:ascii="Arial" w:cs="Arial" w:eastAsia="Arial" w:hAnsi="Arial"/>
          <w:color w:val="7F8C8D"/>
          <w:sz w:val="24"/>
          <w:szCs w:val="24"/>
        </w:rPr>
        <w:t xml:space="preserve">With Industry and Buyer Type Considerations</w:t>
      </w:r>
    </w:p>
    <w:p>
      <w:pPr>
        <w:spacing w:before="800"/>
        <w:jc w:val="center"/>
      </w:pPr>
      <w:r>
        <w:rPr>
          <w:rFonts w:ascii="Arial" w:cs="Arial" w:eastAsia="Arial" w:hAnsi="Arial"/>
          <w:sz w:val="22"/>
          <w:szCs w:val="22"/>
        </w:rPr>
        <w:t xml:space="preserve">Version 2.0 — December 2025</w:t>
      </w:r>
    </w:p>
    <w:p>
      <w:pPr>
        <w:spacing w:before="200"/>
        <w:jc w:val="center"/>
      </w:pPr>
      <w:r>
        <w:rPr>
          <w:rFonts w:ascii="Arial" w:cs="Arial" w:eastAsia="Arial" w:hAnsi="Arial"/>
          <w:i/>
          <w:iCs/>
          <w:color w:val="7F8C8D"/>
          <w:sz w:val="20"/>
          <w:szCs w:val="20"/>
        </w:rPr>
        <w:t xml:space="preserve">Aligned with UK M&amp;A Best Practice, ICAEW Guidelines, and CMMI Standards</w:t>
      </w:r>
    </w:p>
    <w:p>
      <w:r>
        <w:br w:type="page"/>
      </w:r>
    </w:p>
    <w:p>
      <w:pPr>
        <w:pStyle w:val="Heading1"/>
      </w:pPr>
      <w:r>
        <w:t xml:space="preserve">Executive Summary</w:t>
      </w:r>
    </w:p>
    <w:p>
      <w:pPr>
        <w:spacing w:after="200"/>
      </w:pPr>
      <w:r>
        <w:rPr>
          <w:rFonts w:ascii="Arial" w:cs="Arial" w:eastAsia="Arial" w:hAnsi="Arial"/>
        </w:rPr>
        <w:t xml:space="preserve">This framework provides UK SME owners with a systematic approach to assessing their company's readiness for sale across three distinct valuation tiers: pre-revenue businesses, valuations around £5m, and valuations up to £30m. It recognises that buyer expectations, due diligence intensity, and readiness requirements vary significantly based on deal size, industry sector, and buyer type.</w:t>
      </w:r>
    </w:p>
    <w:p>
      <w:pPr>
        <w:spacing w:after="200"/>
      </w:pPr>
      <w:r>
        <w:rPr>
          <w:rFonts w:ascii="Arial" w:cs="Arial" w:eastAsia="Arial" w:hAnsi="Arial"/>
        </w:rPr>
        <w:t xml:space="preserve">The framework is built on a fundamental principle: </w:t>
      </w:r>
      <w:r>
        <w:rPr>
          <w:rFonts w:ascii="Arial" w:cs="Arial" w:eastAsia="Arial" w:hAnsi="Arial"/>
          <w:b/>
          <w:bCs/>
        </w:rPr>
        <w:t xml:space="preserve">transparency and self-awareness matter more than perfection</w:t>
      </w:r>
      <w:r>
        <w:rPr>
          <w:rFonts w:ascii="Arial" w:cs="Arial" w:eastAsia="Arial" w:hAnsi="Arial"/>
        </w:rPr>
        <w:t xml:space="preserve">. A company that understands and documents its weaknesses is more ready than one with undiscovered problems. Buyers value sellers who know their business intimately and can discuss limitations honestly.</w:t>
      </w:r>
    </w:p>
    <w:p>
      <w:pPr>
        <w:spacing w:after="200"/>
      </w:pPr>
      <w:r>
        <w:rPr>
          <w:rFonts w:ascii="Arial" w:cs="Arial" w:eastAsia="Arial" w:hAnsi="Arial"/>
        </w:rPr>
        <w:t xml:space="preserve">Key adaptations in this SME-focused framework:</w:t>
      </w:r>
    </w:p>
    <w:p>
      <w:pPr>
        <w:pStyle w:val="ListParagraph"/>
        <w:numPr>
          <w:ilvl w:val="0"/>
          <w:numId w:val="2"/>
        </w:numPr>
      </w:pPr>
      <w:r>
        <w:rPr>
          <w:rFonts w:ascii="Arial" w:cs="Arial" w:eastAsia="Arial" w:hAnsi="Arial"/>
        </w:rPr>
        <w:t xml:space="preserve">Tiered expectations: Requirements calibrated to deal size (pre-revenue, £5m, £30m)</w:t>
      </w:r>
    </w:p>
    <w:p>
      <w:pPr>
        <w:pStyle w:val="ListParagraph"/>
        <w:numPr>
          <w:ilvl w:val="0"/>
          <w:numId w:val="2"/>
        </w:numPr>
      </w:pPr>
      <w:r>
        <w:rPr>
          <w:rFonts w:ascii="Arial" w:cs="Arial" w:eastAsia="Arial" w:hAnsi="Arial"/>
        </w:rPr>
        <w:t xml:space="preserve">Industry considerations: Sector-specific requirements for Technology, Manufacturing, Professional Services, Healthcare, and Retail/Hospitality</w:t>
      </w:r>
    </w:p>
    <w:p>
      <w:pPr>
        <w:pStyle w:val="ListParagraph"/>
        <w:numPr>
          <w:ilvl w:val="0"/>
          <w:numId w:val="2"/>
        </w:numPr>
      </w:pPr>
      <w:r>
        <w:rPr>
          <w:rFonts w:ascii="Arial" w:cs="Arial" w:eastAsia="Arial" w:hAnsi="Arial"/>
        </w:rPr>
        <w:t xml:space="preserve">Buyer type guidance: Different expectations for Trade, Private Equity, and Listed company acquirers</w:t>
      </w:r>
    </w:p>
    <w:p>
      <w:pPr>
        <w:pStyle w:val="ListParagraph"/>
        <w:numPr>
          <w:ilvl w:val="0"/>
          <w:numId w:val="2"/>
        </w:numPr>
      </w:pPr>
      <w:r>
        <w:rPr>
          <w:rFonts w:ascii="Arial" w:cs="Arial" w:eastAsia="Arial" w:hAnsi="Arial"/>
        </w:rPr>
        <w:t xml:space="preserve">Practical thresholds: Minimum acceptable standards for each tier rather than aspirational perfection</w:t>
      </w:r>
    </w:p>
    <w:p>
      <w:r>
        <w:br w:type="page"/>
      </w:r>
    </w:p>
    <w:p>
      <w:pPr>
        <w:pStyle w:val="Heading1"/>
      </w:pPr>
      <w:r>
        <w:t xml:space="preserve">Valuation Tier Definitions</w:t>
      </w:r>
    </w:p>
    <w:p>
      <w:pPr>
        <w:spacing w:after="200"/>
      </w:pPr>
      <w:r>
        <w:rPr>
          <w:rFonts w:ascii="Arial" w:cs="Arial" w:eastAsia="Arial" w:hAnsi="Arial"/>
        </w:rPr>
        <w:t xml:space="preserve">Due diligence intensity and readiness requirements scale with deal size. Research from Dealsuite shows companies with £5m EBITDA attract multiples 89% higher than those with £200k EBITDA—but buyers expect correspondingly higher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Up to £30m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Typical EBITDA</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N/A (often loss-making)</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£500k–£1.5m</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£3m–£6m</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Expected Multiple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Asset/IP/team based</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3.5–5.5x EBITDA</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5.5–8x EBITDA</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Typical Buyers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Trade (acqui-hire), Angels, VC</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Trade, Small PE, MBO teams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 platforms, Mid-market trade, AIM-listed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DD Intensity</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Light (tech/IP focused)</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Standard (4–6 weeks)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Comprehensive (6–12 weeks)</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Advisor Cost</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£10k–£30k</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£30k–£80k</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£100k–£300k+</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Minimum Readiness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Level 1 average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Level 2 all domains</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Level 3 most domains</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Vendor DD Expected</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Rare</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Optional but helpful</w:t>
            </w:r>
          </w:p>
        </w:tc>
        <w:tc>
          <w:tcPr>
            <w:tcW w:type="dxa" w:w="2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Often required</w:t>
            </w:r>
          </w:p>
        </w:tc>
      </w:tr>
    </w:tbl>
    <w:p>
      <w:r>
        <w:br w:type="page"/>
      </w:r>
    </w:p>
    <w:p>
      <w:pPr>
        <w:pStyle w:val="Heading1"/>
      </w:pPr>
      <w:r>
        <w:t xml:space="preserve">Six Assessment Domains</w:t>
      </w:r>
    </w:p>
    <w:p>
      <w:pPr>
        <w:spacing w:after="200"/>
      </w:pPr>
      <w:r>
        <w:rPr>
          <w:rFonts w:ascii="Arial" w:cs="Arial" w:eastAsia="Arial" w:hAnsi="Arial"/>
        </w:rPr>
        <w:t xml:space="preserve">The framework assesses six orthogonal domains, each evaluating genuinely independent aspects of sale readiness. UK M&amp;A typically employs 8–12 due diligence workstreams; these six domains consolidate related areas while maintaining diagnostic independence.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Domain</w:t>
            </w:r>
          </w:p>
        </w:tc>
        <w:tc>
          <w:tcPr>
            <w:tcW w:type="dxa" w:w="32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Covers</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1. Financial</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FDD, Tax DD, working capital</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Foundation of valuation; buyers cannot price without accurate financials</w:t>
            </w:r>
          </w:p>
        </w:tc>
      </w:tr>
      <w:tr>
        <w:tc>
          <w:tcPr>
            <w:tcW w:type="dxa" w:w="18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2. Legal &amp; Corporate</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Legal DD, Corporate, IP, Contracts</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Transaction mechanics; determines if deal can legally complete</w:t>
            </w:r>
          </w:p>
        </w:tc>
      </w:tr>
      <w:tr>
        <w:tc>
          <w:tcPr>
            <w:tcW w:type="dxa" w:w="18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3. Commercial</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Commercial DD, Market, Customers</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Validates business model and growth story; key to strategic premium</w:t>
            </w:r>
          </w:p>
        </w:tc>
      </w:tr>
      <w:tr>
        <w:tc>
          <w:tcPr>
            <w:tcW w:type="dxa" w:w="1800"/>
            <w:tcBorders>
              <w:top w:val="single" w:color="CCCCCC" w:sz="1"/>
              <w:left w:val="single" w:color="CCCCCC" w:sz="1"/>
              <w:bottom w:val="single" w:color="CCCCCC" w:sz="1"/>
              <w:right w:val="single" w:color="CCCCCC" w:sz="1"/>
            </w:tcBorders>
            <w:shd w:fill="F5EEF8" w:val="clear"/>
          </w:tcPr>
          <w:p>
            <w:r>
              <w:rPr>
                <w:rFonts w:ascii="Arial" w:cs="Arial" w:eastAsia="Arial" w:hAnsi="Arial"/>
                <w:sz w:val="20"/>
                <w:szCs w:val="20"/>
              </w:rPr>
              <w:t xml:space="preserve">4. Operational</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Operations, IT, Technology</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Assesses scalability and integration complexity</w:t>
            </w:r>
          </w:p>
        </w:tc>
      </w:tr>
      <w:tr>
        <w:tc>
          <w:tcPr>
            <w:tcW w:type="dxa" w:w="1800"/>
            <w:tcBorders>
              <w:top w:val="single" w:color="CCCCCC" w:sz="1"/>
              <w:left w:val="single" w:color="CCCCCC" w:sz="1"/>
              <w:bottom w:val="single" w:color="CCCCCC" w:sz="1"/>
              <w:right w:val="single" w:color="CCCCCC" w:sz="1"/>
            </w:tcBorders>
            <w:shd w:fill="FEF9E7" w:val="clear"/>
          </w:tcPr>
          <w:p>
            <w:r>
              <w:rPr>
                <w:rFonts w:ascii="Arial" w:cs="Arial" w:eastAsia="Arial" w:hAnsi="Arial"/>
                <w:sz w:val="20"/>
                <w:szCs w:val="20"/>
              </w:rPr>
              <w:t xml:space="preserve">5. People &amp; Organisation</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HR DD, Management, Pensions</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Key person risk; TUPE obligations; cultural fit</w:t>
            </w:r>
          </w:p>
        </w:tc>
      </w:tr>
      <w:tr>
        <w:tc>
          <w:tcPr>
            <w:tcW w:type="dxa" w:w="1800"/>
            <w:tcBorders>
              <w:top w:val="single" w:color="CCCCCC" w:sz="1"/>
              <w:left w:val="single" w:color="CCCCCC" w:sz="1"/>
              <w:bottom w:val="single" w:color="CCCCCC" w:sz="1"/>
              <w:right w:val="single" w:color="CCCCCC" w:sz="1"/>
            </w:tcBorders>
            <w:shd w:fill="FDEDEC" w:val="clear"/>
          </w:tcPr>
          <w:p>
            <w:r>
              <w:rPr>
                <w:rFonts w:ascii="Arial" w:cs="Arial" w:eastAsia="Arial" w:hAnsi="Arial"/>
                <w:sz w:val="20"/>
                <w:szCs w:val="20"/>
              </w:rPr>
              <w:t xml:space="preserve">6. ESG &amp; Risk</w:t>
            </w:r>
          </w:p>
        </w:tc>
        <w:tc>
          <w:tcPr>
            <w:tcW w:type="dxa" w:w="3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ESG DD, Environmental, Compliance</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71% of UK PE buyers now prioritise ESG (KPMG 2024)</w:t>
            </w:r>
          </w:p>
        </w:tc>
      </w:tr>
    </w:tbl>
    <w:p>
      <w:pPr>
        <w:spacing w:before="200"/>
      </w:pPr>
      <w:r>
        <w:rPr>
          <w:rFonts w:ascii="Arial" w:cs="Arial" w:eastAsia="Arial" w:hAnsi="Arial"/>
          <w:b/>
          <w:bCs/>
        </w:rPr>
        <w:t xml:space="preserve">Orthogonality test: </w:t>
      </w:r>
      <w:r>
        <w:rPr>
          <w:rFonts w:ascii="Arial" w:cs="Arial" w:eastAsia="Arial" w:hAnsi="Arial"/>
        </w:rPr>
        <w:t xml:space="preserve">Strong financials do not predict strong ESG; robust contracts do not predict operational efficiency. Each domain assesses genuinely independent aspects of readiness.</w:t>
      </w:r>
    </w:p>
    <w:p>
      <w:r>
        <w:br w:type="page"/>
      </w:r>
    </w:p>
    <w:p>
      <w:pPr>
        <w:pStyle w:val="Heading1"/>
      </w:pPr>
      <w:r>
        <w:t xml:space="preserve">Maturity Levels (0–4)</w:t>
      </w:r>
    </w:p>
    <w:p>
      <w:pPr>
        <w:spacing w:after="200"/>
      </w:pPr>
      <w:r>
        <w:rPr>
          <w:rFonts w:ascii="Arial" w:cs="Arial" w:eastAsia="Arial" w:hAnsi="Arial"/>
        </w:rPr>
        <w:t xml:space="preserve">This framework adapts the CMMI (Capability Maturity Model Integration) five-level scale for M&amp;A readiness. Key adaptations: added Level 0 to account for complete absence of information (common in smaller SMEs), and merged CMMI Levels 4–5 since the distinction between quantitative management and continuous improvement is less relevant for sale readiness than software development maturity.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rPr>
          <w:tblHeader/>
        </w:trPr>
        <w:tc>
          <w:tcPr>
            <w:tcW w:type="dxa" w:w="1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Level</w:t>
            </w:r>
          </w:p>
        </w:tc>
        <w:tc>
          <w:tcPr>
            <w:tcW w:type="dxa" w:w="3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Definition</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Buyer Impact</w:t>
            </w:r>
          </w:p>
        </w:tc>
      </w:tr>
      <w:tr>
        <w:tc>
          <w:tcPr>
            <w:tcW w:type="dxa" w:w="1500"/>
            <w:tcBorders>
              <w:top w:val="single" w:color="CCCCCC" w:sz="1"/>
              <w:left w:val="single" w:color="CCCCCC" w:sz="1"/>
              <w:bottom w:val="single" w:color="CCCCCC" w:sz="1"/>
              <w:right w:val="single" w:color="CCCCCC" w:sz="1"/>
            </w:tcBorders>
            <w:shd w:fill="F8D7DA" w:val="clear"/>
          </w:tcPr>
          <w:p>
            <w:pPr>
              <w:jc w:val="center"/>
            </w:pPr>
            <w:r>
              <w:rPr>
                <w:rFonts w:ascii="Arial" w:cs="Arial" w:eastAsia="Arial" w:hAnsi="Arial"/>
                <w:b/>
                <w:bCs/>
                <w:sz w:val="20"/>
                <w:szCs w:val="20"/>
              </w:rPr>
              <w:t xml:space="preserve">0 – Incomplete</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 hoc or unknown. Information missing, severely incomplete, or never created.</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Potential deal-breaker. Significant price reduction or walk-away. Extended DD required.</w:t>
            </w:r>
          </w:p>
        </w:tc>
      </w:tr>
      <w:tr>
        <w:tc>
          <w:tcPr>
            <w:tcW w:type="dxa" w:w="1500"/>
            <w:tcBorders>
              <w:top w:val="single" w:color="CCCCCC" w:sz="1"/>
              <w:left w:val="single" w:color="CCCCCC" w:sz="1"/>
              <w:bottom w:val="single" w:color="CCCCCC" w:sz="1"/>
              <w:right w:val="single" w:color="CCCCCC" w:sz="1"/>
            </w:tcBorders>
            <w:shd w:fill="FFF3CD" w:val="clear"/>
          </w:tcPr>
          <w:p>
            <w:pPr>
              <w:jc w:val="center"/>
            </w:pPr>
            <w:r>
              <w:rPr>
                <w:rFonts w:ascii="Arial" w:cs="Arial" w:eastAsia="Arial" w:hAnsi="Arial"/>
                <w:b/>
                <w:bCs/>
                <w:sz w:val="20"/>
                <w:szCs w:val="20"/>
              </w:rPr>
              <w:t xml:space="preserve">1 – Initial</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Reactive. Information scattered, inconsistent, key-person dependent. Processes undocumented.</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Material concern. Deep investigation required. Strong warranty negotiations expected.</w:t>
            </w:r>
          </w:p>
        </w:tc>
      </w:tr>
      <w:tr>
        <w:tc>
          <w:tcPr>
            <w:tcW w:type="dxa" w:w="1500"/>
            <w:tcBorders>
              <w:top w:val="single" w:color="CCCCCC" w:sz="1"/>
              <w:left w:val="single" w:color="CCCCCC" w:sz="1"/>
              <w:bottom w:val="single" w:color="CCCCCC" w:sz="1"/>
              <w:right w:val="single" w:color="CCCCCC" w:sz="1"/>
            </w:tcBorders>
            <w:shd w:fill="D1ECF1" w:val="clear"/>
          </w:tcPr>
          <w:p>
            <w:pPr>
              <w:jc w:val="center"/>
            </w:pPr>
            <w:r>
              <w:rPr>
                <w:rFonts w:ascii="Arial" w:cs="Arial" w:eastAsia="Arial" w:hAnsi="Arial"/>
                <w:b/>
                <w:bCs/>
                <w:sz w:val="20"/>
                <w:szCs w:val="20"/>
              </w:rPr>
              <w:t xml:space="preserve">2 – Managed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Planned and documented. Key information organised. Known gaps identified and documented.</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Acceptable baseline for £5m deals. Standard DD process. Minor price adjustments.</w:t>
            </w:r>
          </w:p>
        </w:tc>
      </w:tr>
      <w:tr>
        <w:tc>
          <w:tcPr>
            <w:tcW w:type="dxa" w:w="1500"/>
            <w:tcBorders>
              <w:top w:val="single" w:color="CCCCCC" w:sz="1"/>
              <w:left w:val="single" w:color="CCCCCC" w:sz="1"/>
              <w:bottom w:val="single" w:color="CCCCCC" w:sz="1"/>
              <w:right w:val="single" w:color="CCCCCC" w:sz="1"/>
            </w:tcBorders>
            <w:shd w:fill="D4EDDA" w:val="clear"/>
          </w:tcPr>
          <w:p>
            <w:pPr>
              <w:jc w:val="center"/>
            </w:pPr>
            <w:r>
              <w:rPr>
                <w:rFonts w:ascii="Arial" w:cs="Arial" w:eastAsia="Arial" w:hAnsi="Arial"/>
                <w:b/>
                <w:bCs/>
                <w:sz w:val="20"/>
                <w:szCs w:val="20"/>
              </w:rPr>
              <w:t xml:space="preserve">3 – Defined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Standardised and proactive. Comprehensive documentation. Self-assessment with evidence.</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Strong position for £30m deals. Credible vendor DD. Faster transaction. Reduced buyer costs.</w:t>
            </w:r>
          </w:p>
        </w:tc>
      </w:tr>
      <w:tr>
        <w:tc>
          <w:tcPr>
            <w:tcW w:type="dxa" w:w="1500"/>
            <w:tcBorders>
              <w:top w:val="single" w:color="CCCCCC" w:sz="1"/>
              <w:left w:val="single" w:color="CCCCCC" w:sz="1"/>
              <w:bottom w:val="single" w:color="CCCCCC" w:sz="1"/>
              <w:right w:val="single" w:color="CCCCCC" w:sz="1"/>
            </w:tcBorders>
            <w:shd w:fill="C3E6CB" w:val="clear"/>
          </w:tcPr>
          <w:p>
            <w:pPr>
              <w:jc w:val="center"/>
            </w:pPr>
            <w:r>
              <w:rPr>
                <w:rFonts w:ascii="Arial" w:cs="Arial" w:eastAsia="Arial" w:hAnsi="Arial"/>
                <w:b/>
                <w:bCs/>
                <w:sz w:val="20"/>
                <w:szCs w:val="20"/>
              </w:rPr>
              <w:t xml:space="preserve">4 – Optimised</w:t>
            </w:r>
          </w:p>
        </w:tc>
        <w:tc>
          <w:tcPr>
            <w:tcW w:type="dxa" w:w="3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Transaction-ready. Third-party verified/audited. Continuous monitoring. Board oversight.</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Premium position. W&amp;I insurance available. Competitive auction possible. Maximum valuation.</w:t>
            </w:r>
          </w:p>
        </w:tc>
      </w:tr>
    </w:tbl>
    <w:p>
      <w:r>
        <w:br w:type="page"/>
      </w:r>
    </w:p>
    <w:p>
      <w:pPr>
        <w:pStyle w:val="Heading1"/>
      </w:pPr>
      <w:r>
        <w:t xml:space="preserve">Tiered Requirements by Domain</w:t>
      </w:r>
    </w:p>
    <w:p>
      <w:pPr>
        <w:spacing w:after="200"/>
      </w:pPr>
      <w:r>
        <w:rPr>
          <w:rFonts w:ascii="Arial" w:cs="Arial" w:eastAsia="Arial" w:hAnsi="Arial"/>
        </w:rPr>
        <w:t xml:space="preserve">The following sections detail specific requirements for each domain across the three valuation tiers. These represent minimum acceptable standards for a credible sale process.</w:t>
      </w:r>
    </w:p>
    <w:p>
      <w:pPr>
        <w:pStyle w:val="Heading2"/>
      </w:pPr>
      <w:r>
        <w:t xml:space="preserve">Financial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Financial Statements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12m cash flow forecasts, burn rate analysis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 years management accounts (monthly)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 years audited accounts (Big 4/Top 20 firm)</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Tax Position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R&amp;D tax credit documentation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All filings current, CT600 reconciled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Tax clearances obtained, transfer pricing documented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Working Capital</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Runway calculation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12-month WC analysis, seasonality understood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Normalised WC target agreed, locked-box mechanics ready</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Revenue Analysis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Pipeline/LOI documentation if any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Revenue by customer, concentration &lt;30%</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Cohort analysis, ARR/MRR waterfall, customer LTV</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Financial Model</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Basic 3-year projection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Integrated P&amp;L/BS/CF, key assumptions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Scenario analysis, sensitivity testing, board-approved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Vendor FDD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Not expected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Helpful but optional</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Strongly recommended (reduces buyer DD cost)</w:t>
            </w:r>
          </w:p>
        </w:tc>
      </w:tr>
    </w:tbl>
    <w:p>
      <w:r>
        <w:br w:type="page"/>
      </w:r>
    </w:p>
    <w:p>
      <w:pPr>
        <w:pStyle w:val="Heading2"/>
      </w:pPr>
      <w:r>
        <w:t xml:space="preserve">Legal &amp; Corporate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Corporate Records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Companies House filings current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Statutory books maintained, board minutes complete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minute book, all resolutions filed, company secretarial audit</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Share Capital</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Cap table accurate, EMI scheme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Share register reconciled, all transfers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Clean cap table, all consents obtained, drag/tag documented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IP Ownership</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Assignment agreements from founders/contractors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IP register maintained, key registrations confirmed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IP audit complete, freedom to operate confirmed, IP DD report</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Material Contracts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Key contracts identified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Contract register, CoC clauses identified, key terms summarised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All contracts indexed, change of control consents mapped, termination risk assessed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Property/Leases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Lease terms documented if applicable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All leases catalogued, break clauses identified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Property schedule complete, landlord consent strategy, dilapidations assessed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Litigation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Any disputes disclosed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Litigation register, insurance claims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Legal risk register, warranty exposure quantified, disclosure letter drafted</w:t>
            </w:r>
          </w:p>
        </w:tc>
      </w:tr>
    </w:tbl>
    <w:p>
      <w:pPr>
        <w:pStyle w:val="Heading2"/>
      </w:pPr>
      <w:r>
        <w:t xml:space="preserve">Commercial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Market Position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TAM estimate, competitive landscape mapped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TAM/SAM/SOM quantified, market share estimated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Third-party market research, defensible position evidenced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Customer Data</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Early adopter/pilot customer list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CRM maintained, customer concentration analysed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customer analytics, churn analysis, NPS tracked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Pipeline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Prospect list, LOIs if available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Sales pipeline documented, conversion rates known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Weighted pipeline forecast, sales cycle metrics, CRM integrated</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Pricing</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Pricing model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Pricing history, margin by product/service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Pricing power evidenced, competitive benchmarking, margin bridge</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Customer Refs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 testimonials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3-5 referenceable customers identified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Reference programme ready, customer interviews facilitated</w:t>
            </w:r>
          </w:p>
        </w:tc>
      </w:tr>
    </w:tbl>
    <w:p>
      <w:r>
        <w:br w:type="page"/>
      </w:r>
    </w:p>
    <w:p>
      <w:pPr>
        <w:pStyle w:val="Heading2"/>
      </w:pPr>
      <w:r>
        <w:t xml:space="preserve">Operational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Process Documentation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Key processes described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SOPs for critical processes, org chart current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operations manual, process maps, ISO certification if applicable</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IT Systems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Tech stack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IT asset register, software licences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IT DD-ready, architecture documented, tech roadmap</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Data Security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Basic security measures in place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GDPR compliance documented, breach procedures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Cyber Essentials+, penetration testing, DPIA register</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Supplier Relationships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Key suppliers identified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Supplier concentration analysed, key terms known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Supply chain risk assessment, alternative supplier strategy</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Scalability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Growth assumptions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Capacity constraints identified, scale plan outlined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Capacity model, unit economics by scale, investment requirements</w:t>
            </w:r>
          </w:p>
        </w:tc>
      </w:tr>
    </w:tbl>
    <w:p>
      <w:pPr>
        <w:pStyle w:val="Heading2"/>
      </w:pPr>
      <w:r>
        <w:t xml:space="preserve">People &amp; Organisation Domain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Employment Contracts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Written contracts for all staff</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Standard contracts, handbook in place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HR DD pack, TUPE ready, all contracts compliant</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Key Person Risk</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Founder roles defined, IP assigned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Second tier identified, handover plans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Management not founder-dependent, succession plans, retention incentives</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Compensation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Salary benchmarking understood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Compensation benchmarked, benefits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Total reward analysis, bonus schemes documented, pension compliance</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Pensions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Auto-enrolment compliant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Pension scheme documented, no DB exposure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Pensions DD complete, trustee engagement if DB</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Culture/Retention</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 stability demonstrated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Turnover tracked, key staff retention strategy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Engagement surveys, retention programmes, change management plan</w:t>
            </w:r>
          </w:p>
        </w:tc>
      </w:tr>
    </w:tbl>
    <w:p>
      <w:r>
        <w:br w:type="page"/>
      </w:r>
    </w:p>
    <w:p>
      <w:pPr>
        <w:pStyle w:val="Heading2"/>
      </w:pPr>
      <w:r>
        <w:t xml:space="preserve">ESG &amp; Risk Domain</w:t>
      </w:r>
    </w:p>
    <w:p>
      <w:pPr>
        <w:spacing w:after="200"/>
      </w:pPr>
      <w:r>
        <w:rPr>
          <w:rFonts w:ascii="Arial" w:cs="Arial" w:eastAsia="Arial" w:hAnsi="Arial"/>
        </w:rPr>
        <w:t xml:space="preserve">KPMG's 2024 ESG Due Diligence Study found 71% of UK investors now prioritise ESG, with 57% expecting ESG DD on most transactions within two years. This domain is increasingly critical for all deal sizes.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Valuation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Valuation</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Environmental</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Any environmental risks identified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Carbon footprint awareness, waste management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Environmental audit, net zero pathway, scope 1/2/3 emissions</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Social</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Basic employment practices</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D&amp;I policy, H&amp;S compliance, modern slavery statement if applicable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social impact assessment, supply chain audit, community engagement</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Governance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Board composition documented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Board structure, conflicts policy, decision rights clear</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Corporate governance code compliance, NED presence, audit committee</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Risk Management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Key risks identified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Risk register maintained, insurance adequate</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Enterprise risk framework, board-level oversight, scenario planning</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Regulatory</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Licensing requirements understood</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All licences documented and current</w:t>
            </w:r>
          </w:p>
        </w:tc>
        <w:tc>
          <w:tcPr>
            <w:tcW w:type="dxa" w:w="2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Regulatory DD pack, change of control notifications mapped</w:t>
            </w:r>
          </w:p>
        </w:tc>
      </w:tr>
    </w:tbl>
    <w:p>
      <w:r>
        <w:br w:type="page"/>
      </w:r>
    </w:p>
    <w:p>
      <w:pPr>
        <w:pStyle w:val="Heading1"/>
      </w:pPr>
      <w:r>
        <w:t xml:space="preserve">Industry-Specific Considerations</w:t>
      </w:r>
    </w:p>
    <w:p>
      <w:pPr>
        <w:spacing w:after="200"/>
      </w:pPr>
      <w:r>
        <w:rPr>
          <w:rFonts w:ascii="Arial" w:cs="Arial" w:eastAsia="Arial" w:hAnsi="Arial"/>
        </w:rPr>
        <w:t xml:space="preserve">Beyond the core six domains, different industries require additional focus areas. The following guidance supplements the core framework with sector-specific requirements.</w:t>
      </w:r>
    </w:p>
    <w:p>
      <w:pPr>
        <w:pStyle w:val="Heading2"/>
      </w:pPr>
      <w:r>
        <w:t xml:space="preserve">Technology &amp; SaaS</w:t>
      </w:r>
    </w:p>
    <w:p>
      <w:pPr>
        <w:spacing w:after="100"/>
      </w:pPr>
      <w:r>
        <w:rPr>
          <w:rFonts w:ascii="Arial" w:cs="Arial" w:eastAsia="Arial" w:hAnsi="Arial"/>
          <w:i/>
          <w:iCs/>
        </w:rPr>
        <w:t xml:space="preserve">Average UK EBITDA multiple: 7.6–8.2x (H1 2024). Premium for ARR businesses with net revenue retention &gt;100%.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Focus Area</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SaaS Metrics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ARR/MRR by customer cohort, churn rate (&lt;5% monthly ideal), LTV:CAC ratio (&gt;3:1), net revenue retention (&gt;100% for premium), CAC payback period</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Technology Stack</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Code quality assessment, technical debt quantified, architecture documentation, scalability demonstrated, security audit (pen testing)</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IP Protection</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Patents filed/pending, trade secrets documented, open source compliance (software composition analysis), employee IP assignments</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Product Roadmap</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12-24 month roadmap, R&amp;D pipeline documented, competitive positioning, platform vs feature assessment</w:t>
            </w:r>
          </w:p>
        </w:tc>
      </w:tr>
    </w:tbl>
    <w:p>
      <w:pPr>
        <w:pStyle w:val="Heading2"/>
      </w:pPr>
      <w:r>
        <w:t xml:space="preserve">Manufacturing</w:t>
      </w:r>
    </w:p>
    <w:p>
      <w:pPr>
        <w:spacing w:after="100"/>
      </w:pPr>
      <w:r>
        <w:rPr>
          <w:rFonts w:ascii="Arial" w:cs="Arial" w:eastAsia="Arial" w:hAnsi="Arial"/>
          <w:i/>
          <w:iCs/>
        </w:rPr>
        <w:t xml:space="preserve">Average UK EBITDA multiple: 5.5–6.5x. Environmental DD increasingly required. Asset-heavy transactions require equipment appraisal.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Focus Area</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Asset Condition</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Equipment register with age/condition, capex requirements, replacement schedule, maintenance records, asset appraisal for &gt;£10m deals</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Environmental</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Phase 1 environmental assessment, contamination history, permits/licences, waste management, emissions data, remediation liability</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Supply Chain</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Key supplier dependencies, alternative sourcing, raw material pricing, inventory management, quality certifications (ISO 9001)</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Operational</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Capacity utilisation, order book visibility, customer concentration, warranty/return rates, H&amp;S record, product liability insurance</w:t>
            </w:r>
          </w:p>
        </w:tc>
      </w:tr>
    </w:tbl>
    <w:p>
      <w:r>
        <w:br w:type="page"/>
      </w:r>
    </w:p>
    <w:p>
      <w:pPr>
        <w:pStyle w:val="Heading2"/>
      </w:pPr>
      <w:r>
        <w:t xml:space="preserve">Professional Services</w:t>
      </w:r>
    </w:p>
    <w:p>
      <w:pPr>
        <w:spacing w:after="100"/>
      </w:pPr>
      <w:r>
        <w:rPr>
          <w:rFonts w:ascii="Arial" w:cs="Arial" w:eastAsia="Arial" w:hAnsi="Arial"/>
          <w:i/>
          <w:iCs/>
        </w:rPr>
        <w:t xml:space="preserve">Average UK EBITDA multiple: 5–7x. Key risk is client concentration and key person dependency. Recurring revenue commands premium.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Focus Area</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Client Relationships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Revenue by client (concentration &lt;25%), contract terms and renewal rates, client tenure, relationship ownership (firm vs individual)</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Fee Earner Analysis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Revenue per fee earner, utilisation rates, billing rate analysis, grade mix, progression/promotion data</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Work In Progress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WIP valuation policy, lock-up days, recoverability analysis, bad debt history, billing practices</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PI Insurance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Coverage adequacy, claims history, run-off coverage for transactions, regulatory requirements (FCA/SRA if applicable)</w:t>
            </w:r>
          </w:p>
        </w:tc>
      </w:tr>
    </w:tbl>
    <w:p>
      <w:pPr>
        <w:pStyle w:val="Heading2"/>
      </w:pPr>
      <w:r>
        <w:t xml:space="preserve">Healthcare</w:t>
      </w:r>
    </w:p>
    <w:p>
      <w:pPr>
        <w:spacing w:after="100"/>
      </w:pPr>
      <w:r>
        <w:rPr>
          <w:rFonts w:ascii="Arial" w:cs="Arial" w:eastAsia="Arial" w:hAnsi="Arial"/>
          <w:i/>
          <w:iCs/>
        </w:rPr>
        <w:t xml:space="preserve">Average UK EBITDA multiple: 7–8x. CQC registration critical. NHS contract dependencies require careful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Focus Area</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shd w:fill="F5EEF8" w:val="clear"/>
          </w:tcPr>
          <w:p>
            <w:r>
              <w:rPr>
                <w:rFonts w:ascii="Arial" w:cs="Arial" w:eastAsia="Arial" w:hAnsi="Arial"/>
                <w:sz w:val="20"/>
                <w:szCs w:val="20"/>
              </w:rPr>
              <w:t xml:space="preserve">CQC/Regulatory</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Current CQC rating (Good or Outstanding required for premium), inspection history, action plans, registration transfer process, regulated activity scope</w:t>
            </w:r>
          </w:p>
        </w:tc>
      </w:tr>
      <w:tr>
        <w:tc>
          <w:tcPr>
            <w:tcW w:type="dxa" w:w="2400"/>
            <w:tcBorders>
              <w:top w:val="single" w:color="CCCCCC" w:sz="1"/>
              <w:left w:val="single" w:color="CCCCCC" w:sz="1"/>
              <w:bottom w:val="single" w:color="CCCCCC" w:sz="1"/>
              <w:right w:val="single" w:color="CCCCCC" w:sz="1"/>
            </w:tcBorders>
            <w:shd w:fill="F5EEF8" w:val="clear"/>
          </w:tcPr>
          <w:p>
            <w:r>
              <w:rPr>
                <w:rFonts w:ascii="Arial" w:cs="Arial" w:eastAsia="Arial" w:hAnsi="Arial"/>
                <w:sz w:val="20"/>
                <w:szCs w:val="20"/>
              </w:rPr>
              <w:t xml:space="preserve">Clinical Governance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Clinical policies and procedures, incident reporting, safeguarding, clinical audit, complaints handling, professional registrations</w:t>
            </w:r>
          </w:p>
        </w:tc>
      </w:tr>
      <w:tr>
        <w:tc>
          <w:tcPr>
            <w:tcW w:type="dxa" w:w="2400"/>
            <w:tcBorders>
              <w:top w:val="single" w:color="CCCCCC" w:sz="1"/>
              <w:left w:val="single" w:color="CCCCCC" w:sz="1"/>
              <w:bottom w:val="single" w:color="CCCCCC" w:sz="1"/>
              <w:right w:val="single" w:color="CCCCCC" w:sz="1"/>
            </w:tcBorders>
            <w:shd w:fill="F5EEF8" w:val="clear"/>
          </w:tcPr>
          <w:p>
            <w:r>
              <w:rPr>
                <w:rFonts w:ascii="Arial" w:cs="Arial" w:eastAsia="Arial" w:hAnsi="Arial"/>
                <w:sz w:val="20"/>
                <w:szCs w:val="20"/>
              </w:rPr>
              <w:t xml:space="preserve">NHS Contracts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Contract terms and tenure, commissioner relationships, tariff exposure, Any Qualified Provider status, Block vs activity-based analysis</w:t>
            </w:r>
          </w:p>
        </w:tc>
      </w:tr>
      <w:tr>
        <w:tc>
          <w:tcPr>
            <w:tcW w:type="dxa" w:w="2400"/>
            <w:tcBorders>
              <w:top w:val="single" w:color="CCCCCC" w:sz="1"/>
              <w:left w:val="single" w:color="CCCCCC" w:sz="1"/>
              <w:bottom w:val="single" w:color="CCCCCC" w:sz="1"/>
              <w:right w:val="single" w:color="CCCCCC" w:sz="1"/>
            </w:tcBorders>
            <w:shd w:fill="F5EEF8" w:val="clear"/>
          </w:tcPr>
          <w:p>
            <w:r>
              <w:rPr>
                <w:rFonts w:ascii="Arial" w:cs="Arial" w:eastAsia="Arial" w:hAnsi="Arial"/>
                <w:sz w:val="20"/>
                <w:szCs w:val="20"/>
              </w:rPr>
              <w:t xml:space="preserve">Staffing</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Registered professional ratios, agency usage, recruitment pipeline, training/CPD, DBS compliance, fit and proper persons</w:t>
            </w:r>
          </w:p>
        </w:tc>
      </w:tr>
    </w:tbl>
    <w:p>
      <w:pPr>
        <w:pStyle w:val="Heading2"/>
      </w:pPr>
      <w:r>
        <w:t xml:space="preserve">Retail &amp; Hospitality</w:t>
      </w:r>
    </w:p>
    <w:p>
      <w:pPr>
        <w:spacing w:after="100"/>
      </w:pPr>
      <w:r>
        <w:rPr>
          <w:rFonts w:ascii="Arial" w:cs="Arial" w:eastAsia="Arial" w:hAnsi="Arial"/>
          <w:i/>
          <w:iCs/>
        </w:rPr>
        <w:t xml:space="preserve">Average UK EBITDA multiple: 4–6x. Lease liabilities and property costs critical. Seasonality analysis essential.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Focus Area</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Requirements</w:t>
            </w:r>
          </w:p>
        </w:tc>
      </w:tr>
      <w:tr>
        <w:tc>
          <w:tcPr>
            <w:tcW w:type="dxa" w:w="2400"/>
            <w:tcBorders>
              <w:top w:val="single" w:color="CCCCCC" w:sz="1"/>
              <w:left w:val="single" w:color="CCCCCC" w:sz="1"/>
              <w:bottom w:val="single" w:color="CCCCCC" w:sz="1"/>
              <w:right w:val="single" w:color="CCCCCC" w:sz="1"/>
            </w:tcBorders>
            <w:shd w:fill="FEF9E7" w:val="clear"/>
          </w:tcPr>
          <w:p>
            <w:r>
              <w:rPr>
                <w:rFonts w:ascii="Arial" w:cs="Arial" w:eastAsia="Arial" w:hAnsi="Arial"/>
                <w:sz w:val="20"/>
                <w:szCs w:val="20"/>
              </w:rPr>
              <w:t xml:space="preserve">Property Portfolio</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Lease register with terms/breaks, rent reviews, dilapidations exposure, landlord relationships, occupancy costs as % revenue</w:t>
            </w:r>
          </w:p>
        </w:tc>
      </w:tr>
      <w:tr>
        <w:tc>
          <w:tcPr>
            <w:tcW w:type="dxa" w:w="2400"/>
            <w:tcBorders>
              <w:top w:val="single" w:color="CCCCCC" w:sz="1"/>
              <w:left w:val="single" w:color="CCCCCC" w:sz="1"/>
              <w:bottom w:val="single" w:color="CCCCCC" w:sz="1"/>
              <w:right w:val="single" w:color="CCCCCC" w:sz="1"/>
            </w:tcBorders>
            <w:shd w:fill="FEF9E7" w:val="clear"/>
          </w:tcPr>
          <w:p>
            <w:r>
              <w:rPr>
                <w:rFonts w:ascii="Arial" w:cs="Arial" w:eastAsia="Arial" w:hAnsi="Arial"/>
                <w:sz w:val="20"/>
                <w:szCs w:val="20"/>
              </w:rPr>
              <w:t xml:space="preserve">Trading Analysis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Like-for-like sales, footfall/covers analysis, basket size trends, channel mix (online/offline), seasonality patterns</w:t>
            </w:r>
          </w:p>
        </w:tc>
      </w:tr>
      <w:tr>
        <w:tc>
          <w:tcPr>
            <w:tcW w:type="dxa" w:w="2400"/>
            <w:tcBorders>
              <w:top w:val="single" w:color="CCCCCC" w:sz="1"/>
              <w:left w:val="single" w:color="CCCCCC" w:sz="1"/>
              <w:bottom w:val="single" w:color="CCCCCC" w:sz="1"/>
              <w:right w:val="single" w:color="CCCCCC" w:sz="1"/>
            </w:tcBorders>
            <w:shd w:fill="FEF9E7" w:val="clear"/>
          </w:tcPr>
          <w:p>
            <w:r>
              <w:rPr>
                <w:rFonts w:ascii="Arial" w:cs="Arial" w:eastAsia="Arial" w:hAnsi="Arial"/>
                <w:sz w:val="20"/>
                <w:szCs w:val="20"/>
              </w:rPr>
              <w:t xml:space="preserve">Inventory</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Stock valuation policy, stock turn, shrinkage rates, aged inventory analysis, supplier terms</w:t>
            </w:r>
          </w:p>
        </w:tc>
      </w:tr>
      <w:tr>
        <w:tc>
          <w:tcPr>
            <w:tcW w:type="dxa" w:w="2400"/>
            <w:tcBorders>
              <w:top w:val="single" w:color="CCCCCC" w:sz="1"/>
              <w:left w:val="single" w:color="CCCCCC" w:sz="1"/>
              <w:bottom w:val="single" w:color="CCCCCC" w:sz="1"/>
              <w:right w:val="single" w:color="CCCCCC" w:sz="1"/>
            </w:tcBorders>
            <w:shd w:fill="FEF9E7" w:val="clear"/>
          </w:tcPr>
          <w:p>
            <w:r>
              <w:rPr>
                <w:rFonts w:ascii="Arial" w:cs="Arial" w:eastAsia="Arial" w:hAnsi="Arial"/>
                <w:sz w:val="20"/>
                <w:szCs w:val="20"/>
              </w:rPr>
              <w:t xml:space="preserve">Licences/Permits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Premises licences, food hygiene ratings, planning permissions, trading restrictions, franchise agreements if applicable</w:t>
            </w:r>
          </w:p>
        </w:tc>
      </w:tr>
    </w:tbl>
    <w:p>
      <w:r>
        <w:br w:type="page"/>
      </w:r>
    </w:p>
    <w:p>
      <w:pPr>
        <w:pStyle w:val="Heading1"/>
      </w:pPr>
      <w:r>
        <w:t xml:space="preserve">Buyer Type Considerations</w:t>
      </w:r>
    </w:p>
    <w:p>
      <w:pPr>
        <w:spacing w:after="200"/>
      </w:pPr>
      <w:r>
        <w:rPr>
          <w:rFonts w:ascii="Arial" w:cs="Arial" w:eastAsia="Arial" w:hAnsi="Arial"/>
        </w:rPr>
        <w:t xml:space="preserve">Different buyer types approach due diligence with different priorities, timescales, and focus areas. Understanding these differences helps sellers prepare appropriately and manage the process effectively.</w:t>
      </w:r>
    </w:p>
    <w:p>
      <w:pPr>
        <w:pStyle w:val="Heading2"/>
      </w:pPr>
      <w:r>
        <w:t xml:space="preserve">Trade Buyers (Strategic Acquirers)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Aspect</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Characteristics &amp; Implications</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Primary Focus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Strategic fit, synergy potential, integration complexity, customer/product overlap, competitive elimination</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DD Intensity</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Often lighter than PE if buyer knows the sector well. May focus on specific areas (IP, customers) rather than comprehensive review</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Timeline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Can be faster (4–8 weeks) as internal expertise reduces need for external advisors. However, corporate bureaucracy may cause delays</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Valuation Approach</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May pay premium for synergies (cost savings, revenue uplift). Often use internal models. Less rigorous on standalone basis</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Key Concerns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Integration planning, key person retention, customer transition, operational compatibility, cultural fit</w:t>
            </w:r>
          </w:p>
        </w:tc>
      </w:tr>
      <w:tr>
        <w:tc>
          <w:tcPr>
            <w:tcW w:type="dxa" w:w="2400"/>
            <w:tcBorders>
              <w:top w:val="single" w:color="CCCCCC" w:sz="1"/>
              <w:left w:val="single" w:color="CCCCCC" w:sz="1"/>
              <w:bottom w:val="single" w:color="CCCCCC" w:sz="1"/>
              <w:right w:val="single" w:color="CCCCCC" w:sz="1"/>
            </w:tcBorders>
            <w:shd w:fill="E8F4FD" w:val="clear"/>
          </w:tcPr>
          <w:p>
            <w:r>
              <w:rPr>
                <w:rFonts w:ascii="Arial" w:cs="Arial" w:eastAsia="Arial" w:hAnsi="Arial"/>
                <w:sz w:val="20"/>
                <w:szCs w:val="20"/>
              </w:rPr>
              <w:t xml:space="preserve">Confidentiality Risk</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Higher risk if competitor. Carefully stage information disclosure. Consider 'clean team' arrangements for sensitive data</w:t>
            </w:r>
          </w:p>
        </w:tc>
      </w:tr>
    </w:tbl>
    <w:p>
      <w:pPr>
        <w:pStyle w:val="Heading2"/>
      </w:pPr>
      <w:r>
        <w:t xml:space="preserve">Private Equity Buyers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Aspect</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Characteristics &amp; Implications</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Primary Focus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Financial returns (typically 20%+ IRR), value creation plan, exit route, management capability, growth potential</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DD Intensity</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Most comprehensive. Full FDD, CDD, LDD, ODD typically required. Must satisfy Investment Committee and often lenders</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Timeline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Typically 8–12 weeks for sub-£30m deals. Expect 500+ DD questions. Vendor DD significantly accelerates process</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Valuation Approach</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Rigorous EBITDA normalisation, multiple benchmarking, detailed forecasting. Conservative assumptions. Earn-out common</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Key Concerns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Quality of earnings, management depth, scalability, defensibility, add-on opportunity, exit multiple compression risk</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Management Role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Usually want management to reinvest (10–30% rollover). Incentive schemes (ratchets) for outperformance. Expect board seat(s)</w:t>
            </w:r>
          </w:p>
        </w:tc>
      </w:tr>
      <w:tr>
        <w:tc>
          <w:tcPr>
            <w:tcW w:type="dxa" w:w="2400"/>
            <w:tcBorders>
              <w:top w:val="single" w:color="CCCCCC" w:sz="1"/>
              <w:left w:val="single" w:color="CCCCCC" w:sz="1"/>
              <w:bottom w:val="single" w:color="CCCCCC" w:sz="1"/>
              <w:right w:val="single" w:color="CCCCCC" w:sz="1"/>
            </w:tcBorders>
            <w:shd w:fill="FDF2E9" w:val="clear"/>
          </w:tcPr>
          <w:p>
            <w:r>
              <w:rPr>
                <w:rFonts w:ascii="Arial" w:cs="Arial" w:eastAsia="Arial" w:hAnsi="Arial"/>
                <w:sz w:val="20"/>
                <w:szCs w:val="20"/>
              </w:rPr>
              <w:t xml:space="preserve">Deal Structure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Typically debt-funded (40–60% leverage). Locked-box preferred. Comprehensive warranties. W&amp;I insurance common</w:t>
            </w:r>
          </w:p>
        </w:tc>
      </w:tr>
    </w:tbl>
    <w:p>
      <w:r>
        <w:br w:type="page"/>
      </w:r>
    </w:p>
    <w:p>
      <w:pPr>
        <w:pStyle w:val="Heading2"/>
      </w:pPr>
      <w:r>
        <w:t xml:space="preserve">Listed Company Buyers (Main Market &amp; AIM)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Aspect</w:t>
            </w:r>
          </w:p>
        </w:tc>
        <w:tc>
          <w:tcPr>
            <w:tcW w:type="dxa" w:w="71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Characteristics &amp; Implications</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Primary Focus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EPS accretion, strategic rationale communication, shareholder approval (if required), reporting integration</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DD Intensity</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Comprehensive, particularly if 'Class 1' transaction requiring shareholder circular (though 2024 Listing Rule reforms relaxed this)</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Timeline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Can be longer (10–16 weeks) due to board approvals, shareholder requirements, regulatory announcements</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Valuation Approach</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Must demonstrate value to shareholders. EPS impact analysis. Fair value opinions may be required. Disclosure-driven</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Key Concerns</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Public disclosure requirements, announcement timing, leaks risk, warranty limitations, reputation risk</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Regulatory</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AIM Rules/Listing Rules compliance, NOMAD involvement for AIM acquirers, potential FCA/CMA notification</w:t>
            </w:r>
          </w:p>
        </w:tc>
      </w:tr>
      <w:tr>
        <w:tc>
          <w:tcPr>
            <w:tcW w:type="dxa" w:w="2400"/>
            <w:tcBorders>
              <w:top w:val="single" w:color="CCCCCC" w:sz="1"/>
              <w:left w:val="single" w:color="CCCCCC" w:sz="1"/>
              <w:bottom w:val="single" w:color="CCCCCC" w:sz="1"/>
              <w:right w:val="single" w:color="CCCCCC" w:sz="1"/>
            </w:tcBorders>
            <w:shd w:fill="E9F7EF" w:val="clear"/>
          </w:tcPr>
          <w:p>
            <w:r>
              <w:rPr>
                <w:rFonts w:ascii="Arial" w:cs="Arial" w:eastAsia="Arial" w:hAnsi="Arial"/>
                <w:sz w:val="20"/>
                <w:szCs w:val="20"/>
              </w:rPr>
              <w:t xml:space="preserve">Deal Structure</w:t>
            </w:r>
          </w:p>
        </w:tc>
        <w:tc>
          <w:tcPr>
            <w:tcW w:type="dxa" w:w="71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Often paper consideration (shares). Warranties typically more limited. Disclosure letter critical. Completion accounts common</w:t>
            </w:r>
          </w:p>
        </w:tc>
      </w:tr>
    </w:tbl>
    <w:p>
      <w:pPr>
        <w:pStyle w:val="Heading3"/>
      </w:pPr>
      <w:r>
        <w:t xml:space="preserve">Buyer Type Comparison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Factor</w:t>
            </w:r>
          </w:p>
        </w:tc>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PE</w:t>
            </w:r>
          </w:p>
        </w:tc>
        <w:tc>
          <w:tcPr>
            <w:tcW w:type="dxa" w:w="2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Listed</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Typical DD Duration</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4–8 weeks</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8–12 weeks</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10–16 weeks</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DD Question Volume</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200–400</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500–800</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400–600</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Vendor DD Value</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Helpful</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Strongly Recommended</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Often Required</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Synergy Premium</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10–30%</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Rare</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5–15%</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Earn-out Frequency</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30–40%</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50–70%</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20–30%</w:t>
            </w:r>
          </w:p>
        </w:tc>
      </w:tr>
      <w:tr>
        <w:tc>
          <w:tcPr>
            <w:tcW w:type="dxa" w:w="24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Management Retention</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12–24 months</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3–5 years</w:t>
            </w:r>
          </w:p>
        </w:tc>
        <w:tc>
          <w:tcPr>
            <w:tcW w:type="dxa" w:w="24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12–24 months</w:t>
            </w:r>
          </w:p>
        </w:tc>
      </w:tr>
    </w:tbl>
    <w:p>
      <w:r>
        <w:br w:type="page"/>
      </w:r>
    </w:p>
    <w:p>
      <w:pPr>
        <w:pStyle w:val="Heading1"/>
      </w:pPr>
      <w:r>
        <w:t xml:space="preserve">Scoring and Interpretation</w:t>
      </w:r>
    </w:p>
    <w:p>
      <w:pPr>
        <w:pStyle w:val="Heading2"/>
      </w:pPr>
      <w:r>
        <w:t xml:space="preserve">Overall Score Calculation</w:t>
      </w:r>
    </w:p>
    <w:p>
      <w:pPr>
        <w:spacing w:after="200"/>
      </w:pPr>
      <w:r>
        <w:rPr>
          <w:rFonts w:ascii="Arial" w:cs="Arial" w:eastAsia="Arial" w:hAnsi="Arial"/>
        </w:rPr>
        <w:t xml:space="preserve">Score each of the six domains from 0–4 based on the tiered requirements appropriate to your valuation tier. Total possible score: 24 (6 domains × 4 maximum).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500"/>
      </w:tblGrid>
      <w:tr>
        <w:trPr>
          <w:tblHeader/>
        </w:trPr>
        <w:tc>
          <w:tcPr>
            <w:tcW w:type="dxa" w:w="1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Score Range</w:t>
            </w:r>
          </w:p>
        </w:tc>
        <w:tc>
          <w:tcPr>
            <w:tcW w:type="dxa" w:w="34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Readiness Level</w:t>
            </w:r>
          </w:p>
        </w:tc>
        <w:tc>
          <w:tcPr>
            <w:tcW w:type="dxa" w:w="45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Recommended Action</w:t>
            </w:r>
          </w:p>
        </w:tc>
      </w:tr>
      <w:tr>
        <w:tc>
          <w:tcPr>
            <w:tcW w:type="dxa" w:w="1600"/>
            <w:tcBorders>
              <w:top w:val="single" w:color="CCCCCC" w:sz="1"/>
              <w:left w:val="single" w:color="CCCCCC" w:sz="1"/>
              <w:bottom w:val="single" w:color="CCCCCC" w:sz="1"/>
              <w:right w:val="single" w:color="CCCCCC" w:sz="1"/>
            </w:tcBorders>
            <w:shd w:fill="F8D7DA" w:val="clear"/>
          </w:tcPr>
          <w:p>
            <w:pPr>
              <w:jc w:val="center"/>
            </w:pPr>
            <w:r>
              <w:rPr>
                <w:rFonts w:ascii="Arial" w:cs="Arial" w:eastAsia="Arial" w:hAnsi="Arial"/>
                <w:b/>
                <w:bCs/>
                <w:sz w:val="20"/>
                <w:szCs w:val="20"/>
              </w:rPr>
              <w:t xml:space="preserve">0–6</w:t>
            </w:r>
          </w:p>
        </w:tc>
        <w:tc>
          <w:tcPr>
            <w:tcW w:type="dxa" w:w="3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Not Ready</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12–24 month remediation required. Focus on domains scoring 0–1. Consider if sale is the right strategy.</w:t>
            </w:r>
          </w:p>
        </w:tc>
      </w:tr>
      <w:tr>
        <w:tc>
          <w:tcPr>
            <w:tcW w:type="dxa" w:w="1600"/>
            <w:tcBorders>
              <w:top w:val="single" w:color="CCCCCC" w:sz="1"/>
              <w:left w:val="single" w:color="CCCCCC" w:sz="1"/>
              <w:bottom w:val="single" w:color="CCCCCC" w:sz="1"/>
              <w:right w:val="single" w:color="CCCCCC" w:sz="1"/>
            </w:tcBorders>
            <w:shd w:fill="FFF3CD" w:val="clear"/>
          </w:tcPr>
          <w:p>
            <w:pPr>
              <w:jc w:val="center"/>
            </w:pPr>
            <w:r>
              <w:rPr>
                <w:rFonts w:ascii="Arial" w:cs="Arial" w:eastAsia="Arial" w:hAnsi="Arial"/>
                <w:b/>
                <w:bCs/>
                <w:sz w:val="20"/>
                <w:szCs w:val="20"/>
              </w:rPr>
              <w:t xml:space="preserve">7–12</w:t>
            </w:r>
          </w:p>
        </w:tc>
        <w:tc>
          <w:tcPr>
            <w:tcW w:type="dxa" w:w="3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Partially Ready</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6–12 month improvement plan. Engage exit planning advisor. Vendor assistance recommended in weak domains.</w:t>
            </w:r>
          </w:p>
        </w:tc>
      </w:tr>
      <w:tr>
        <w:tc>
          <w:tcPr>
            <w:tcW w:type="dxa" w:w="1600"/>
            <w:tcBorders>
              <w:top w:val="single" w:color="CCCCCC" w:sz="1"/>
              <w:left w:val="single" w:color="CCCCCC" w:sz="1"/>
              <w:bottom w:val="single" w:color="CCCCCC" w:sz="1"/>
              <w:right w:val="single" w:color="CCCCCC" w:sz="1"/>
            </w:tcBorders>
            <w:shd w:fill="D1ECF1" w:val="clear"/>
          </w:tcPr>
          <w:p>
            <w:pPr>
              <w:jc w:val="center"/>
            </w:pPr>
            <w:r>
              <w:rPr>
                <w:rFonts w:ascii="Arial" w:cs="Arial" w:eastAsia="Arial" w:hAnsi="Arial"/>
                <w:b/>
                <w:bCs/>
                <w:sz w:val="20"/>
                <w:szCs w:val="20"/>
              </w:rPr>
              <w:t xml:space="preserve">13–18</w:t>
            </w:r>
          </w:p>
        </w:tc>
        <w:tc>
          <w:tcPr>
            <w:tcW w:type="dxa" w:w="3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Substantially Ready</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Addressable gaps. Market approach in 3–6 months. Vendor DD recommended for domains below Level 3.</w:t>
            </w:r>
          </w:p>
        </w:tc>
      </w:tr>
      <w:tr>
        <w:tc>
          <w:tcPr>
            <w:tcW w:type="dxa" w:w="1600"/>
            <w:tcBorders>
              <w:top w:val="single" w:color="CCCCCC" w:sz="1"/>
              <w:left w:val="single" w:color="CCCCCC" w:sz="1"/>
              <w:bottom w:val="single" w:color="CCCCCC" w:sz="1"/>
              <w:right w:val="single" w:color="CCCCCC" w:sz="1"/>
            </w:tcBorders>
            <w:shd w:fill="C3E6CB" w:val="clear"/>
          </w:tcPr>
          <w:p>
            <w:pPr>
              <w:jc w:val="center"/>
            </w:pPr>
            <w:r>
              <w:rPr>
                <w:rFonts w:ascii="Arial" w:cs="Arial" w:eastAsia="Arial" w:hAnsi="Arial"/>
                <w:b/>
                <w:bCs/>
                <w:sz w:val="20"/>
                <w:szCs w:val="20"/>
              </w:rPr>
              <w:t xml:space="preserve">19–24</w:t>
            </w:r>
          </w:p>
        </w:tc>
        <w:tc>
          <w:tcPr>
            <w:tcW w:type="dxa" w:w="3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Transaction Ready</w:t>
            </w:r>
          </w:p>
        </w:tc>
        <w:tc>
          <w:tcPr>
            <w:tcW w:type="dxa" w:w="45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Premium positioning. Full vendor DD recommended. Competitive auction appropriate. Immediate market approach.</w:t>
            </w:r>
          </w:p>
        </w:tc>
      </w:tr>
    </w:tbl>
    <w:p>
      <w:pPr>
        <w:pStyle w:val="Heading2"/>
      </w:pPr>
      <w:r>
        <w:t xml:space="preserve">Critical Thresholds</w:t>
      </w:r>
    </w:p>
    <w:p>
      <w:pPr>
        <w:spacing w:after="100"/>
      </w:pPr>
      <w:r>
        <w:rPr>
          <w:rFonts w:ascii="Arial" w:cs="Arial" w:eastAsia="Arial" w:hAnsi="Arial"/>
        </w:rPr>
        <w:t xml:space="preserve">Regardless of total score, certain minimum thresholds must be met:</w:t>
      </w:r>
    </w:p>
    <w:p>
      <w:pPr>
        <w:pStyle w:val="ListParagraph"/>
        <w:numPr>
          <w:ilvl w:val="0"/>
          <w:numId w:val="2"/>
        </w:numPr>
      </w:pPr>
      <w:r>
        <w:rPr>
          <w:rFonts w:ascii="Arial" w:cs="Arial" w:eastAsia="Arial" w:hAnsi="Arial"/>
          <w:b/>
          <w:bCs/>
        </w:rPr>
        <w:t xml:space="preserve">Any domain scoring 0: </w:t>
      </w:r>
      <w:r>
        <w:rPr>
          <w:rFonts w:ascii="Arial" w:cs="Arial" w:eastAsia="Arial" w:hAnsi="Arial"/>
        </w:rPr>
        <w:t xml:space="preserve">Must address before market approach. Potential deal-breaker for any buyer type.</w:t>
      </w:r>
    </w:p>
    <w:p>
      <w:pPr>
        <w:pStyle w:val="ListParagraph"/>
        <w:numPr>
          <w:ilvl w:val="0"/>
          <w:numId w:val="2"/>
        </w:numPr>
      </w:pPr>
      <w:r>
        <w:rPr>
          <w:rFonts w:ascii="Arial" w:cs="Arial" w:eastAsia="Arial" w:hAnsi="Arial"/>
          <w:b/>
          <w:bCs/>
        </w:rPr>
        <w:t xml:space="preserve">Financial below Level 2: </w:t>
      </w:r>
      <w:r>
        <w:rPr>
          <w:rFonts w:ascii="Arial" w:cs="Arial" w:eastAsia="Arial" w:hAnsi="Arial"/>
        </w:rPr>
        <w:t xml:space="preserve">Buyers cannot value business. Priority remediation required.</w:t>
      </w:r>
    </w:p>
    <w:p>
      <w:pPr>
        <w:pStyle w:val="ListParagraph"/>
        <w:numPr>
          <w:ilvl w:val="0"/>
          <w:numId w:val="2"/>
        </w:numPr>
      </w:pPr>
      <w:r>
        <w:rPr>
          <w:rFonts w:ascii="Arial" w:cs="Arial" w:eastAsia="Arial" w:hAnsi="Arial"/>
          <w:b/>
          <w:bCs/>
        </w:rPr>
        <w:t xml:space="preserve">Legal below Level 2: </w:t>
      </w:r>
      <w:r>
        <w:rPr>
          <w:rFonts w:ascii="Arial" w:cs="Arial" w:eastAsia="Arial" w:hAnsi="Arial"/>
        </w:rPr>
        <w:t xml:space="preserve">Transaction mechanics problematic. Deal completion at risk.</w:t>
      </w:r>
    </w:p>
    <w:p>
      <w:pPr>
        <w:pStyle w:val="ListParagraph"/>
        <w:numPr>
          <w:ilvl w:val="0"/>
          <w:numId w:val="2"/>
        </w:numPr>
      </w:pPr>
      <w:r>
        <w:rPr>
          <w:rFonts w:ascii="Arial" w:cs="Arial" w:eastAsia="Arial" w:hAnsi="Arial"/>
          <w:b/>
          <w:bCs/>
        </w:rPr>
        <w:t xml:space="preserve">ESG below Level 2 (for £30m deals): </w:t>
      </w:r>
      <w:r>
        <w:rPr>
          <w:rFonts w:ascii="Arial" w:cs="Arial" w:eastAsia="Arial" w:hAnsi="Arial"/>
        </w:rPr>
        <w:t xml:space="preserve">Increasingly important for PE buyers. May exclude from certain processes.</w:t>
      </w:r>
    </w:p>
    <w:p>
      <w:pPr>
        <w:pStyle w:val="Heading2"/>
      </w:pPr>
      <w:r>
        <w:t xml:space="preserve">Tier-Specific Minimum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600"/>
      </w:tblGrid>
      <w:tr>
        <w:trPr>
          <w:tblHeader/>
        </w:trPr>
        <w:tc>
          <w:tcPr>
            <w:tcW w:type="dxa" w:w="20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Domain</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Pre-Revenue Minimum</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£5m Minimum</w:t>
            </w:r>
          </w:p>
        </w:tc>
        <w:tc>
          <w:tcPr>
            <w:tcW w:type="dxa" w:w="2600"/>
            <w:tcBorders>
              <w:top w:val="single" w:color="CCCCCC" w:sz="1"/>
              <w:left w:val="single" w:color="CCCCCC" w:sz="1"/>
              <w:bottom w:val="single" w:color="CCCCCC" w:sz="1"/>
              <w:right w:val="single" w:color="CCCCCC" w:sz="1"/>
            </w:tcBorders>
            <w:shd w:fill="2C3E50" w:val="clear"/>
          </w:tcPr>
          <w:p>
            <w:pPr>
              <w:jc w:val="center"/>
            </w:pPr>
            <w:r>
              <w:rPr>
                <w:rFonts w:ascii="Arial" w:cs="Arial" w:eastAsia="Arial" w:hAnsi="Arial"/>
                <w:b/>
                <w:bCs/>
                <w:color w:val="FFFFFF"/>
                <w:sz w:val="20"/>
                <w:szCs w:val="20"/>
              </w:rPr>
              <w:t xml:space="preserve">£30m Minimum</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Financial</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1</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Legal &amp; Corporate</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1</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Commercial</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1</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Operational</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1</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People &amp; Organisation</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1</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3</w:t>
            </w:r>
          </w:p>
        </w:tc>
      </w:tr>
      <w:tr>
        <w:tc>
          <w:tcPr>
            <w:tcW w:type="dxa" w:w="2000"/>
            <w:tcBorders>
              <w:top w:val="single" w:color="CCCCCC" w:sz="1"/>
              <w:left w:val="single" w:color="CCCCCC" w:sz="1"/>
              <w:bottom w:val="single" w:color="CCCCCC" w:sz="1"/>
              <w:right w:val="single" w:color="CCCCCC" w:sz="1"/>
            </w:tcBorders>
            <w:shd w:fill="F8F9FA" w:val="clear"/>
          </w:tcPr>
          <w:p>
            <w:r>
              <w:rPr>
                <w:rFonts w:ascii="Arial" w:cs="Arial" w:eastAsia="Arial" w:hAnsi="Arial"/>
                <w:sz w:val="20"/>
                <w:szCs w:val="20"/>
              </w:rPr>
              <w:t xml:space="preserve">ESG &amp; Risk</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0</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1</w:t>
            </w:r>
          </w:p>
        </w:tc>
        <w:tc>
          <w:tcPr>
            <w:tcW w:type="dxa" w:w="26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Level 2</w:t>
            </w:r>
          </w:p>
        </w:tc>
      </w:tr>
    </w:tbl>
    <w:p>
      <w:r>
        <w:br w:type="page"/>
      </w:r>
    </w:p>
    <w:p>
      <w:pPr>
        <w:pStyle w:val="Heading1"/>
      </w:pPr>
      <w:r>
        <w:t xml:space="preserve">Using This Framework</w:t>
      </w:r>
    </w:p>
    <w:p>
      <w:pPr>
        <w:pStyle w:val="Heading2"/>
      </w:pPr>
      <w:r>
        <w:t xml:space="preserve">Self-Assessment Process</w:t>
      </w:r>
    </w:p>
    <w:p>
      <w:pPr>
        <w:pStyle w:val="ListParagraph"/>
        <w:numPr>
          <w:ilvl w:val="0"/>
          <w:numId w:val="3"/>
        </w:numPr>
      </w:pPr>
      <w:r>
        <w:rPr>
          <w:rFonts w:ascii="Arial" w:cs="Arial" w:eastAsia="Arial" w:hAnsi="Arial"/>
          <w:b/>
          <w:bCs/>
        </w:rPr>
        <w:t xml:space="preserve">Determine your valuation tier: </w:t>
      </w:r>
      <w:r>
        <w:rPr>
          <w:rFonts w:ascii="Arial" w:cs="Arial" w:eastAsia="Arial" w:hAnsi="Arial"/>
        </w:rPr>
        <w:t xml:space="preserve">Pre-revenue, ~£5m, or up to £30m. If uncertain, use the lower tier standards as minimum.</w:t>
      </w:r>
    </w:p>
    <w:p>
      <w:pPr>
        <w:pStyle w:val="ListParagraph"/>
        <w:numPr>
          <w:ilvl w:val="0"/>
          <w:numId w:val="3"/>
        </w:numPr>
      </w:pPr>
      <w:r>
        <w:rPr>
          <w:rFonts w:ascii="Arial" w:cs="Arial" w:eastAsia="Arial" w:hAnsi="Arial"/>
          <w:b/>
          <w:bCs/>
        </w:rPr>
        <w:t xml:space="preserve">Identify your likely buyer type(s): </w:t>
      </w:r>
      <w:r>
        <w:rPr>
          <w:rFonts w:ascii="Arial" w:cs="Arial" w:eastAsia="Arial" w:hAnsi="Arial"/>
        </w:rPr>
        <w:t xml:space="preserve">Trade, PE, or Listed. Prepare for the most demanding buyer you might encounter.</w:t>
      </w:r>
    </w:p>
    <w:p>
      <w:pPr>
        <w:pStyle w:val="ListParagraph"/>
        <w:numPr>
          <w:ilvl w:val="0"/>
          <w:numId w:val="3"/>
        </w:numPr>
      </w:pPr>
      <w:r>
        <w:rPr>
          <w:rFonts w:ascii="Arial" w:cs="Arial" w:eastAsia="Arial" w:hAnsi="Arial"/>
          <w:b/>
          <w:bCs/>
        </w:rPr>
        <w:t xml:space="preserve">Review industry-specific requirements: </w:t>
      </w:r>
      <w:r>
        <w:rPr>
          <w:rFonts w:ascii="Arial" w:cs="Arial" w:eastAsia="Arial" w:hAnsi="Arial"/>
        </w:rPr>
        <w:t xml:space="preserve">Add sector-specific considerations to the core six domains.</w:t>
      </w:r>
    </w:p>
    <w:p>
      <w:pPr>
        <w:pStyle w:val="ListParagraph"/>
        <w:numPr>
          <w:ilvl w:val="0"/>
          <w:numId w:val="3"/>
        </w:numPr>
      </w:pPr>
      <w:r>
        <w:rPr>
          <w:rFonts w:ascii="Arial" w:cs="Arial" w:eastAsia="Arial" w:hAnsi="Arial"/>
          <w:b/>
          <w:bCs/>
        </w:rPr>
        <w:t xml:space="preserve">Gather evidence for each domain: </w:t>
      </w:r>
      <w:r>
        <w:rPr>
          <w:rFonts w:ascii="Arial" w:cs="Arial" w:eastAsia="Arial" w:hAnsi="Arial"/>
        </w:rPr>
        <w:t xml:space="preserve">Score based on documented evidence, not aspirations or intentions.</w:t>
      </w:r>
    </w:p>
    <w:p>
      <w:pPr>
        <w:pStyle w:val="ListParagraph"/>
        <w:numPr>
          <w:ilvl w:val="0"/>
          <w:numId w:val="3"/>
        </w:numPr>
      </w:pPr>
      <w:r>
        <w:rPr>
          <w:rFonts w:ascii="Arial" w:cs="Arial" w:eastAsia="Arial" w:hAnsi="Arial"/>
          <w:b/>
          <w:bCs/>
        </w:rPr>
        <w:t xml:space="preserve">Score honestly: </w:t>
      </w:r>
      <w:r>
        <w:rPr>
          <w:rFonts w:ascii="Arial" w:cs="Arial" w:eastAsia="Arial" w:hAnsi="Arial"/>
        </w:rPr>
        <w:t xml:space="preserve">If in doubt, score lower. Buyers will find gaps—it's better to identify them first.</w:t>
      </w:r>
    </w:p>
    <w:p>
      <w:pPr>
        <w:pStyle w:val="ListParagraph"/>
        <w:numPr>
          <w:ilvl w:val="0"/>
          <w:numId w:val="3"/>
        </w:numPr>
      </w:pPr>
      <w:r>
        <w:rPr>
          <w:rFonts w:ascii="Arial" w:cs="Arial" w:eastAsia="Arial" w:hAnsi="Arial"/>
          <w:b/>
          <w:bCs/>
        </w:rPr>
        <w:t xml:space="preserve">Document gaps: </w:t>
      </w:r>
      <w:r>
        <w:rPr>
          <w:rFonts w:ascii="Arial" w:cs="Arial" w:eastAsia="Arial" w:hAnsi="Arial"/>
        </w:rPr>
        <w:t xml:space="preserve">For each domain, note specific gaps and remediation actions required.</w:t>
      </w:r>
    </w:p>
    <w:p>
      <w:pPr>
        <w:pStyle w:val="ListParagraph"/>
        <w:numPr>
          <w:ilvl w:val="0"/>
          <w:numId w:val="3"/>
        </w:numPr>
      </w:pPr>
      <w:r>
        <w:rPr>
          <w:rFonts w:ascii="Arial" w:cs="Arial" w:eastAsia="Arial" w:hAnsi="Arial"/>
          <w:b/>
          <w:bCs/>
        </w:rPr>
        <w:t xml:space="preserve">Prioritise: </w:t>
      </w:r>
      <w:r>
        <w:rPr>
          <w:rFonts w:ascii="Arial" w:cs="Arial" w:eastAsia="Arial" w:hAnsi="Arial"/>
        </w:rPr>
        <w:t xml:space="preserve">Address domains scoring 0–1 first. Financial and Legal are typically prerequisites for any transaction.</w:t>
      </w:r>
    </w:p>
    <w:p>
      <w:pPr>
        <w:pStyle w:val="ListParagraph"/>
        <w:numPr>
          <w:ilvl w:val="0"/>
          <w:numId w:val="3"/>
        </w:numPr>
      </w:pPr>
      <w:r>
        <w:rPr>
          <w:rFonts w:ascii="Arial" w:cs="Arial" w:eastAsia="Arial" w:hAnsi="Arial"/>
          <w:b/>
          <w:bCs/>
        </w:rPr>
        <w:t xml:space="preserve">Set targets: </w:t>
      </w:r>
      <w:r>
        <w:rPr>
          <w:rFonts w:ascii="Arial" w:cs="Arial" w:eastAsia="Arial" w:hAnsi="Arial"/>
        </w:rPr>
        <w:t xml:space="preserve">Aim for tier-appropriate minimum across all domains before market approach.</w:t>
      </w:r>
    </w:p>
    <w:p>
      <w:pPr>
        <w:pStyle w:val="Heading2"/>
      </w:pPr>
      <w:r>
        <w:t xml:space="preserve">When to Seek Professional Support</w:t>
      </w:r>
    </w:p>
    <w:p>
      <w:pPr>
        <w:spacing w:after="100"/>
      </w:pPr>
      <w:r>
        <w:rPr>
          <w:rFonts w:ascii="Arial" w:cs="Arial" w:eastAsia="Arial" w:hAnsi="Arial"/>
        </w:rPr>
        <w:t xml:space="preserve">Consider engaging M&amp;A advisors when:</w:t>
      </w:r>
    </w:p>
    <w:p>
      <w:pPr>
        <w:pStyle w:val="ListParagraph"/>
        <w:numPr>
          <w:ilvl w:val="0"/>
          <w:numId w:val="2"/>
        </w:numPr>
      </w:pPr>
      <w:r>
        <w:rPr>
          <w:rFonts w:ascii="Arial" w:cs="Arial" w:eastAsia="Arial" w:hAnsi="Arial"/>
        </w:rPr>
        <w:t xml:space="preserve">Any domain scores 0 and you lack internal capability to remediate</w:t>
      </w:r>
    </w:p>
    <w:p>
      <w:pPr>
        <w:pStyle w:val="ListParagraph"/>
        <w:numPr>
          <w:ilvl w:val="0"/>
          <w:numId w:val="2"/>
        </w:numPr>
      </w:pPr>
      <w:r>
        <w:rPr>
          <w:rFonts w:ascii="Arial" w:cs="Arial" w:eastAsia="Arial" w:hAnsi="Arial"/>
        </w:rPr>
        <w:t xml:space="preserve">Total score below 12 with sale timeline under 12 months</w:t>
      </w:r>
    </w:p>
    <w:p>
      <w:pPr>
        <w:pStyle w:val="ListParagraph"/>
        <w:numPr>
          <w:ilvl w:val="0"/>
          <w:numId w:val="2"/>
        </w:numPr>
      </w:pPr>
      <w:r>
        <w:rPr>
          <w:rFonts w:ascii="Arial" w:cs="Arial" w:eastAsia="Arial" w:hAnsi="Arial"/>
        </w:rPr>
        <w:t xml:space="preserve">Targeting PE buyers (more rigorous DD requirements)</w:t>
      </w:r>
    </w:p>
    <w:p>
      <w:pPr>
        <w:pStyle w:val="ListParagraph"/>
        <w:numPr>
          <w:ilvl w:val="0"/>
          <w:numId w:val="2"/>
        </w:numPr>
      </w:pPr>
      <w:r>
        <w:rPr>
          <w:rFonts w:ascii="Arial" w:cs="Arial" w:eastAsia="Arial" w:hAnsi="Arial"/>
        </w:rPr>
        <w:t xml:space="preserve">Valuation above £10m (complexity justifies advisory cost)</w:t>
      </w:r>
    </w:p>
    <w:p>
      <w:pPr>
        <w:pStyle w:val="ListParagraph"/>
        <w:numPr>
          <w:ilvl w:val="0"/>
          <w:numId w:val="2"/>
        </w:numPr>
      </w:pPr>
      <w:r>
        <w:rPr>
          <w:rFonts w:ascii="Arial" w:cs="Arial" w:eastAsia="Arial" w:hAnsi="Arial"/>
        </w:rPr>
        <w:t xml:space="preserve">Regulated industry (Healthcare, Financial Services)</w:t>
      </w:r>
    </w:p>
    <w:p>
      <w:pPr>
        <w:pStyle w:val="ListParagraph"/>
        <w:numPr>
          <w:ilvl w:val="0"/>
          <w:numId w:val="2"/>
        </w:numPr>
      </w:pPr>
      <w:r>
        <w:rPr>
          <w:rFonts w:ascii="Arial" w:cs="Arial" w:eastAsia="Arial" w:hAnsi="Arial"/>
        </w:rPr>
        <w:t xml:space="preserve">Cross-border elements or complex structure</w:t>
      </w:r>
    </w:p>
    <w:p>
      <w:pPr>
        <w:pStyle w:val="ListParagraph"/>
        <w:numPr>
          <w:ilvl w:val="0"/>
          <w:numId w:val="2"/>
        </w:numPr>
      </w:pPr>
      <w:r>
        <w:rPr>
          <w:rFonts w:ascii="Arial" w:cs="Arial" w:eastAsia="Arial" w:hAnsi="Arial"/>
        </w:rPr>
        <w:t xml:space="preserve">Seeking competitive auction process</w:t>
      </w:r>
    </w:p>
    <w:p>
      <w:pPr>
        <w:pStyle w:val="Heading2"/>
      </w:pPr>
      <w:r>
        <w:t xml:space="preserve">Key Principles</w:t>
      </w:r>
    </w:p>
    <w:p>
      <w:pPr>
        <w:spacing w:after="200"/>
      </w:pPr>
      <w:r>
        <w:rPr>
          <w:rFonts w:ascii="Arial" w:cs="Arial" w:eastAsia="Arial" w:hAnsi="Arial"/>
        </w:rPr>
        <w:t xml:space="preserve">Remember: a company scoring Level 2 across all domains with known gaps documented is </w:t>
      </w:r>
      <w:r>
        <w:rPr>
          <w:rFonts w:ascii="Arial" w:cs="Arial" w:eastAsia="Arial" w:hAnsi="Arial"/>
          <w:b/>
          <w:bCs/>
        </w:rPr>
        <w:t xml:space="preserve">more ready </w:t>
      </w:r>
      <w:r>
        <w:rPr>
          <w:rFonts w:ascii="Arial" w:cs="Arial" w:eastAsia="Arial" w:hAnsi="Arial"/>
        </w:rPr>
        <w:t xml:space="preserve">than one claiming Level 3 with undiscovered problems. Buyers value:</w:t>
      </w:r>
    </w:p>
    <w:p>
      <w:pPr>
        <w:pStyle w:val="ListParagraph"/>
        <w:numPr>
          <w:ilvl w:val="0"/>
          <w:numId w:val="2"/>
        </w:numPr>
      </w:pPr>
      <w:r>
        <w:rPr>
          <w:rFonts w:ascii="Arial" w:cs="Arial" w:eastAsia="Arial" w:hAnsi="Arial"/>
          <w:b/>
          <w:bCs/>
        </w:rPr>
        <w:t xml:space="preserve">Transparency: </w:t>
      </w:r>
      <w:r>
        <w:rPr>
          <w:rFonts w:ascii="Arial" w:cs="Arial" w:eastAsia="Arial" w:hAnsi="Arial"/>
        </w:rPr>
        <w:t xml:space="preserve">Proactive disclosure reduces buyer risk perception</w:t>
      </w:r>
    </w:p>
    <w:p>
      <w:pPr>
        <w:pStyle w:val="ListParagraph"/>
        <w:numPr>
          <w:ilvl w:val="0"/>
          <w:numId w:val="2"/>
        </w:numPr>
      </w:pPr>
      <w:r>
        <w:rPr>
          <w:rFonts w:ascii="Arial" w:cs="Arial" w:eastAsia="Arial" w:hAnsi="Arial"/>
          <w:b/>
          <w:bCs/>
        </w:rPr>
        <w:t xml:space="preserve">Accuracy: </w:t>
      </w:r>
      <w:r>
        <w:rPr>
          <w:rFonts w:ascii="Arial" w:cs="Arial" w:eastAsia="Arial" w:hAnsi="Arial"/>
        </w:rPr>
        <w:t xml:space="preserve">Reliable information builds trust and speeds transactions</w:t>
      </w:r>
    </w:p>
    <w:p>
      <w:pPr>
        <w:pStyle w:val="ListParagraph"/>
        <w:numPr>
          <w:ilvl w:val="0"/>
          <w:numId w:val="2"/>
        </w:numPr>
      </w:pPr>
      <w:r>
        <w:rPr>
          <w:rFonts w:ascii="Arial" w:cs="Arial" w:eastAsia="Arial" w:hAnsi="Arial"/>
          <w:b/>
          <w:bCs/>
        </w:rPr>
        <w:t xml:space="preserve">Organisation: </w:t>
      </w:r>
      <w:r>
        <w:rPr>
          <w:rFonts w:ascii="Arial" w:cs="Arial" w:eastAsia="Arial" w:hAnsi="Arial"/>
        </w:rPr>
        <w:t xml:space="preserve">Structured data rooms accelerate DD and reduce costs</w:t>
      </w:r>
    </w:p>
    <w:p>
      <w:pPr>
        <w:pStyle w:val="ListParagraph"/>
        <w:numPr>
          <w:ilvl w:val="0"/>
          <w:numId w:val="2"/>
        </w:numPr>
      </w:pPr>
      <w:r>
        <w:rPr>
          <w:rFonts w:ascii="Arial" w:cs="Arial" w:eastAsia="Arial" w:hAnsi="Arial"/>
          <w:b/>
          <w:bCs/>
        </w:rPr>
        <w:t xml:space="preserve">Realism: </w:t>
      </w:r>
      <w:r>
        <w:rPr>
          <w:rFonts w:ascii="Arial" w:cs="Arial" w:eastAsia="Arial" w:hAnsi="Arial"/>
        </w:rPr>
        <w:t xml:space="preserve">Sellers who understand weaknesses negotiate more effectively</w:t>
      </w:r>
    </w:p>
    <w:p>
      <w:r>
        <w:br w:type="page"/>
      </w:r>
    </w:p>
    <w:p>
      <w:pPr>
        <w:pStyle w:val="Heading1"/>
      </w:pPr>
      <w:r>
        <w:t xml:space="preserve">Sources and Methodology</w:t>
      </w:r>
    </w:p>
    <w:p>
      <w:pPr>
        <w:pStyle w:val="Heading2"/>
      </w:pPr>
      <w:r>
        <w:t xml:space="preserve">Primary Sources</w:t>
      </w:r>
    </w:p>
    <w:p>
      <w:pPr>
        <w:pStyle w:val="ListParagraph"/>
        <w:numPr>
          <w:ilvl w:val="0"/>
          <w:numId w:val="4"/>
        </w:numPr>
      </w:pPr>
      <w:r>
        <w:rPr>
          <w:rFonts w:ascii="Arial" w:cs="Arial" w:eastAsia="Arial" w:hAnsi="Arial"/>
        </w:rPr>
        <w:t xml:space="preserve">ICAEW Financial Due Diligence Guideline (2024) — UK standard for FDD scope</w:t>
      </w:r>
    </w:p>
    <w:p>
      <w:pPr>
        <w:pStyle w:val="ListParagraph"/>
        <w:numPr>
          <w:ilvl w:val="0"/>
          <w:numId w:val="4"/>
        </w:numPr>
      </w:pPr>
      <w:r>
        <w:rPr>
          <w:rFonts w:ascii="Arial" w:cs="Arial" w:eastAsia="Arial" w:hAnsi="Arial"/>
        </w:rPr>
        <w:t xml:space="preserve">ICAEW Commercial Due Diligence Guideline (2025) — Latest CDD best practice</w:t>
      </w:r>
    </w:p>
    <w:p>
      <w:pPr>
        <w:pStyle w:val="ListParagraph"/>
        <w:numPr>
          <w:ilvl w:val="0"/>
          <w:numId w:val="4"/>
        </w:numPr>
      </w:pPr>
      <w:r>
        <w:rPr>
          <w:rFonts w:ascii="Arial" w:cs="Arial" w:eastAsia="Arial" w:hAnsi="Arial"/>
        </w:rPr>
        <w:t xml:space="preserve">Baker McKenzie UK Private M&amp;A Guide — Legal DD categories</w:t>
      </w:r>
    </w:p>
    <w:p>
      <w:pPr>
        <w:pStyle w:val="ListParagraph"/>
        <w:numPr>
          <w:ilvl w:val="0"/>
          <w:numId w:val="4"/>
        </w:numPr>
      </w:pPr>
      <w:r>
        <w:rPr>
          <w:rFonts w:ascii="Arial" w:cs="Arial" w:eastAsia="Arial" w:hAnsi="Arial"/>
        </w:rPr>
        <w:t xml:space="preserve">EY Private Equity Exit Readiness Study (2025) — PE buyer expectations</w:t>
      </w:r>
    </w:p>
    <w:p>
      <w:pPr>
        <w:pStyle w:val="ListParagraph"/>
        <w:numPr>
          <w:ilvl w:val="0"/>
          <w:numId w:val="4"/>
        </w:numPr>
      </w:pPr>
      <w:r>
        <w:rPr>
          <w:rFonts w:ascii="Arial" w:cs="Arial" w:eastAsia="Arial" w:hAnsi="Arial"/>
        </w:rPr>
        <w:t xml:space="preserve">KPMG ESG Due Diligence Study (2024) — ESG trends in UK M&amp;A</w:t>
      </w:r>
    </w:p>
    <w:p>
      <w:pPr>
        <w:pStyle w:val="ListParagraph"/>
        <w:numPr>
          <w:ilvl w:val="0"/>
          <w:numId w:val="4"/>
        </w:numPr>
      </w:pPr>
      <w:r>
        <w:rPr>
          <w:rFonts w:ascii="Arial" w:cs="Arial" w:eastAsia="Arial" w:hAnsi="Arial"/>
        </w:rPr>
        <w:t xml:space="preserve">Deloitte UK Exit Readiness Framework — Divestment approach</w:t>
      </w:r>
    </w:p>
    <w:p>
      <w:pPr>
        <w:pStyle w:val="ListParagraph"/>
        <w:numPr>
          <w:ilvl w:val="0"/>
          <w:numId w:val="4"/>
        </w:numPr>
      </w:pPr>
      <w:r>
        <w:rPr>
          <w:rFonts w:ascii="Arial" w:cs="Arial" w:eastAsia="Arial" w:hAnsi="Arial"/>
        </w:rPr>
        <w:t xml:space="preserve">CMMI Institute Capability Maturity Levels (2023) — Maturity model basis</w:t>
      </w:r>
    </w:p>
    <w:p>
      <w:pPr>
        <w:pStyle w:val="ListParagraph"/>
        <w:numPr>
          <w:ilvl w:val="0"/>
          <w:numId w:val="4"/>
        </w:numPr>
      </w:pPr>
      <w:r>
        <w:rPr>
          <w:rFonts w:ascii="Arial" w:cs="Arial" w:eastAsia="Arial" w:hAnsi="Arial"/>
        </w:rPr>
        <w:t xml:space="preserve">Dealsuite M&amp;A Monitor UK&amp;I (H1 2024/2025) — EBITDA multiples by size and sector</w:t>
      </w:r>
    </w:p>
    <w:p>
      <w:pPr>
        <w:pStyle w:val="ListParagraph"/>
        <w:numPr>
          <w:ilvl w:val="0"/>
          <w:numId w:val="4"/>
        </w:numPr>
      </w:pPr>
      <w:r>
        <w:rPr>
          <w:rFonts w:ascii="Arial" w:cs="Arial" w:eastAsia="Arial" w:hAnsi="Arial"/>
        </w:rPr>
        <w:t xml:space="preserve">MarktoMarket UK M&amp;A Valuation Indices (H1 2025) — Deal size indices</w:t>
      </w:r>
    </w:p>
    <w:p>
      <w:pPr>
        <w:pStyle w:val="ListParagraph"/>
        <w:numPr>
          <w:ilvl w:val="0"/>
          <w:numId w:val="4"/>
        </w:numPr>
      </w:pPr>
      <w:r>
        <w:rPr>
          <w:rFonts w:ascii="Arial" w:cs="Arial" w:eastAsia="Arial" w:hAnsi="Arial"/>
        </w:rPr>
        <w:t xml:space="preserve">London Stock Exchange AIM Rules for Companies — Listed buyer requirements</w:t>
      </w:r>
    </w:p>
    <w:p>
      <w:pPr>
        <w:pStyle w:val="ListParagraph"/>
        <w:numPr>
          <w:ilvl w:val="0"/>
          <w:numId w:val="4"/>
        </w:numPr>
      </w:pPr>
      <w:r>
        <w:rPr>
          <w:rFonts w:ascii="Arial" w:cs="Arial" w:eastAsia="Arial" w:hAnsi="Arial"/>
        </w:rPr>
        <w:t xml:space="preserve">Care Quality Commission Registration Guidance — Healthcare sector requirements</w:t>
      </w:r>
    </w:p>
    <w:p>
      <w:pPr>
        <w:pStyle w:val="Heading2"/>
      </w:pPr>
      <w:r>
        <w:t xml:space="preserve">Design Rationale</w:t>
      </w:r>
    </w:p>
    <w:p>
      <w:pPr>
        <w:spacing w:after="100"/>
      </w:pPr>
      <w:r>
        <w:rPr>
          <w:rFonts w:ascii="Arial" w:cs="Arial" w:eastAsia="Arial" w:hAnsi="Arial"/>
          <w:b/>
          <w:bCs/>
        </w:rPr>
        <w:t xml:space="preserve">Tiered approach: </w:t>
      </w:r>
      <w:r>
        <w:rPr>
          <w:rFonts w:ascii="Arial" w:cs="Arial" w:eastAsia="Arial" w:hAnsi="Arial"/>
        </w:rPr>
        <w:t xml:space="preserve">Dealsuite data shows companies with £5m EBITDA attract 89% higher multiples than those with £200k EBITDA. This premium reflects both lower risk and higher buyer expectations—justifying differentiated readiness standards.</w:t>
      </w:r>
    </w:p>
    <w:p>
      <w:pPr>
        <w:spacing w:after="100"/>
      </w:pPr>
      <w:r>
        <w:rPr>
          <w:rFonts w:ascii="Arial" w:cs="Arial" w:eastAsia="Arial" w:hAnsi="Arial"/>
          <w:b/>
          <w:bCs/>
        </w:rPr>
        <w:t xml:space="preserve">Industry variations: </w:t>
      </w:r>
      <w:r>
        <w:rPr>
          <w:rFonts w:ascii="Arial" w:cs="Arial" w:eastAsia="Arial" w:hAnsi="Arial"/>
        </w:rPr>
        <w:t xml:space="preserve">H1 2024 Dealsuite data shows UK mid-market multiples ranging from 4.1x (Hospitality) to 8.2x (Software Development). Sector-specific requirements reflect these valuation drivers.</w:t>
      </w:r>
    </w:p>
    <w:p>
      <w:pPr>
        <w:spacing w:after="100"/>
      </w:pPr>
      <w:r>
        <w:rPr>
          <w:rFonts w:ascii="Arial" w:cs="Arial" w:eastAsia="Arial" w:hAnsi="Arial"/>
          <w:b/>
          <w:bCs/>
        </w:rPr>
        <w:t xml:space="preserve">Buyer type guidance: </w:t>
      </w:r>
      <w:r>
        <w:rPr>
          <w:rFonts w:ascii="Arial" w:cs="Arial" w:eastAsia="Arial" w:hAnsi="Arial"/>
        </w:rPr>
        <w:t xml:space="preserve">PE activity increased 36% in value in 2024 (Foot Anstey). PE's comprehensive DD requirements increasingly influence market standards even for trade deals.</w:t>
      </w:r>
    </w:p>
    <w:p>
      <w:pPr>
        <w:spacing w:after="100"/>
      </w:pPr>
      <w:r>
        <w:rPr>
          <w:rFonts w:ascii="Arial" w:cs="Arial" w:eastAsia="Arial" w:hAnsi="Arial"/>
          <w:b/>
          <w:bCs/>
        </w:rPr>
        <w:t xml:space="preserve">CMMI adaptation: </w:t>
      </w:r>
      <w:r>
        <w:rPr>
          <w:rFonts w:ascii="Arial" w:cs="Arial" w:eastAsia="Arial" w:hAnsi="Arial"/>
        </w:rPr>
        <w:t xml:space="preserve">The 0–4 scale (rather than 1–5) acknowledges that SMEs often have complete absence of information in some areas. Level 0 explicitly addresses this reality rather than forcing fit into a framework designed for software development.</w:t>
      </w:r>
    </w:p>
    <w:p>
      <w:pPr>
        <w:spacing w:before="400"/>
        <w:jc w:val="center"/>
      </w:pPr>
      <w:r>
        <w:rPr>
          <w:rFonts w:ascii="Arial" w:cs="Arial" w:eastAsia="Arial" w:hAnsi="Arial"/>
          <w:i/>
          <w:iCs/>
          <w:color w:val="7F8C8D"/>
        </w:rPr>
        <w:t xml:space="preserve">— End of Framework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UK SME Sale Readiness Assessment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C3E50"/>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2025-12-28T18:20:53.502Z</dcterms:created>
  <dcterms:modified xsi:type="dcterms:W3CDTF">2025-12-28T18:20:53.502Z</dcterms:modified>
</cp:coreProperties>
</file>

<file path=docProps/custom.xml><?xml version="1.0" encoding="utf-8"?>
<Properties xmlns="http://schemas.openxmlformats.org/officeDocument/2006/custom-properties" xmlns:vt="http://schemas.openxmlformats.org/officeDocument/2006/docPropsVTypes"/>
</file>