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{case when x &gt; 100 then “hundred” when x &gt; 10 then “ten” when x &gt; 1 then “one” else “zero” end}</w:t>
      </w:r>
    </w:p>
    <w:p>
      <w:pPr>
        <w:pStyle w:val="Normal"/>
        <w:rPr/>
      </w:pPr>
      <w:r>
        <w:rPr/>
        <w:t>{case when y &gt; 100 then “hundred” when y &gt; 10 then “ten” when y &gt; 1 then “one” else “zero” end}</w:t>
      </w:r>
    </w:p>
    <w:p>
      <w:pPr>
        <w:pStyle w:val="Normal"/>
        <w:rPr/>
      </w:pPr>
      <w:r>
        <w:rPr/>
        <w:t>{case when z &gt; 100 then “hundred” when z &gt; 10 then “ten” end}</w:t>
      </w:r>
    </w:p>
    <w:p>
      <w:pPr>
        <w:pStyle w:val="Normal"/>
        <w:rPr/>
      </w:pPr>
      <w:r>
        <w:rPr/>
        <w:t>end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59</Words>
  <Characters>199</Characters>
  <CharactersWithSpaces>254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2025-12-11T15:11:26Z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