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C7110" w14:textId="77777777" w:rsidR="00592F34" w:rsidRDefault="00592F34" w:rsidP="00592F34">
      <w:pPr>
        <w:pStyle w:val="Heading1"/>
      </w:pPr>
      <w:bookmarkStart w:id="0" w:name="research-summary"/>
      <w:bookmarkStart w:id="1" w:name="OLE_LINK21"/>
      <w:bookmarkStart w:id="2" w:name="OLE_LINK22"/>
      <w:bookmarkStart w:id="3" w:name="OLE_LINK23"/>
      <w:bookmarkEnd w:id="0"/>
      <w:r>
        <w:t>Research Summary</w:t>
      </w:r>
    </w:p>
    <w:p w14:paraId="181A4397" w14:textId="77777777" w:rsidR="00592F34" w:rsidRDefault="00592F34" w:rsidP="00592F34">
      <w:pPr>
        <w:pStyle w:val="Heading2"/>
      </w:pPr>
      <w:bookmarkStart w:id="4" w:name="problem-statement"/>
      <w:bookmarkEnd w:id="4"/>
      <w:r>
        <w:t>Problem statement</w:t>
      </w:r>
    </w:p>
    <w:p w14:paraId="429FA3FD" w14:textId="77777777" w:rsidR="00592F34" w:rsidRDefault="00592F34" w:rsidP="00592F34">
      <w:pPr>
        <w:pStyle w:val="FirstParagraph"/>
      </w:pPr>
      <w:proofErr w:type="spellStart"/>
      <w:r>
        <w:t>Randomised</w:t>
      </w:r>
      <w:proofErr w:type="spellEnd"/>
      <w:r>
        <w:t xml:space="preserve"> controlled trials (RCTs) are the gold standard for delivering clinical evidence. However, they are expensive and deliver results that are only true on </w:t>
      </w:r>
      <w:r>
        <w:rPr>
          <w:i/>
        </w:rPr>
        <w:t>average</w:t>
      </w:r>
      <w:r>
        <w:t xml:space="preserve">. To unpick such heterogeneity of treatment effects (HTE) and deliver </w:t>
      </w:r>
      <w:proofErr w:type="spellStart"/>
      <w:r>
        <w:t>personalised</w:t>
      </w:r>
      <w:proofErr w:type="spellEnd"/>
      <w:r>
        <w:t xml:space="preserve"> recommendations even larger sample sizes are required.</w:t>
      </w:r>
    </w:p>
    <w:p w14:paraId="0162FA3B" w14:textId="77777777" w:rsidR="00592F34" w:rsidRDefault="00592F34" w:rsidP="00592F34">
      <w:pPr>
        <w:pStyle w:val="BlockText"/>
      </w:pPr>
      <w:r>
        <w:t>The best mechanism to generate generalizable estimates of treatment effect (</w:t>
      </w:r>
      <w:proofErr w:type="spellStart"/>
      <w:r>
        <w:t>ie</w:t>
      </w:r>
      <w:proofErr w:type="spellEnd"/>
      <w:r>
        <w:t>, broader answers) and understand heterogeneity of treatment effect (</w:t>
      </w:r>
      <w:proofErr w:type="spellStart"/>
      <w:r>
        <w:t>ie</w:t>
      </w:r>
      <w:proofErr w:type="spellEnd"/>
      <w:r>
        <w:t>, narrower answers) is to have extremely broad enrolment, ideally representative of the entire breadth of a disease or condition (Derek Angus, JAMA, 2015)</w:t>
      </w:r>
      <w:r>
        <w:fldChar w:fldCharType="begin"/>
      </w:r>
      <w:r>
        <w:instrText>ADDIN BEC[angus2015]</w:instrText>
      </w:r>
      <w:r>
        <w:fldChar w:fldCharType="separate"/>
      </w:r>
      <w:r>
        <w:t>(1)</w:t>
      </w:r>
      <w:r>
        <w:fldChar w:fldCharType="end"/>
      </w:r>
    </w:p>
    <w:p w14:paraId="4D264A54" w14:textId="77777777" w:rsidR="00592F34" w:rsidRDefault="00592F34" w:rsidP="00592F34">
      <w:pPr>
        <w:pStyle w:val="FirstParagraph"/>
      </w:pPr>
      <w:proofErr w:type="gramStart"/>
      <w:r>
        <w:t>However</w:t>
      </w:r>
      <w:proofErr w:type="gramEnd"/>
      <w:r>
        <w:t xml:space="preserve"> of the millions of health care decisions most are </w:t>
      </w:r>
      <w:proofErr w:type="spellStart"/>
      <w:r>
        <w:t>inacccessible</w:t>
      </w:r>
      <w:proofErr w:type="spellEnd"/>
      <w:r>
        <w:t xml:space="preserve"> to study by </w:t>
      </w:r>
      <w:proofErr w:type="spellStart"/>
      <w:r>
        <w:t>randomisation</w:t>
      </w:r>
      <w:proofErr w:type="spellEnd"/>
      <w:r>
        <w:t xml:space="preserve">. Even when the decisions are minor, it is inconceivable that the aggregate effect of poorly </w:t>
      </w:r>
      <w:proofErr w:type="spellStart"/>
      <w:r>
        <w:t>optimised</w:t>
      </w:r>
      <w:proofErr w:type="spellEnd"/>
      <w:r>
        <w:t xml:space="preserve"> routine care is unimportant.</w:t>
      </w:r>
    </w:p>
    <w:p w14:paraId="50FE4864" w14:textId="77777777" w:rsidR="00592F34" w:rsidRDefault="00592F34" w:rsidP="00592F34">
      <w:pPr>
        <w:pStyle w:val="Heading2"/>
      </w:pPr>
      <w:bookmarkStart w:id="5" w:name="proposal"/>
      <w:r>
        <w:t>Proposal</w:t>
      </w:r>
      <w:bookmarkEnd w:id="5"/>
    </w:p>
    <w:p w14:paraId="462BFB65" w14:textId="77777777" w:rsidR="00592F34" w:rsidRDefault="00592F34" w:rsidP="00592F34">
      <w:pPr>
        <w:pStyle w:val="FirstParagraph"/>
      </w:pPr>
      <w:r>
        <w:rPr>
          <w:b/>
        </w:rPr>
        <w:t>REMAP</w:t>
      </w:r>
      <w:r>
        <w:t xml:space="preserve"> (</w:t>
      </w:r>
      <w:proofErr w:type="spellStart"/>
      <w:r>
        <w:rPr>
          <w:b/>
        </w:rPr>
        <w:t>Randomised</w:t>
      </w:r>
      <w:proofErr w:type="spellEnd"/>
      <w:r>
        <w:rPr>
          <w:b/>
        </w:rPr>
        <w:t xml:space="preserve"> Embedded Multifactorial Adaptive Platform</w:t>
      </w:r>
      <w:r>
        <w:t>) trials provide a partial solution by embedding the RCT in the Electronic Health Record (EHR) and reducing the cost of data collection.</w:t>
      </w:r>
      <w:r>
        <w:fldChar w:fldCharType="begin"/>
      </w:r>
      <w:r>
        <w:instrText>ADDIN BEC[angus2015]</w:instrText>
      </w:r>
      <w:r>
        <w:fldChar w:fldCharType="separate"/>
      </w:r>
      <w:r>
        <w:t>(1)</w:t>
      </w:r>
      <w:r>
        <w:fldChar w:fldCharType="end"/>
      </w:r>
      <w:r>
        <w:t xml:space="preserve"> However, point of care recruitment and consent remains expensive.</w:t>
      </w:r>
      <w:r>
        <w:br/>
        <w:t xml:space="preserve">I propose a modification of REMAP using </w:t>
      </w:r>
      <w:r>
        <w:rPr>
          <w:b/>
        </w:rPr>
        <w:t>nudge theory</w:t>
      </w:r>
      <w:r>
        <w:t xml:space="preserve"> that allows </w:t>
      </w:r>
      <w:proofErr w:type="spellStart"/>
      <w:r>
        <w:t>randomisation</w:t>
      </w:r>
      <w:proofErr w:type="spellEnd"/>
      <w:r>
        <w:t xml:space="preserve"> and recruitment using pre-emptive or presumed consent.</w:t>
      </w:r>
      <w:r>
        <w:fldChar w:fldCharType="begin"/>
      </w:r>
      <w:r>
        <w:instrText>ADDIN BEC[thaler2009]</w:instrText>
      </w:r>
      <w:r>
        <w:fldChar w:fldCharType="separate"/>
      </w:r>
      <w:r>
        <w:t>(2)</w:t>
      </w:r>
      <w:r>
        <w:fldChar w:fldCharType="end"/>
      </w:r>
      <w:r>
        <w:t xml:space="preserve"> This practical alternative exploits existing variation in practice to deliver </w:t>
      </w:r>
      <w:proofErr w:type="spellStart"/>
      <w:r>
        <w:t>randomisation</w:t>
      </w:r>
      <w:proofErr w:type="spellEnd"/>
      <w:r>
        <w:t xml:space="preserve"> safely, efficiently and at scale. Variation in practice is used as evidence of clinical equipoise: “honest, professional disagreement among expert clinicians” about the best treatment strategy.</w:t>
      </w:r>
      <w:r>
        <w:fldChar w:fldCharType="begin"/>
      </w:r>
      <w:r>
        <w:instrText>ADDIN BEC[London2018@410]</w:instrText>
      </w:r>
      <w:r>
        <w:fldChar w:fldCharType="separate"/>
      </w:r>
      <w:r>
        <w:t>(3)</w:t>
      </w:r>
      <w:r>
        <w:fldChar w:fldCharType="end"/>
      </w:r>
      <w:r>
        <w:t xml:space="preserve"> Treatment allocation is nudged not mandated. The nudge is delivered using </w:t>
      </w:r>
      <w:proofErr w:type="spellStart"/>
      <w:r>
        <w:t>clincial</w:t>
      </w:r>
      <w:proofErr w:type="spellEnd"/>
      <w:r>
        <w:t xml:space="preserve"> decision support (CDS) tool within the EHR with one of three effects:</w:t>
      </w:r>
    </w:p>
    <w:p w14:paraId="20582E15" w14:textId="77777777" w:rsidR="00592F34" w:rsidRDefault="00592F34" w:rsidP="00592F34">
      <w:pPr>
        <w:numPr>
          <w:ilvl w:val="0"/>
          <w:numId w:val="1"/>
        </w:numPr>
        <w:spacing w:after="80"/>
      </w:pPr>
      <w:r>
        <w:t>Where evidence already exists, the trial alerts the clinician and reduces unwarranted variation.</w:t>
      </w:r>
    </w:p>
    <w:p w14:paraId="71EC8DAE" w14:textId="77777777" w:rsidR="00592F34" w:rsidRDefault="00592F34" w:rsidP="00592F34">
      <w:pPr>
        <w:numPr>
          <w:ilvl w:val="0"/>
          <w:numId w:val="1"/>
        </w:numPr>
        <w:spacing w:after="80"/>
      </w:pPr>
      <w:r>
        <w:t xml:space="preserve">Where evidence is lacking and the clinician </w:t>
      </w:r>
      <w:r>
        <w:rPr>
          <w:i/>
        </w:rPr>
        <w:t>overrules</w:t>
      </w:r>
      <w:r>
        <w:t xml:space="preserve"> the nudge based on their expert knowledge, the trial learns the specific patient characteristics that led to that decision.</w:t>
      </w:r>
    </w:p>
    <w:p w14:paraId="1B0432F1" w14:textId="77777777" w:rsidR="00592F34" w:rsidRDefault="00592F34" w:rsidP="00592F34">
      <w:pPr>
        <w:numPr>
          <w:ilvl w:val="0"/>
          <w:numId w:val="1"/>
        </w:numPr>
        <w:spacing w:after="80"/>
      </w:pPr>
      <w:r>
        <w:t xml:space="preserve">Where evidence is lacking and the clinician </w:t>
      </w:r>
      <w:r>
        <w:rPr>
          <w:i/>
        </w:rPr>
        <w:t>complies</w:t>
      </w:r>
      <w:r>
        <w:t xml:space="preserve"> with the nudge, the trial recruits without further cost.</w:t>
      </w:r>
    </w:p>
    <w:p w14:paraId="0B22FC3B" w14:textId="77777777" w:rsidR="00592F34" w:rsidRDefault="00592F34" w:rsidP="00592F34">
      <w:pPr>
        <w:pStyle w:val="FirstParagraph"/>
      </w:pPr>
      <w:r>
        <w:t>The result is an RCT with imperfect compliance: a more efficient version of a physician prescribing preference study.</w:t>
      </w:r>
      <w:r>
        <w:fldChar w:fldCharType="begin"/>
      </w:r>
      <w:r>
        <w:instrText>ADDIN BEC[rassen2009c]</w:instrText>
      </w:r>
      <w:r>
        <w:fldChar w:fldCharType="separate"/>
      </w:r>
      <w:r>
        <w:t>(4)</w:t>
      </w:r>
      <w:r>
        <w:fldChar w:fldCharType="end"/>
      </w:r>
      <w:r>
        <w:t xml:space="preserve"> Treatment effects are recovered using </w:t>
      </w:r>
      <w:proofErr w:type="spellStart"/>
      <w:r>
        <w:t>Intrumental</w:t>
      </w:r>
      <w:proofErr w:type="spellEnd"/>
      <w:r>
        <w:t xml:space="preserve"> Variable (IV) analysis.</w:t>
      </w:r>
      <w:r>
        <w:fldChar w:fldCharType="begin"/>
      </w:r>
      <w:r>
        <w:instrText>ADDIN BEC[hernan2012a]</w:instrText>
      </w:r>
      <w:r>
        <w:fldChar w:fldCharType="separate"/>
      </w:r>
      <w:r>
        <w:t>(5)</w:t>
      </w:r>
      <w:r>
        <w:fldChar w:fldCharType="end"/>
      </w:r>
      <w:r>
        <w:t xml:space="preserve"> Regardless of the pathway chosen, the clinician and the trialist both meet their obligation to provide the best current treatment where evidence exists, and identify the best future treatment where evidence is lacking.</w:t>
      </w:r>
    </w:p>
    <w:p w14:paraId="58330B25" w14:textId="77777777" w:rsidR="00592F34" w:rsidRDefault="00592F34" w:rsidP="00592F34">
      <w:pPr>
        <w:pStyle w:val="Heading2"/>
      </w:pPr>
      <w:bookmarkStart w:id="6" w:name="worked-example"/>
      <w:bookmarkEnd w:id="6"/>
      <w:r>
        <w:t>Worked example</w:t>
      </w:r>
    </w:p>
    <w:p w14:paraId="393F6E9F" w14:textId="77777777" w:rsidR="00592F34" w:rsidRDefault="00592F34" w:rsidP="00592F34">
      <w:pPr>
        <w:pStyle w:val="FirstParagraph"/>
      </w:pPr>
      <w:r>
        <w:t>Consider the question of target oxygen saturations (SpO</w:t>
      </w:r>
      <w:r>
        <w:rPr>
          <w:vertAlign w:val="subscript"/>
        </w:rPr>
        <w:t>2</w:t>
      </w:r>
      <w:r>
        <w:t>) for patients undergoing major surgery. The British Thoracic Society (BTS) guidelines recommend an SpO</w:t>
      </w:r>
      <w:r>
        <w:rPr>
          <w:vertAlign w:val="subscript"/>
        </w:rPr>
        <w:t>2</w:t>
      </w:r>
      <w:r>
        <w:t xml:space="preserve"> target of 94-98% </w:t>
      </w:r>
      <w:r>
        <w:lastRenderedPageBreak/>
        <w:t>in most circumstances</w:t>
      </w:r>
      <w:r>
        <w:fldChar w:fldCharType="begin"/>
      </w:r>
      <w:r>
        <w:instrText>ADDIN BEC[odriscoll2017]</w:instrText>
      </w:r>
      <w:r>
        <w:fldChar w:fldCharType="separate"/>
      </w:r>
      <w:r>
        <w:t>(6)</w:t>
      </w:r>
      <w:r>
        <w:fldChar w:fldCharType="end"/>
      </w:r>
      <w:r>
        <w:t>, but there is much routine variation.</w:t>
      </w:r>
      <w:r>
        <w:fldChar w:fldCharType="begin"/>
      </w:r>
      <w:r>
        <w:instrText>ADDIN BEC[post2019]</w:instrText>
      </w:r>
      <w:r>
        <w:fldChar w:fldCharType="separate"/>
      </w:r>
      <w:r>
        <w:t>(7)</w:t>
      </w:r>
      <w:r>
        <w:fldChar w:fldCharType="end"/>
      </w:r>
      <w:r>
        <w:t xml:space="preserve"> A recent 1000 patient RCT fail to find a benefit from a conservative (low SpO</w:t>
      </w:r>
      <w:r>
        <w:rPr>
          <w:vertAlign w:val="subscript"/>
        </w:rPr>
        <w:t>2</w:t>
      </w:r>
      <w:r>
        <w:t>) strategy.</w:t>
      </w:r>
      <w:r>
        <w:fldChar w:fldCharType="begin"/>
      </w:r>
      <w:r>
        <w:instrText>ADDIN BEC[icu-rox2019]</w:instrText>
      </w:r>
      <w:r>
        <w:fldChar w:fldCharType="separate"/>
      </w:r>
      <w:r>
        <w:t>(8)</w:t>
      </w:r>
      <w:r>
        <w:fldChar w:fldCharType="end"/>
      </w:r>
      <w:r>
        <w:t xml:space="preserve"> Yet observational studies suggest heterogenous benefit.</w:t>
      </w:r>
      <w:r>
        <w:fldChar w:fldCharType="begin"/>
      </w:r>
      <w:r>
        <w:instrText>ADDIN BEC[palmer2019a]</w:instrText>
      </w:r>
      <w:r>
        <w:fldChar w:fldCharType="separate"/>
      </w:r>
      <w:r>
        <w:t>(9)</w:t>
      </w:r>
      <w:r>
        <w:fldChar w:fldCharType="end"/>
      </w:r>
      <w:r>
        <w:t xml:space="preserve"> REMAP-nudge would implement a CDS that nudges for a conservative (SpO</w:t>
      </w:r>
      <w:r>
        <w:rPr>
          <w:vertAlign w:val="subscript"/>
        </w:rPr>
        <w:t>2</w:t>
      </w:r>
      <w:r>
        <w:t xml:space="preserve"> 94%) or liberal (SpO</w:t>
      </w:r>
      <w:r>
        <w:rPr>
          <w:vertAlign w:val="subscript"/>
        </w:rPr>
        <w:t>2</w:t>
      </w:r>
      <w:r>
        <w:t xml:space="preserve"> 98%) target. Targets outside of the BTS range would be nudged in range. Novel subgroups (beyond stroke, myocardial infarct) where expert opinion overruled the nudge would be defined. And if the nudge was followed in just half the cases, REMAP-Nudge would recruit ten-fold faster than the largest trial to date (50% of 10,000 inpatient surgical cases/year versus 1000 cases from 21 sites over &gt;2 years).</w:t>
      </w:r>
      <w:r>
        <w:fldChar w:fldCharType="begin"/>
      </w:r>
      <w:r>
        <w:instrText>ADDIN BEC[icu-rox2019]</w:instrText>
      </w:r>
      <w:r>
        <w:fldChar w:fldCharType="separate"/>
      </w:r>
      <w:r>
        <w:t>(8)</w:t>
      </w:r>
      <w:r>
        <w:fldChar w:fldCharType="end"/>
      </w:r>
    </w:p>
    <w:p w14:paraId="51839DFB" w14:textId="77777777" w:rsidR="00592F34" w:rsidRDefault="00592F34" w:rsidP="00592F34">
      <w:pPr>
        <w:pStyle w:val="Heading2"/>
      </w:pPr>
      <w:bookmarkStart w:id="7" w:name="implementation"/>
      <w:r>
        <w:t>Implementation</w:t>
      </w:r>
      <w:bookmarkEnd w:id="7"/>
    </w:p>
    <w:p w14:paraId="41508651" w14:textId="77777777" w:rsidR="00592F34" w:rsidRDefault="00592F34" w:rsidP="00592F34">
      <w:pPr>
        <w:pStyle w:val="FirstParagraph"/>
      </w:pPr>
      <w:r>
        <w:t xml:space="preserve">I leverage the existing infrastructure of the NIHR Health Informatics </w:t>
      </w:r>
      <w:proofErr w:type="spellStart"/>
      <w:r>
        <w:t>programme</w:t>
      </w:r>
      <w:proofErr w:type="spellEnd"/>
      <w:r>
        <w:t xml:space="preserve"> for Critical Care (HIC-CC) that is led out of UCL/UCLH BRC, and the </w:t>
      </w:r>
      <w:proofErr w:type="spellStart"/>
      <w:r>
        <w:t>RCoA</w:t>
      </w:r>
      <w:proofErr w:type="spellEnd"/>
      <w:r>
        <w:t xml:space="preserve">/UCL Centre for Perioperative Medicine (CPOM) led SNAP-2 study. HIC-CC makes routinely collected clinical data at 7 NHS sites available to researchers. SNAP-2 brings a data set for inpatient surgery successfully implemented at 245 NHS sites. </w:t>
      </w:r>
      <w:proofErr w:type="spellStart"/>
      <w:r>
        <w:t>Pseudonymised</w:t>
      </w:r>
      <w:proofErr w:type="spellEnd"/>
      <w:r>
        <w:t xml:space="preserve"> identifiers for the clinical decision maker (prescriber) are captured to build a pair of physician prescribing preference studies: observational correlates of the interventional REMAP-nudge approach.</w:t>
      </w:r>
      <w:r>
        <w:br/>
        <w:t xml:space="preserve">I then build toward a pilot study of REMAP-Nudge. This grant will support development of this </w:t>
      </w:r>
      <w:proofErr w:type="spellStart"/>
      <w:r>
        <w:t>programme</w:t>
      </w:r>
      <w:proofErr w:type="spellEnd"/>
      <w:r>
        <w:t xml:space="preserve"> at a single site (UCLH). However, the architecture will be built to modern interoperability standards so that it is ready for deployment at NHS sites with an EHR.</w:t>
      </w:r>
      <w:r>
        <w:br/>
        <w:t xml:space="preserve">Building REMAP-Nudge for peri-operative medicine is advantageous because elective surgery patients pass through a pre-assessment clinic permitting </w:t>
      </w:r>
      <w:r>
        <w:rPr>
          <w:i/>
        </w:rPr>
        <w:t>pre-emptive</w:t>
      </w:r>
      <w:r>
        <w:t xml:space="preserve"> consent. Patients and public will be involved (PPI) with the design, and guidance the transition to </w:t>
      </w:r>
      <w:r>
        <w:rPr>
          <w:i/>
        </w:rPr>
        <w:t>presumed</w:t>
      </w:r>
      <w:r>
        <w:t xml:space="preserve"> consent. Whilst I propose two exemplar study questions (SpO</w:t>
      </w:r>
      <w:r>
        <w:rPr>
          <w:vertAlign w:val="subscript"/>
        </w:rPr>
        <w:t>2</w:t>
      </w:r>
      <w:r>
        <w:t xml:space="preserve"> and Magnesium targets post-operatively), this proposal is methodological, and contributing PPI may </w:t>
      </w:r>
      <w:proofErr w:type="spellStart"/>
      <w:r>
        <w:t>prioritise</w:t>
      </w:r>
      <w:proofErr w:type="spellEnd"/>
      <w:r>
        <w:t xml:space="preserve"> other questions.</w:t>
      </w:r>
    </w:p>
    <w:p w14:paraId="493DACFD" w14:textId="77777777" w:rsidR="00592F34" w:rsidRDefault="00592F34" w:rsidP="00592F34">
      <w:pPr>
        <w:pStyle w:val="BodyText"/>
      </w:pPr>
      <w:r>
        <w:t xml:space="preserve">Final </w:t>
      </w:r>
      <w:proofErr w:type="spellStart"/>
      <w:r>
        <w:t>programme</w:t>
      </w:r>
      <w:proofErr w:type="spellEnd"/>
      <w:r>
        <w:t xml:space="preserve"> deliverables include:</w:t>
      </w:r>
    </w:p>
    <w:p w14:paraId="5E223E66" w14:textId="77777777" w:rsidR="00592F34" w:rsidRDefault="00592F34" w:rsidP="00592F34">
      <w:pPr>
        <w:numPr>
          <w:ilvl w:val="0"/>
          <w:numId w:val="2"/>
        </w:numPr>
        <w:spacing w:after="80"/>
      </w:pPr>
      <w:r>
        <w:t>A high-quality prospective peri-operative medicine database built to scale across multiple NHS sites</w:t>
      </w:r>
    </w:p>
    <w:p w14:paraId="62C0BCBF" w14:textId="77777777" w:rsidR="00592F34" w:rsidRDefault="00592F34" w:rsidP="00592F34">
      <w:pPr>
        <w:numPr>
          <w:ilvl w:val="0"/>
          <w:numId w:val="2"/>
        </w:numPr>
        <w:spacing w:after="80"/>
      </w:pPr>
      <w:r>
        <w:t>A pair of exemplar physician-prescribing preference studies</w:t>
      </w:r>
    </w:p>
    <w:p w14:paraId="1715E898" w14:textId="77777777" w:rsidR="00592F34" w:rsidRDefault="00592F34" w:rsidP="00592F34">
      <w:pPr>
        <w:numPr>
          <w:ilvl w:val="0"/>
          <w:numId w:val="2"/>
        </w:numPr>
        <w:spacing w:after="80"/>
      </w:pPr>
      <w:r>
        <w:t>Qualitative and quantitative evidence from a pilot embedded REMAP-Nudge trial with pre-emptive consent to justify moving to an opt-out consent model.</w:t>
      </w:r>
    </w:p>
    <w:p w14:paraId="3E88D6B3" w14:textId="77777777" w:rsidR="00592F34" w:rsidRDefault="00592F34" w:rsidP="00592F34">
      <w:pPr>
        <w:pStyle w:val="Heading2"/>
      </w:pPr>
      <w:bookmarkStart w:id="8" w:name="conclusion"/>
      <w:r>
        <w:t>Conclusion</w:t>
      </w:r>
      <w:bookmarkEnd w:id="8"/>
    </w:p>
    <w:p w14:paraId="22A175CF" w14:textId="40929634" w:rsidR="00592F34" w:rsidRDefault="00592F34" w:rsidP="00592F34">
      <w:pPr>
        <w:pStyle w:val="FirstParagraph"/>
      </w:pPr>
      <w:r>
        <w:t xml:space="preserve">By nudging rather than mandating </w:t>
      </w:r>
      <w:proofErr w:type="spellStart"/>
      <w:r>
        <w:t>randomisation</w:t>
      </w:r>
      <w:proofErr w:type="spellEnd"/>
      <w:r>
        <w:t xml:space="preserve"> and operating within existing clinical norms, we create a trial paradigm that scales efficiently. We generate the sample size to study the varying response to different treatments and deliver a </w:t>
      </w:r>
      <w:proofErr w:type="spellStart"/>
      <w:r>
        <w:t>personalised</w:t>
      </w:r>
      <w:proofErr w:type="spellEnd"/>
      <w:r>
        <w:t xml:space="preserve"> treatment strategy that steadily </w:t>
      </w:r>
      <w:proofErr w:type="spellStart"/>
      <w:r>
        <w:t>optimises</w:t>
      </w:r>
      <w:proofErr w:type="spellEnd"/>
      <w:r>
        <w:t xml:space="preserve"> those millions of small decisions. Ultimately, scaling the trial across multiple sites will deliver a world-first: a true learning health care system for peri-operative medicine that </w:t>
      </w:r>
      <w:proofErr w:type="spellStart"/>
      <w:r>
        <w:t>optimises</w:t>
      </w:r>
      <w:proofErr w:type="spellEnd"/>
      <w:r>
        <w:t xml:space="preserve"> processes and pathways of care not normally amenable to standard parallel arm </w:t>
      </w:r>
      <w:proofErr w:type="spellStart"/>
      <w:r>
        <w:t>randomised</w:t>
      </w:r>
      <w:proofErr w:type="spellEnd"/>
      <w:r>
        <w:t xml:space="preserve"> controlled trials (RCTs).</w:t>
      </w:r>
      <w:bookmarkEnd w:id="1"/>
      <w:bookmarkEnd w:id="2"/>
      <w:bookmarkEnd w:id="3"/>
    </w:p>
    <w:p w14:paraId="52991CCF" w14:textId="0B0E9487" w:rsidR="00592F34" w:rsidRPr="00592F34" w:rsidRDefault="00592F34" w:rsidP="00592F34">
      <w:pPr>
        <w:pStyle w:val="Heading2"/>
      </w:pPr>
      <w:r>
        <w:lastRenderedPageBreak/>
        <w:t>References</w:t>
      </w:r>
    </w:p>
    <w:p w14:paraId="27314571" w14:textId="77777777" w:rsidR="00592F34" w:rsidRPr="00592F34" w:rsidRDefault="00592F34" w:rsidP="00592F34">
      <w:pPr>
        <w:rPr>
          <w:rFonts w:ascii="Arial" w:hAnsi="Arial"/>
          <w:sz w:val="18"/>
          <w:szCs w:val="18"/>
        </w:rPr>
      </w:pPr>
      <w:r w:rsidRPr="00592F34">
        <w:rPr>
          <w:sz w:val="18"/>
          <w:szCs w:val="18"/>
        </w:rPr>
        <w:fldChar w:fldCharType="begin"/>
      </w:r>
      <w:r w:rsidRPr="00592F34">
        <w:rPr>
          <w:sz w:val="18"/>
          <w:szCs w:val="18"/>
        </w:rPr>
        <w:instrText>ADDIN BB</w:instrText>
      </w:r>
      <w:r w:rsidRPr="00592F34">
        <w:rPr>
          <w:sz w:val="18"/>
          <w:szCs w:val="18"/>
        </w:rPr>
        <w:fldChar w:fldCharType="separate"/>
      </w:r>
      <w:r w:rsidRPr="00592F34">
        <w:rPr>
          <w:sz w:val="18"/>
          <w:szCs w:val="18"/>
        </w:rPr>
        <w:t>1.</w:t>
      </w:r>
      <w:r w:rsidRPr="00592F34">
        <w:rPr>
          <w:sz w:val="18"/>
          <w:szCs w:val="18"/>
        </w:rPr>
        <w:tab/>
        <w:t>Angus DC. Fusing Ra</w:t>
      </w:r>
      <w:bookmarkStart w:id="9" w:name="_GoBack"/>
      <w:bookmarkEnd w:id="9"/>
      <w:r w:rsidRPr="00592F34">
        <w:rPr>
          <w:sz w:val="18"/>
          <w:szCs w:val="18"/>
        </w:rPr>
        <w:t xml:space="preserve">ndomized Trials </w:t>
      </w:r>
      <w:proofErr w:type="gramStart"/>
      <w:r w:rsidRPr="00592F34">
        <w:rPr>
          <w:sz w:val="18"/>
          <w:szCs w:val="18"/>
        </w:rPr>
        <w:t>With</w:t>
      </w:r>
      <w:proofErr w:type="gramEnd"/>
      <w:r w:rsidRPr="00592F34">
        <w:rPr>
          <w:sz w:val="18"/>
          <w:szCs w:val="18"/>
        </w:rPr>
        <w:t xml:space="preserve"> Big Data: The Key to Self-learning Health Care Systems. JAMA. </w:t>
      </w:r>
      <w:proofErr w:type="gramStart"/>
      <w:r w:rsidRPr="00592F34">
        <w:rPr>
          <w:sz w:val="18"/>
          <w:szCs w:val="18"/>
        </w:rPr>
        <w:t>2015;314:767</w:t>
      </w:r>
      <w:proofErr w:type="gramEnd"/>
      <w:r w:rsidRPr="00592F34">
        <w:rPr>
          <w:sz w:val="18"/>
          <w:szCs w:val="18"/>
        </w:rPr>
        <w:t>-768.</w:t>
      </w:r>
    </w:p>
    <w:p w14:paraId="2841BF38" w14:textId="77777777" w:rsidR="00592F34" w:rsidRPr="00592F34" w:rsidRDefault="00592F34" w:rsidP="00592F34">
      <w:pPr>
        <w:rPr>
          <w:rFonts w:ascii="Arial" w:hAnsi="Arial"/>
          <w:sz w:val="18"/>
          <w:szCs w:val="18"/>
        </w:rPr>
      </w:pPr>
      <w:r w:rsidRPr="00592F34">
        <w:rPr>
          <w:sz w:val="18"/>
          <w:szCs w:val="18"/>
        </w:rPr>
        <w:t>2.</w:t>
      </w:r>
      <w:r w:rsidRPr="00592F34">
        <w:rPr>
          <w:sz w:val="18"/>
          <w:szCs w:val="18"/>
        </w:rPr>
        <w:tab/>
        <w:t>Thaler RH, Sunstein CR. Nudge. Penguin; 2009:312.</w:t>
      </w:r>
    </w:p>
    <w:p w14:paraId="7D517F89" w14:textId="77777777" w:rsidR="00592F34" w:rsidRPr="00592F34" w:rsidRDefault="00592F34" w:rsidP="00592F34">
      <w:pPr>
        <w:rPr>
          <w:rFonts w:ascii="Arial" w:hAnsi="Arial"/>
          <w:sz w:val="18"/>
          <w:szCs w:val="18"/>
        </w:rPr>
      </w:pPr>
      <w:r w:rsidRPr="00592F34">
        <w:rPr>
          <w:sz w:val="18"/>
          <w:szCs w:val="18"/>
        </w:rPr>
        <w:t>3.</w:t>
      </w:r>
      <w:r w:rsidRPr="00592F34">
        <w:rPr>
          <w:sz w:val="18"/>
          <w:szCs w:val="18"/>
        </w:rPr>
        <w:tab/>
        <w:t xml:space="preserve">London AJ. Learning health systems, clinical equipoise and the ethics of response adaptive randomisation. J Med Ethics. </w:t>
      </w:r>
      <w:proofErr w:type="gramStart"/>
      <w:r w:rsidRPr="00592F34">
        <w:rPr>
          <w:sz w:val="18"/>
          <w:szCs w:val="18"/>
        </w:rPr>
        <w:t>2018;44:409</w:t>
      </w:r>
      <w:proofErr w:type="gramEnd"/>
      <w:r w:rsidRPr="00592F34">
        <w:rPr>
          <w:sz w:val="18"/>
          <w:szCs w:val="18"/>
        </w:rPr>
        <w:t>-415.</w:t>
      </w:r>
    </w:p>
    <w:p w14:paraId="3A96B3D0" w14:textId="77777777" w:rsidR="00592F34" w:rsidRPr="00592F34" w:rsidRDefault="00592F34" w:rsidP="00592F34">
      <w:pPr>
        <w:rPr>
          <w:rFonts w:ascii="Arial" w:hAnsi="Arial"/>
          <w:sz w:val="18"/>
          <w:szCs w:val="18"/>
        </w:rPr>
      </w:pPr>
      <w:r w:rsidRPr="00592F34">
        <w:rPr>
          <w:sz w:val="18"/>
          <w:szCs w:val="18"/>
        </w:rPr>
        <w:t>4.</w:t>
      </w:r>
      <w:r w:rsidRPr="00592F34">
        <w:rPr>
          <w:sz w:val="18"/>
          <w:szCs w:val="18"/>
        </w:rPr>
        <w:tab/>
      </w:r>
      <w:proofErr w:type="spellStart"/>
      <w:r w:rsidRPr="00592F34">
        <w:rPr>
          <w:sz w:val="18"/>
          <w:szCs w:val="18"/>
        </w:rPr>
        <w:t>Rassen</w:t>
      </w:r>
      <w:proofErr w:type="spellEnd"/>
      <w:r w:rsidRPr="00592F34">
        <w:rPr>
          <w:sz w:val="18"/>
          <w:szCs w:val="18"/>
        </w:rPr>
        <w:t xml:space="preserve"> JA, Brookhart MA, Glynn RJ, </w:t>
      </w:r>
      <w:proofErr w:type="spellStart"/>
      <w:r w:rsidRPr="00592F34">
        <w:rPr>
          <w:sz w:val="18"/>
          <w:szCs w:val="18"/>
        </w:rPr>
        <w:t>Mittleman</w:t>
      </w:r>
      <w:proofErr w:type="spellEnd"/>
      <w:r w:rsidRPr="00592F34">
        <w:rPr>
          <w:sz w:val="18"/>
          <w:szCs w:val="18"/>
        </w:rPr>
        <w:t xml:space="preserve"> MA, </w:t>
      </w:r>
      <w:proofErr w:type="spellStart"/>
      <w:r w:rsidRPr="00592F34">
        <w:rPr>
          <w:sz w:val="18"/>
          <w:szCs w:val="18"/>
        </w:rPr>
        <w:t>Schneeweiss</w:t>
      </w:r>
      <w:proofErr w:type="spellEnd"/>
      <w:r w:rsidRPr="00592F34">
        <w:rPr>
          <w:sz w:val="18"/>
          <w:szCs w:val="18"/>
        </w:rPr>
        <w:t xml:space="preserve"> S. Instrumental variables II: instrumental variable application-in 25 variations, the physician prescribing preference generally was strong and reduced covariate imbalance. J Clin </w:t>
      </w:r>
      <w:proofErr w:type="spellStart"/>
      <w:r w:rsidRPr="00592F34">
        <w:rPr>
          <w:sz w:val="18"/>
          <w:szCs w:val="18"/>
        </w:rPr>
        <w:t>Epidemiol</w:t>
      </w:r>
      <w:proofErr w:type="spellEnd"/>
      <w:r w:rsidRPr="00592F34">
        <w:rPr>
          <w:sz w:val="18"/>
          <w:szCs w:val="18"/>
        </w:rPr>
        <w:t xml:space="preserve">. </w:t>
      </w:r>
      <w:proofErr w:type="gramStart"/>
      <w:r w:rsidRPr="00592F34">
        <w:rPr>
          <w:sz w:val="18"/>
          <w:szCs w:val="18"/>
        </w:rPr>
        <w:t>2009;62:1233</w:t>
      </w:r>
      <w:proofErr w:type="gramEnd"/>
      <w:r w:rsidRPr="00592F34">
        <w:rPr>
          <w:sz w:val="18"/>
          <w:szCs w:val="18"/>
        </w:rPr>
        <w:t>-1241.</w:t>
      </w:r>
    </w:p>
    <w:p w14:paraId="427D14F2" w14:textId="77777777" w:rsidR="00592F34" w:rsidRPr="00592F34" w:rsidRDefault="00592F34" w:rsidP="00592F34">
      <w:pPr>
        <w:rPr>
          <w:rFonts w:ascii="Arial" w:hAnsi="Arial"/>
          <w:sz w:val="18"/>
          <w:szCs w:val="18"/>
        </w:rPr>
      </w:pPr>
      <w:r w:rsidRPr="00592F34">
        <w:rPr>
          <w:sz w:val="18"/>
          <w:szCs w:val="18"/>
        </w:rPr>
        <w:t>5.</w:t>
      </w:r>
      <w:r w:rsidRPr="00592F34">
        <w:rPr>
          <w:sz w:val="18"/>
          <w:szCs w:val="18"/>
        </w:rPr>
        <w:tab/>
      </w:r>
      <w:proofErr w:type="spellStart"/>
      <w:r w:rsidRPr="00592F34">
        <w:rPr>
          <w:sz w:val="18"/>
          <w:szCs w:val="18"/>
        </w:rPr>
        <w:t>Hernán</w:t>
      </w:r>
      <w:proofErr w:type="spellEnd"/>
      <w:r w:rsidRPr="00592F34">
        <w:rPr>
          <w:sz w:val="18"/>
          <w:szCs w:val="18"/>
        </w:rPr>
        <w:t xml:space="preserve"> MA, Hernández-Díaz S. Beyond the intention-to-treat in comparative effectiveness research. Clin Trials. </w:t>
      </w:r>
      <w:proofErr w:type="gramStart"/>
      <w:r w:rsidRPr="00592F34">
        <w:rPr>
          <w:sz w:val="18"/>
          <w:szCs w:val="18"/>
        </w:rPr>
        <w:t>2012;9:48</w:t>
      </w:r>
      <w:proofErr w:type="gramEnd"/>
      <w:r w:rsidRPr="00592F34">
        <w:rPr>
          <w:sz w:val="18"/>
          <w:szCs w:val="18"/>
        </w:rPr>
        <w:t>-55.</w:t>
      </w:r>
    </w:p>
    <w:p w14:paraId="53994E59" w14:textId="77777777" w:rsidR="00592F34" w:rsidRPr="00592F34" w:rsidRDefault="00592F34" w:rsidP="00592F34">
      <w:pPr>
        <w:rPr>
          <w:rFonts w:ascii="Arial" w:hAnsi="Arial"/>
          <w:sz w:val="18"/>
          <w:szCs w:val="18"/>
        </w:rPr>
      </w:pPr>
      <w:r w:rsidRPr="00592F34">
        <w:rPr>
          <w:sz w:val="18"/>
          <w:szCs w:val="18"/>
        </w:rPr>
        <w:t>6.</w:t>
      </w:r>
      <w:r w:rsidRPr="00592F34">
        <w:rPr>
          <w:sz w:val="18"/>
          <w:szCs w:val="18"/>
        </w:rPr>
        <w:tab/>
        <w:t xml:space="preserve">O’Driscoll BR, Howard LS, </w:t>
      </w:r>
      <w:proofErr w:type="spellStart"/>
      <w:r w:rsidRPr="00592F34">
        <w:rPr>
          <w:sz w:val="18"/>
          <w:szCs w:val="18"/>
        </w:rPr>
        <w:t>Earis</w:t>
      </w:r>
      <w:proofErr w:type="spellEnd"/>
      <w:r w:rsidRPr="00592F34">
        <w:rPr>
          <w:sz w:val="18"/>
          <w:szCs w:val="18"/>
        </w:rPr>
        <w:t xml:space="preserve"> J, </w:t>
      </w:r>
      <w:proofErr w:type="spellStart"/>
      <w:r w:rsidRPr="00592F34">
        <w:rPr>
          <w:sz w:val="18"/>
          <w:szCs w:val="18"/>
        </w:rPr>
        <w:t>Mak</w:t>
      </w:r>
      <w:proofErr w:type="spellEnd"/>
      <w:r w:rsidRPr="00592F34">
        <w:rPr>
          <w:sz w:val="18"/>
          <w:szCs w:val="18"/>
        </w:rPr>
        <w:t xml:space="preserve"> V. British Thoracic Society Guideline for oxygen use in adults in healthcare and emergency settings. BMJ Open Respir Res. 2017;</w:t>
      </w:r>
      <w:proofErr w:type="gramStart"/>
      <w:r w:rsidRPr="00592F34">
        <w:rPr>
          <w:sz w:val="18"/>
          <w:szCs w:val="18"/>
        </w:rPr>
        <w:t>4:e</w:t>
      </w:r>
      <w:proofErr w:type="gramEnd"/>
      <w:r w:rsidRPr="00592F34">
        <w:rPr>
          <w:sz w:val="18"/>
          <w:szCs w:val="18"/>
        </w:rPr>
        <w:t>000170.</w:t>
      </w:r>
    </w:p>
    <w:p w14:paraId="3B5F7C48" w14:textId="77777777" w:rsidR="00592F34" w:rsidRPr="00592F34" w:rsidRDefault="00592F34" w:rsidP="00592F34">
      <w:pPr>
        <w:rPr>
          <w:rFonts w:ascii="Arial" w:hAnsi="Arial"/>
          <w:sz w:val="18"/>
          <w:szCs w:val="18"/>
        </w:rPr>
      </w:pPr>
      <w:r w:rsidRPr="00592F34">
        <w:rPr>
          <w:sz w:val="18"/>
          <w:szCs w:val="18"/>
        </w:rPr>
        <w:t>7.</w:t>
      </w:r>
      <w:r w:rsidRPr="00592F34">
        <w:rPr>
          <w:sz w:val="18"/>
          <w:szCs w:val="18"/>
        </w:rPr>
        <w:tab/>
        <w:t xml:space="preserve">Post B, Palmer E, Harris S et al. Oxygen saturation measurements in patients admitted to English intensive care units. Intensive Care Med Exp. </w:t>
      </w:r>
      <w:proofErr w:type="gramStart"/>
      <w:r w:rsidRPr="00592F34">
        <w:rPr>
          <w:sz w:val="18"/>
          <w:szCs w:val="18"/>
        </w:rPr>
        <w:t>2019;7:482</w:t>
      </w:r>
      <w:proofErr w:type="gramEnd"/>
      <w:r w:rsidRPr="00592F34">
        <w:rPr>
          <w:sz w:val="18"/>
          <w:szCs w:val="18"/>
        </w:rPr>
        <w:t>.</w:t>
      </w:r>
    </w:p>
    <w:p w14:paraId="592FA8BA" w14:textId="77777777" w:rsidR="00592F34" w:rsidRPr="00592F34" w:rsidRDefault="00592F34" w:rsidP="00592F34">
      <w:pPr>
        <w:rPr>
          <w:rFonts w:ascii="Arial" w:hAnsi="Arial"/>
          <w:sz w:val="18"/>
          <w:szCs w:val="18"/>
        </w:rPr>
      </w:pPr>
      <w:r w:rsidRPr="00592F34">
        <w:rPr>
          <w:sz w:val="18"/>
          <w:szCs w:val="18"/>
        </w:rPr>
        <w:t>8.</w:t>
      </w:r>
      <w:r w:rsidRPr="00592F34">
        <w:rPr>
          <w:sz w:val="18"/>
          <w:szCs w:val="18"/>
        </w:rPr>
        <w:tab/>
        <w:t xml:space="preserve">ICU-ROX IATAANZICSCTG, Mackle D, </w:t>
      </w:r>
      <w:proofErr w:type="spellStart"/>
      <w:r w:rsidRPr="00592F34">
        <w:rPr>
          <w:sz w:val="18"/>
          <w:szCs w:val="18"/>
        </w:rPr>
        <w:t>Bellomo</w:t>
      </w:r>
      <w:proofErr w:type="spellEnd"/>
      <w:r w:rsidRPr="00592F34">
        <w:rPr>
          <w:sz w:val="18"/>
          <w:szCs w:val="18"/>
        </w:rPr>
        <w:t xml:space="preserve"> R et al. Conservative Oxygen Therapy during Mechanical Ventilation in the ICU. N </w:t>
      </w:r>
      <w:proofErr w:type="spellStart"/>
      <w:r w:rsidRPr="00592F34">
        <w:rPr>
          <w:sz w:val="18"/>
          <w:szCs w:val="18"/>
        </w:rPr>
        <w:t>Engl</w:t>
      </w:r>
      <w:proofErr w:type="spellEnd"/>
      <w:r w:rsidRPr="00592F34">
        <w:rPr>
          <w:sz w:val="18"/>
          <w:szCs w:val="18"/>
        </w:rPr>
        <w:t xml:space="preserve"> J Med. 2019</w:t>
      </w:r>
    </w:p>
    <w:p w14:paraId="1468C7DB" w14:textId="77777777" w:rsidR="00592F34" w:rsidRPr="00592F34" w:rsidRDefault="00592F34" w:rsidP="00592F34">
      <w:pPr>
        <w:rPr>
          <w:rFonts w:ascii="Arial" w:hAnsi="Arial"/>
          <w:sz w:val="18"/>
          <w:szCs w:val="18"/>
        </w:rPr>
      </w:pPr>
      <w:r w:rsidRPr="00592F34">
        <w:rPr>
          <w:sz w:val="18"/>
          <w:szCs w:val="18"/>
        </w:rPr>
        <w:t>9.</w:t>
      </w:r>
      <w:r w:rsidRPr="00592F34">
        <w:rPr>
          <w:sz w:val="18"/>
          <w:szCs w:val="18"/>
        </w:rPr>
        <w:tab/>
        <w:t xml:space="preserve">Palmer E, Post B, </w:t>
      </w:r>
      <w:proofErr w:type="spellStart"/>
      <w:r w:rsidRPr="00592F34">
        <w:rPr>
          <w:sz w:val="18"/>
          <w:szCs w:val="18"/>
        </w:rPr>
        <w:t>Klapaukh</w:t>
      </w:r>
      <w:proofErr w:type="spellEnd"/>
      <w:r w:rsidRPr="00592F34">
        <w:rPr>
          <w:sz w:val="18"/>
          <w:szCs w:val="18"/>
        </w:rPr>
        <w:t xml:space="preserve"> R et al. The Association Between Supra-Physiologic Arterial Oxygen Levels and Mortality in Critically Ill Patients: A Multi-Centre Observational Cohort Study. Am J Respir </w:t>
      </w:r>
      <w:proofErr w:type="spellStart"/>
      <w:r w:rsidRPr="00592F34">
        <w:rPr>
          <w:sz w:val="18"/>
          <w:szCs w:val="18"/>
        </w:rPr>
        <w:t>Crit</w:t>
      </w:r>
      <w:proofErr w:type="spellEnd"/>
      <w:r w:rsidRPr="00592F34">
        <w:rPr>
          <w:sz w:val="18"/>
          <w:szCs w:val="18"/>
        </w:rPr>
        <w:t xml:space="preserve"> Care Med. 2019</w:t>
      </w:r>
    </w:p>
    <w:p w14:paraId="12C7DFB3" w14:textId="77777777" w:rsidR="00431C08" w:rsidRDefault="00592F34" w:rsidP="00592F34">
      <w:r w:rsidRPr="00592F34">
        <w:rPr>
          <w:sz w:val="18"/>
          <w:szCs w:val="18"/>
        </w:rPr>
        <w:fldChar w:fldCharType="end"/>
      </w:r>
    </w:p>
    <w:sectPr w:rsidR="00431C08" w:rsidSect="00E66C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EC66FC"/>
    <w:lvl w:ilvl="0">
      <w:start w:val="1"/>
      <w:numFmt w:val="decimal"/>
      <w:lvlText w:val="%1."/>
      <w:lvlJc w:val="left"/>
      <w:pPr>
        <w:tabs>
          <w:tab w:val="num" w:pos="0"/>
        </w:tabs>
        <w:ind w:left="480" w:hanging="480"/>
      </w:pPr>
      <w:rPr>
        <w:rFonts w:cs="Times New Roman"/>
      </w:r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34"/>
    <w:rsid w:val="003D63B8"/>
    <w:rsid w:val="00592F34"/>
    <w:rsid w:val="00E66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40CA03"/>
  <w15:chartTrackingRefBased/>
  <w15:docId w15:val="{DC63033F-E808-6848-9343-499D6E2C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92F34"/>
    <w:pPr>
      <w:keepNext/>
      <w:keepLines/>
      <w:spacing w:before="480"/>
      <w:outlineLvl w:val="0"/>
    </w:pPr>
    <w:rPr>
      <w:rFonts w:asciiTheme="majorHAnsi" w:eastAsiaTheme="majorEastAsia" w:hAnsiTheme="majorHAnsi" w:cs="Times New Roman"/>
      <w:b/>
      <w:bCs/>
      <w:color w:val="4472C4" w:themeColor="accent1"/>
      <w:sz w:val="32"/>
      <w:szCs w:val="32"/>
      <w:lang w:val="en-US"/>
    </w:rPr>
  </w:style>
  <w:style w:type="paragraph" w:styleId="Heading2">
    <w:name w:val="heading 2"/>
    <w:basedOn w:val="Normal"/>
    <w:next w:val="BodyText"/>
    <w:link w:val="Heading2Char"/>
    <w:uiPriority w:val="9"/>
    <w:unhideWhenUsed/>
    <w:qFormat/>
    <w:rsid w:val="00592F34"/>
    <w:pPr>
      <w:keepNext/>
      <w:keepLines/>
      <w:spacing w:before="200"/>
      <w:outlineLvl w:val="1"/>
    </w:pPr>
    <w:rPr>
      <w:rFonts w:asciiTheme="majorHAnsi" w:eastAsiaTheme="majorEastAsia" w:hAnsiTheme="majorHAnsi" w:cs="Times New Roman"/>
      <w:b/>
      <w:bCs/>
      <w:color w:val="4472C4" w:themeColor="accent1"/>
      <w:sz w:val="28"/>
      <w:szCs w:val="28"/>
      <w:lang w:val="en-US"/>
    </w:rPr>
  </w:style>
  <w:style w:type="paragraph" w:styleId="Heading3">
    <w:name w:val="heading 3"/>
    <w:basedOn w:val="Normal"/>
    <w:next w:val="BodyText"/>
    <w:link w:val="Heading3Char"/>
    <w:uiPriority w:val="9"/>
    <w:unhideWhenUsed/>
    <w:qFormat/>
    <w:rsid w:val="00592F34"/>
    <w:pPr>
      <w:keepNext/>
      <w:keepLines/>
      <w:spacing w:before="200"/>
      <w:outlineLvl w:val="2"/>
    </w:pPr>
    <w:rPr>
      <w:rFonts w:asciiTheme="majorHAnsi" w:eastAsiaTheme="majorEastAsia" w:hAnsiTheme="majorHAnsi" w:cs="Times New Roman"/>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F34"/>
    <w:rPr>
      <w:rFonts w:asciiTheme="majorHAnsi" w:eastAsiaTheme="majorEastAsia" w:hAnsiTheme="majorHAnsi" w:cs="Times New Roman"/>
      <w:b/>
      <w:bCs/>
      <w:color w:val="4472C4" w:themeColor="accent1"/>
      <w:sz w:val="32"/>
      <w:szCs w:val="32"/>
      <w:lang w:val="en-US"/>
    </w:rPr>
  </w:style>
  <w:style w:type="character" w:customStyle="1" w:styleId="Heading2Char">
    <w:name w:val="Heading 2 Char"/>
    <w:basedOn w:val="DefaultParagraphFont"/>
    <w:link w:val="Heading2"/>
    <w:uiPriority w:val="9"/>
    <w:rsid w:val="00592F34"/>
    <w:rPr>
      <w:rFonts w:asciiTheme="majorHAnsi" w:eastAsiaTheme="majorEastAsia" w:hAnsiTheme="majorHAnsi" w:cs="Times New Roman"/>
      <w:b/>
      <w:bCs/>
      <w:color w:val="4472C4" w:themeColor="accent1"/>
      <w:sz w:val="28"/>
      <w:szCs w:val="28"/>
      <w:lang w:val="en-US"/>
    </w:rPr>
  </w:style>
  <w:style w:type="character" w:customStyle="1" w:styleId="Heading3Char">
    <w:name w:val="Heading 3 Char"/>
    <w:basedOn w:val="DefaultParagraphFont"/>
    <w:link w:val="Heading3"/>
    <w:uiPriority w:val="9"/>
    <w:rsid w:val="00592F34"/>
    <w:rPr>
      <w:rFonts w:asciiTheme="majorHAnsi" w:eastAsiaTheme="majorEastAsia" w:hAnsiTheme="majorHAnsi" w:cs="Times New Roman"/>
      <w:b/>
      <w:bCs/>
      <w:color w:val="4472C4" w:themeColor="accent1"/>
      <w:lang w:val="en-US"/>
    </w:rPr>
  </w:style>
  <w:style w:type="paragraph" w:styleId="BodyText">
    <w:name w:val="Body Text"/>
    <w:basedOn w:val="Normal"/>
    <w:link w:val="BodyTextChar"/>
    <w:qFormat/>
    <w:rsid w:val="00592F34"/>
    <w:pPr>
      <w:spacing w:before="180" w:after="180"/>
    </w:pPr>
    <w:rPr>
      <w:rFonts w:eastAsia="Times New Roman" w:cs="Times New Roman"/>
      <w:lang w:val="en-US"/>
    </w:rPr>
  </w:style>
  <w:style w:type="character" w:customStyle="1" w:styleId="BodyTextChar">
    <w:name w:val="Body Text Char"/>
    <w:basedOn w:val="DefaultParagraphFont"/>
    <w:link w:val="BodyText"/>
    <w:rsid w:val="00592F34"/>
    <w:rPr>
      <w:rFonts w:eastAsia="Times New Roman" w:cs="Times New Roman"/>
      <w:lang w:val="en-US"/>
    </w:rPr>
  </w:style>
  <w:style w:type="paragraph" w:customStyle="1" w:styleId="FirstParagraph">
    <w:name w:val="First Paragraph"/>
    <w:basedOn w:val="BodyText"/>
    <w:next w:val="BodyText"/>
    <w:qFormat/>
    <w:rsid w:val="00592F34"/>
  </w:style>
  <w:style w:type="paragraph" w:styleId="BlockText">
    <w:name w:val="Block Text"/>
    <w:basedOn w:val="BodyText"/>
    <w:next w:val="BodyText"/>
    <w:uiPriority w:val="9"/>
    <w:unhideWhenUsed/>
    <w:qFormat/>
    <w:rsid w:val="00592F34"/>
    <w:pPr>
      <w:spacing w:before="100" w:after="100"/>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Steve</dc:creator>
  <cp:keywords/>
  <dc:description/>
  <cp:lastModifiedBy>Harris, Steve</cp:lastModifiedBy>
  <cp:revision>1</cp:revision>
  <dcterms:created xsi:type="dcterms:W3CDTF">2020-01-28T07:20:00Z</dcterms:created>
  <dcterms:modified xsi:type="dcterms:W3CDTF">2020-01-28T07:22:00Z</dcterms:modified>
</cp:coreProperties>
</file>