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5B427A" w14:textId="77777777" w:rsidR="00815662" w:rsidRDefault="00252D02">
      <w:pPr>
        <w:pStyle w:val="Heading1"/>
      </w:pPr>
      <w:bookmarkStart w:id="0" w:name="title-page"/>
      <w:bookmarkEnd w:id="0"/>
      <w:r>
        <w:t>Title page</w:t>
      </w:r>
    </w:p>
    <w:p w14:paraId="461206CE" w14:textId="77777777" w:rsidR="00815662" w:rsidRDefault="00252D02">
      <w:pPr>
        <w:pStyle w:val="Heading2"/>
      </w:pPr>
      <w:bookmarkStart w:id="1" w:name="working-title"/>
      <w:bookmarkEnd w:id="1"/>
      <w:r>
        <w:t>Working title</w:t>
      </w:r>
    </w:p>
    <w:p w14:paraId="3C9BE76D" w14:textId="77777777" w:rsidR="00815662" w:rsidRDefault="00252D02">
      <w:r>
        <w:t>Mortality among deteriorating ward patients referred to critical care: a prospective observational cohort study in 48 NHS hospitals</w:t>
      </w:r>
    </w:p>
    <w:p w14:paraId="440A0B3A" w14:textId="77777777" w:rsidR="00815662" w:rsidRDefault="00252D02">
      <w:pPr>
        <w:pStyle w:val="Heading2"/>
      </w:pPr>
      <w:bookmarkStart w:id="2" w:name="authors"/>
      <w:bookmarkEnd w:id="2"/>
      <w:r>
        <w:t>Authors</w:t>
      </w:r>
    </w:p>
    <w:p w14:paraId="505D869D" w14:textId="77777777" w:rsidR="00815662" w:rsidRDefault="00252D02">
      <w:pPr>
        <w:numPr>
          <w:ilvl w:val="0"/>
          <w:numId w:val="12"/>
        </w:numPr>
      </w:pPr>
      <w:r>
        <w:t>Steve Harris</w:t>
      </w:r>
    </w:p>
    <w:p w14:paraId="2F020702" w14:textId="77777777" w:rsidR="00815662" w:rsidRDefault="00252D02">
      <w:pPr>
        <w:numPr>
          <w:ilvl w:val="0"/>
          <w:numId w:val="12"/>
        </w:numPr>
      </w:pPr>
      <w:r>
        <w:t>Mervyn Singer</w:t>
      </w:r>
    </w:p>
    <w:p w14:paraId="7BD3A69F" w14:textId="77777777" w:rsidR="00815662" w:rsidRDefault="00252D02">
      <w:pPr>
        <w:numPr>
          <w:ilvl w:val="0"/>
          <w:numId w:val="12"/>
        </w:numPr>
      </w:pPr>
      <w:r>
        <w:t>Colin Sanderson</w:t>
      </w:r>
    </w:p>
    <w:p w14:paraId="01AC2C3C" w14:textId="77777777" w:rsidR="00815662" w:rsidRDefault="00252D02">
      <w:pPr>
        <w:numPr>
          <w:ilvl w:val="0"/>
          <w:numId w:val="12"/>
        </w:numPr>
      </w:pPr>
      <w:r>
        <w:t>David Harrison</w:t>
      </w:r>
    </w:p>
    <w:p w14:paraId="4529A0AF" w14:textId="77777777" w:rsidR="00815662" w:rsidRDefault="00252D02">
      <w:pPr>
        <w:numPr>
          <w:ilvl w:val="0"/>
          <w:numId w:val="12"/>
        </w:numPr>
      </w:pPr>
      <w:r>
        <w:t>Kathy Rowan</w:t>
      </w:r>
    </w:p>
    <w:p w14:paraId="69063DD4" w14:textId="77777777" w:rsidR="00815662" w:rsidRDefault="00252D02">
      <w:pPr>
        <w:pStyle w:val="Heading1"/>
      </w:pPr>
      <w:bookmarkStart w:id="3" w:name="abstract"/>
      <w:bookmarkEnd w:id="3"/>
      <w:r>
        <w:lastRenderedPageBreak/>
        <w:t>Abstract</w:t>
      </w:r>
    </w:p>
    <w:p w14:paraId="2F7EE035" w14:textId="77777777" w:rsidR="00815662" w:rsidRDefault="00252D02">
      <w:pPr>
        <w:pStyle w:val="Heading2"/>
      </w:pPr>
      <w:bookmarkStart w:id="4" w:name="background"/>
      <w:bookmarkEnd w:id="4"/>
      <w:r>
        <w:t>Background</w:t>
      </w:r>
    </w:p>
    <w:p w14:paraId="316C2433" w14:textId="77777777" w:rsidR="00815662" w:rsidRDefault="00252D02">
      <w:r>
        <w:t>Identifying and responding to deterioration among ward patients includes early access to critical care. However, critical care provision in the NHS is constrained, and the effects of this on delay to critical care admission, and patient outcomes are poorly</w:t>
      </w:r>
      <w:r>
        <w:t xml:space="preserve"> understood.</w:t>
      </w:r>
    </w:p>
    <w:p w14:paraId="1CB5954B" w14:textId="77777777" w:rsidR="00815662" w:rsidRDefault="00252D02">
      <w:pPr>
        <w:pStyle w:val="Heading2"/>
      </w:pPr>
      <w:bookmarkStart w:id="5" w:name="methods"/>
      <w:bookmarkEnd w:id="5"/>
      <w:r>
        <w:t>Methods</w:t>
      </w:r>
    </w:p>
    <w:p w14:paraId="7D2D0CC6" w14:textId="77777777" w:rsidR="00815662" w:rsidRDefault="00252D02">
      <w:r>
        <w:t>We conducted a prospective cohort study of consecutive deteriorating ward patients referred to critical care in 48 NHS hospitals (1 November 2010 — 31 December 2011). We recorded both the assessor’s recommendation for critical care, an</w:t>
      </w:r>
      <w:r>
        <w:t>d the decision to admit. Admissions to critical care within one week, and deaths within one year were defined by linking to national registries. Incidence models were stratified by the NHS National Early Warning Score (NEWS) risk class, and used generalise</w:t>
      </w:r>
      <w:r>
        <w:t>d estimating equations. Decision making and survival were modelled with random effects for the hospital using logistic regression and proportional hazards models respectively.</w:t>
      </w:r>
    </w:p>
    <w:p w14:paraId="4450006A" w14:textId="77777777" w:rsidR="00815662" w:rsidRDefault="00252D02">
      <w:pPr>
        <w:pStyle w:val="Heading2"/>
      </w:pPr>
      <w:bookmarkStart w:id="6" w:name="findings"/>
      <w:bookmarkEnd w:id="6"/>
      <w:r>
        <w:t>Findings</w:t>
      </w:r>
    </w:p>
    <w:p w14:paraId="4C2CBF58" w14:textId="77777777" w:rsidR="00815662" w:rsidRDefault="00252D02">
      <w:r>
        <w:t xml:space="preserve">Critical care teams assessed 15158 patients of whom 6759 (45%) were in </w:t>
      </w:r>
      <w:r>
        <w:t>the highest NEWS risk class giving an incidence of 17 NEWS high risk patients (95%CI 17–18) per hospital per month. 5164 (34%) patients were already in established organ failure with only 870 patients (6%) already on organ support. Sepsis was reported in 9</w:t>
      </w:r>
      <w:r>
        <w:t>296 (61%) patients.</w:t>
      </w:r>
    </w:p>
    <w:p w14:paraId="6BB56ED4" w14:textId="77777777" w:rsidR="00815662" w:rsidRDefault="00252D02">
      <w:r>
        <w:t>2141 (14%) patients with treatment limitation orders were declined critical care. 7-day, 90-day, and 1-year mortalities were 41%, 65%, and 76% respectively.</w:t>
      </w:r>
    </w:p>
    <w:p w14:paraId="2A69AF62" w14:textId="77777777" w:rsidR="00815662" w:rsidRDefault="00252D02">
      <w:r>
        <w:t>Of the remainder, the bedside assessor recommended 4976 (38%) to critical care.</w:t>
      </w:r>
      <w:r>
        <w:t xml:space="preserve"> 3375 (68%) were immediately accepted. The median delay between asssessment and admission was 2 hours (IQR 1 to 4). Patients over 80 years were less likely to be accepted (OR 0.60 95%CI 0.53–0.69). Despite adjustment for patient specific risk factors, deci</w:t>
      </w:r>
      <w:r>
        <w:t>sion making varied markedly between hospitals (median inter-hospital OR 2.11, 95%1.81–2.42).</w:t>
      </w:r>
    </w:p>
    <w:p w14:paraId="3379F986" w14:textId="77777777" w:rsidR="00815662" w:rsidRDefault="00252D02">
      <w:r>
        <w:t>Of the 1601 (32%) patients recommended but initially refused, 1021 (64%) were admitted later with a median additional delay of 6 hours (IQR 5–7). A further 179 (11</w:t>
      </w:r>
      <w:r>
        <w:t>%) patients recommended and refused died without admission.</w:t>
      </w:r>
    </w:p>
    <w:p w14:paraId="696668FC" w14:textId="77777777" w:rsidR="00815662" w:rsidRDefault="00252D02">
      <w:r>
        <w:t>Excluding patients with treatment limits, 7-day, 90-day, and 1-year mortalities were 14%, 30%, and 39% respectively. Mortality occured early with 964 of first week deaths (53%) within two days. Su</w:t>
      </w:r>
      <w:r>
        <w:t>rvival also varied between hospitals with a median interhospital hazard ratio of 1.29 (95%CI, 1.22–1.35).</w:t>
      </w:r>
    </w:p>
    <w:p w14:paraId="18D68D8D" w14:textId="77777777" w:rsidR="00815662" w:rsidRDefault="00252D02">
      <w:r>
        <w:t>The critical care unit was full at the time of 1198 (8%) assessments. The patients concerned were less likely to be accepted to critical care (OR 0.72</w:t>
      </w:r>
      <w:r>
        <w:t xml:space="preserve"> [95%CI 0.59–</w:t>
      </w:r>
      <w:r>
        <w:lastRenderedPageBreak/>
        <w:t>0.88]), and less likely to be admitted promptly (OR 0.27 [95%CI 0.19–0.37]). Increasing occupancy was associated with greater physiological deterioration pending admission (p=0.01). We could not exclude an effect of occupancy on 90-day surviva</w:t>
      </w:r>
      <w:r>
        <w:t>l (HR 1.07, 95%CI 1.00–-1.15).</w:t>
      </w:r>
    </w:p>
    <w:p w14:paraId="7A011351" w14:textId="77777777" w:rsidR="00815662" w:rsidRDefault="00252D02">
      <w:pPr>
        <w:pStyle w:val="Heading2"/>
      </w:pPr>
      <w:bookmarkStart w:id="7" w:name="conclusion"/>
      <w:bookmarkEnd w:id="7"/>
      <w:r>
        <w:t>Conclusion</w:t>
      </w:r>
    </w:p>
    <w:p w14:paraId="164EF401" w14:textId="77777777" w:rsidR="00815662" w:rsidRDefault="00252D02">
      <w:r>
        <w:t>Deteriorating ward patients referred to critical care are vulnerable with a high initial mortality. Despite clinical recommendation for admission a substantial minority die without admission. High critical care occ</w:t>
      </w:r>
      <w:r>
        <w:t>upancy both prejudices and delays admission.</w:t>
      </w:r>
    </w:p>
    <w:p w14:paraId="6DF37B4A" w14:textId="77777777" w:rsidR="00815662" w:rsidRDefault="00252D02">
      <w:pPr>
        <w:pStyle w:val="Heading2"/>
      </w:pPr>
      <w:bookmarkStart w:id="8" w:name="funding"/>
      <w:bookmarkEnd w:id="8"/>
      <w:r>
        <w:t>Funding</w:t>
      </w:r>
    </w:p>
    <w:p w14:paraId="30CDB72D" w14:textId="77777777" w:rsidR="00815662" w:rsidRDefault="00252D02">
      <w:r>
        <w:t>Wellcome Trust, NIHR Service Support Costs, and the Intensive Care National Audit &amp; Research Centre</w:t>
      </w:r>
    </w:p>
    <w:p w14:paraId="5EF90566" w14:textId="77777777" w:rsidR="00815662" w:rsidRDefault="00252D02">
      <w:pPr>
        <w:pStyle w:val="Heading1"/>
      </w:pPr>
      <w:bookmarkStart w:id="9" w:name="introduction"/>
      <w:bookmarkEnd w:id="9"/>
      <w:r>
        <w:lastRenderedPageBreak/>
        <w:t>Introduction</w:t>
      </w:r>
    </w:p>
    <w:p w14:paraId="125101E9" w14:textId="77777777" w:rsidR="00815662" w:rsidRDefault="00252D02">
      <w:r>
        <w:t>Around 200 acute hospitals in England that care for more than 11 million overnight hospita</w:t>
      </w:r>
      <w:r>
        <w:t>l admissions per annum. Each patient spends an average of 5 days on a hospital ward where they undergo a process of continual triage, and those who deteriorate are referred to critical care.</w:t>
      </w:r>
      <w:r w:rsidR="00027B13">
        <w:t xml:space="preserve"> </w:t>
      </w:r>
      <w:r w:rsidR="00027B13">
        <w:fldChar w:fldCharType="begin"/>
      </w:r>
      <w:r w:rsidR="00027B13">
        <w:instrText xml:space="preserve"> ADDIN PAPERS2_CITATIONS &lt;citation&gt;&lt;uuid&gt;867ED2FF-FD5B-4BA2-8A02-16229CCBE092&lt;/uuid&gt;&lt;priority&gt;0&lt;/priority&gt;&lt;publications&gt;&lt;publication&gt;&lt;institution&gt;1 Trevelyan Square, Boar Lane, Leeds, LS1 6AE, United Kingdom&lt;/institution&gt;&lt;title&gt;Hospital Episode Statistics&lt;/title&gt;&lt;uuid&gt;6E8E1D3E-9AAC-4F1D-BFEB-D450FDFF3CD4&lt;/uuid&gt;&lt;subtype&gt;400&lt;/subtype&gt;&lt;publisher&gt;Health and Social Care Information Centre&lt;/publisher&gt;&lt;type&gt;400&lt;/type&gt;&lt;url&gt;http://www.hscic.gov.uk/hes#main%20layout&lt;/url&gt;&lt;bundle&gt;&lt;publication&gt;&lt;publisher&gt;Health and Social Care Information Centre&lt;/publisher&gt;&lt;title&gt;hscic.gov.uk&lt;/title&gt;&lt;type&gt;-100&lt;/type&gt;&lt;subtype&gt;-100&lt;/subtype&gt;&lt;uuid&gt;55C2B350-D5BC-4780-BADC-240B622E3A96&lt;/uuid&gt;&lt;/publication&gt;&lt;/bundle&gt;&lt;/publication&gt;&lt;/publications&gt;&lt;cites&gt;&lt;/cites&gt;&lt;/citation&gt;</w:instrText>
      </w:r>
      <w:r w:rsidR="00027B13">
        <w:fldChar w:fldCharType="separate"/>
      </w:r>
      <w:r w:rsidR="00027B13">
        <w:rPr>
          <w:rFonts w:cs="Charter"/>
          <w:lang w:val="en-US"/>
        </w:rPr>
        <w:t>[1]</w:t>
      </w:r>
      <w:r w:rsidR="00027B13">
        <w:fldChar w:fldCharType="end"/>
      </w:r>
      <w:r>
        <w:t xml:space="preserve"> This interface between the ward and critical care h</w:t>
      </w:r>
      <w:r>
        <w:t xml:space="preserve">as been a priority area for the English National Health Service (NHS), but available data derive from qualitative work, small retrospective studies, or voluntary reporting systems </w:t>
      </w:r>
      <w:r w:rsidR="00027B13">
        <w:fldChar w:fldCharType="begin"/>
      </w:r>
      <w:r w:rsidR="00027B13">
        <w:instrText xml:space="preserve"> ADDIN PAPERS2_CITATIONS &lt;citation&gt;&lt;uuid&gt;573633B7-265B-4617-836F-944CA8A36DF2&lt;/uuid&gt;&lt;priority&gt;1&lt;/priority&gt;&lt;publications&gt;&lt;publication&gt;&lt;startpage&gt;1&lt;/startpage&gt;&lt;institution&gt;National Patient Safety Agency&lt;/institution&gt;&lt;title&gt;Recognising and responding appropriately to early signs of deterioration in hospitalised patients&lt;/title&gt;&lt;uuid&gt;393432D3-E318-4DF1-8ECB-B025547FDD2E&lt;/uuid&gt;&lt;subtype&gt;700&lt;/subtype&gt;&lt;publisher&gt;National Patient Safety Agency&lt;/publisher&gt;&lt;type&gt;700&lt;/type&gt;&lt;citekey&gt;Luettel:2007va&lt;/citekey&gt;&lt;endpage&gt;40&lt;/endpage&gt;&lt;publication_date&gt;99200711111200000000222000&lt;/publication_date&gt;&lt;authors&gt;&lt;author&gt;&lt;firstName&gt;D&lt;/firstName&gt;&lt;lastName&gt;Luettel&lt;/lastName&gt;&lt;/author&gt;&lt;author&gt;&lt;firstName&gt;Kate&lt;/firstName&gt;&lt;lastName&gt;Beaumont&lt;/lastName&gt;&lt;/author&gt;&lt;author&gt;&lt;firstName&gt;Frances&lt;/firstName&gt;&lt;lastName&gt;Healey&lt;/lastName&gt;&lt;/author&gt;&lt;/authors&gt;&lt;/publication&gt;&lt;publication&gt;&lt;uuid&gt;5199E615-C953-42F5-90F2-F200614E68C4&lt;/uuid&gt;&lt;volume&gt;316&lt;/volume&gt;&lt;startpage&gt;1853&lt;/startpage&gt;&lt;publication_date&gt;99199806201200000000222000&lt;/publication_date&gt;&lt;url&gt;http://www.ncbi.nlm.nih.gov/entrez/query.fcgi?cmd=Retrieve&amp;amp;db=PubMed&amp;amp;dopt=Citation&amp;amp;list_uids=9632403&lt;/url&gt;&lt;citekey&gt;McQuillan:1998uj&lt;/citekey&gt;&lt;type&gt;400&lt;/type&gt;&lt;title&gt;Confidential inquiry into quality of care before admission to intensive care.&lt;/title&gt;&lt;publisher&gt;ENGLAND&lt;/publisher&gt;&lt;institution&gt;Department of Intensive Care Medicine, Queen Alexander Hospital, Cosham, Portsmouth, Hampshire PO6 3LY.&lt;/institution&gt;&lt;number&gt;7148&lt;/number&gt;&lt;subtype&gt;400&lt;/subtype&gt;&lt;endpage&gt;1858&lt;/endpage&gt;&lt;bundle&gt;&lt;publication&gt;&lt;publisher&gt;England&lt;/publisher&gt;&lt;title&gt;BMJ&lt;/title&gt;&lt;type&gt;-100&lt;/type&gt;&lt;subtype&gt;-100&lt;/subtype&gt;&lt;uuid&gt;9D972674-C5B1-4A6C-95D6-03DEAD58A485&lt;/uuid&gt;&lt;/publication&gt;&lt;/bundle&gt;&lt;authors&gt;&lt;author&gt;&lt;firstName&gt;P&lt;/firstName&gt;&lt;lastName&gt;McQuillan&lt;/lastName&gt;&lt;/author&gt;&lt;author&gt;&lt;firstName&gt;S&lt;/firstName&gt;&lt;lastName&gt;Pilkington&lt;/lastName&gt;&lt;/author&gt;&lt;author&gt;&lt;firstName&gt;A&lt;/firstName&gt;&lt;lastName&gt;Allan&lt;/lastName&gt;&lt;/author&gt;&lt;author&gt;&lt;firstName&gt;B&lt;/firstName&gt;&lt;lastName&gt;Taylor&lt;/lastName&gt;&lt;/author&gt;&lt;author&gt;&lt;firstName&gt;A&lt;/firstName&gt;&lt;lastName&gt;Short&lt;/lastName&gt;&lt;/author&gt;&lt;author&gt;&lt;firstName&gt;G&lt;/firstName&gt;&lt;lastName&gt;Morgan&lt;/lastName&gt;&lt;/author&gt;&lt;author&gt;&lt;firstName&gt;M&lt;/firstName&gt;&lt;lastName&gt;Nielsen&lt;/lastName&gt;&lt;/author&gt;&lt;author&gt;&lt;firstName&gt;D&lt;/firstName&gt;&lt;lastName&gt;Barrett&lt;/lastName&gt;&lt;/author&gt;&lt;author&gt;&lt;firstName&gt;G&lt;/firstName&gt;&lt;lastName&gt;Smith&lt;/lastName&gt;&lt;/author&gt;&lt;author&gt;&lt;firstName&gt;C&lt;/firstName&gt;&lt;middleNames&gt;H&lt;/middleNames&gt;&lt;lastName&gt;Collins&lt;/lastName&gt;&lt;/author&gt;&lt;/authors&gt;&lt;/publication&gt;&lt;publication&gt;&lt;publication_date&gt;99200500001200000000200000&lt;/publication_date&gt;&lt;title&gt;An Acute Problem?: A Report of the National Confidential Enquiry Into Patient Outcome and Death&lt;/title&gt;&lt;uuid&gt;BC523C92-C4B9-4EC1-A92B-CE481EEBCA3B&lt;/uuid&gt;&lt;subtype&gt;702&lt;/subtype&gt;&lt;publisher&gt;National Confidential Enquiry into Perioperative Deaths&lt;/publisher&gt;&lt;type&gt;700&lt;/type&gt;&lt;citekey&gt;Cullinane:2005vg&lt;/citekey&gt;&lt;url&gt;http://www.amazon.co.uk/An-Acute-Problem-National-Confidential/dp/0953924041%3FSubscriptionId%3D0NM5T5X751JWT17C4GG2%26tag%3Dsonnysoftware%26linkCode%3Dxm2%26camp%3D2025%26creative%3D165953%26creativeASIN%3D0953924041&lt;/url&gt;&lt;authors&gt;&lt;author&gt;&lt;firstName&gt;M&lt;/firstName&gt;&lt;lastName&gt;Cullinane&lt;/lastName&gt;&lt;/author&gt;&lt;author&gt;&lt;firstName&gt;G&lt;/firstName&gt;&lt;lastName&gt;Findlay&lt;/lastName&gt;&lt;/author&gt;&lt;author&gt;&lt;firstName&gt;Lucas&lt;/firstName&gt;&lt;middleNames&gt;S&lt;/middleNames&gt;&lt;lastName&gt;Hargraves&lt;/lastName&gt;&lt;/author&gt;&lt;/authors&gt;&lt;/publication&gt;&lt;/publications&gt;&lt;cites&gt;&lt;/cites&gt;&lt;/citation&gt;</w:instrText>
      </w:r>
      <w:r w:rsidR="00027B13">
        <w:fldChar w:fldCharType="separate"/>
      </w:r>
      <w:r w:rsidR="00027B13">
        <w:rPr>
          <w:rFonts w:cs="Charter"/>
          <w:lang w:val="en-US"/>
        </w:rPr>
        <w:t>[2-4]</w:t>
      </w:r>
      <w:r w:rsidR="00027B13">
        <w:fldChar w:fldCharType="end"/>
      </w:r>
      <w:r>
        <w:t>.</w:t>
      </w:r>
    </w:p>
    <w:p w14:paraId="48C2F1AE" w14:textId="77777777" w:rsidR="00815662" w:rsidRDefault="00252D02">
      <w:r>
        <w:t>Recent internationa</w:t>
      </w:r>
      <w:r>
        <w:t>l reports suggest that critical care capacity can affect decision making for these patients.</w:t>
      </w:r>
      <w:r w:rsidR="00027B13">
        <w:t xml:space="preserve"> </w:t>
      </w:r>
      <w:r w:rsidR="00027B13">
        <w:fldChar w:fldCharType="begin"/>
      </w:r>
      <w:r w:rsidR="00027B13">
        <w:instrText xml:space="preserve"> ADDIN PAPERS2_CITATIONS &lt;citation&gt;&lt;uuid&gt;67FC7484-9300-4415-8180-29AC9DEE00E4&lt;/uuid&gt;&lt;priority&gt;2&lt;/priority&gt;&lt;publications&gt;&lt;publication&gt;&lt;uuid&gt;4656359E-AB8D-4D4E-AE5A-F4D0A6CCED10&lt;/uuid&gt;&lt;volume&gt;172&lt;/volume&gt;&lt;doi&gt;10.1001/archinternmed.2012.2606&lt;/doi&gt;&lt;startpage&gt;1220&lt;/startpage&gt;&lt;publication_date&gt;99201209101200000000222000&lt;/publication_date&gt;&lt;url&gt;http://www.ncbi.nlm.nih.gov/entrez/query.fcgi?cmd=Retrieve&amp;amp;db=PubMed&amp;amp;dopt=Citation&amp;amp;list_uids=22825806&lt;/url&gt;&lt;type&gt;400&lt;/type&gt;&lt;title&gt;Intensive care unit admitting patterns in the Veterans Affairs health care system.&lt;/title&gt;&lt;publisher&gt;United States&lt;/publisher&gt;&lt;institution&gt;Veterans Affairs Health Services Research and Development Center of Excellence, Veterans Affairs Ann Arbor Healthcare System, Michigan, USA. lenac@umich.edu&lt;/institution&gt;&lt;number&gt;16&lt;/number&gt;&lt;subtype&gt;400&lt;/subtype&gt;&lt;endpage&gt;1226&lt;/endpage&gt;&lt;bundle&gt;&lt;publication&gt;&lt;publisher&gt;United States&lt;/publisher&gt;&lt;title&gt;Arch Intern Med&lt;/title&gt;&lt;type&gt;-100&lt;/type&gt;&lt;subtype&gt;-100&lt;/subtype&gt;&lt;uuid&gt;EDC53D42-AEC8-4E3D-8AD9-C7FA0AD66794&lt;/uuid&gt;&lt;/publication&gt;&lt;/bundle&gt;&lt;authors&gt;&lt;author&gt;&lt;firstName&gt;L&lt;/firstName&gt;&lt;middleNames&gt;M&lt;/middleNames&gt;&lt;lastName&gt;Chen&lt;/lastName&gt;&lt;/author&gt;&lt;author&gt;&lt;firstName&gt;M&lt;/firstName&gt;&lt;lastName&gt;Render&lt;/lastName&gt;&lt;/author&gt;&lt;author&gt;&lt;firstName&gt;A&lt;/firstName&gt;&lt;lastName&gt;Sales&lt;/lastName&gt;&lt;/author&gt;&lt;author&gt;&lt;firstName&gt;E&lt;/firstName&gt;&lt;middleNames&gt;H&lt;/middleNames&gt;&lt;lastName&gt;Kennedy&lt;/lastName&gt;&lt;/author&gt;&lt;author&gt;&lt;firstName&gt;W&lt;/firstName&gt;&lt;lastName&gt;Wiitala&lt;/lastName&gt;&lt;/author&gt;&lt;author&gt;&lt;firstName&gt;T&lt;/firstName&gt;&lt;middleNames&gt;P&lt;/middleNames&gt;&lt;lastName&gt;Hofer&lt;/lastName&gt;&lt;/author&gt;&lt;/authors&gt;&lt;/publication&gt;&lt;publication&gt;&lt;uuid&gt;A0B8D4C6-2921-4F22-83B3-22A9BC897EA6&lt;/uuid&gt;&lt;volume&gt;172&lt;/volume&gt;&lt;doi&gt;10.1001/archinternmed.2011.2315&lt;/doi&gt;&lt;startpage&gt;467&lt;/startpage&gt;&lt;publication_date&gt;99201203261200000000222000&lt;/publication_date&gt;&lt;url&gt;http://www.ncbi.nlm.nih.gov/entrez/query.fcgi?cmd=Retrieve&amp;amp;db=PubMed&amp;amp;dopt=Citation&amp;amp;list_uids=22412076&lt;/url&gt;&lt;citekey&gt;Stelfox:2012iy&lt;/citekey&gt;&lt;type&gt;400&lt;/type&gt;&lt;title&gt;Intensive Care Unit Bed Availability and Outcomes for Hospitalized Patients With Sudden Clinical Deterioration.&lt;/title&gt;&lt;publisher&gt;United States&lt;/publisher&gt;&lt;institution&gt;Department of Critical Care Medicine, University of Calgary, Teaching, Research and Wellness Building, 3280 Hospital Dr NW, Calgary, AB, Canada. tstelfox@ucalgary.ca&lt;/institution&gt;&lt;number&gt;6&lt;/number&gt;&lt;subtype&gt;400&lt;/subtype&gt;&lt;endpage&gt;474&lt;/endpage&gt;&lt;bundle&gt;&lt;publication&gt;&lt;publisher&gt;United States&lt;/publisher&gt;&lt;title&gt;Arch Intern Med&lt;/title&gt;&lt;type&gt;-100&lt;/type&gt;&lt;subtype&gt;-100&lt;/subtype&gt;&lt;uuid&gt;EDC53D42-AEC8-4E3D-8AD9-C7FA0AD66794&lt;/uuid&gt;&lt;/publication&gt;&lt;/bundle&gt;&lt;authors&gt;&lt;author&gt;&lt;firstName&gt;H&lt;/firstName&gt;&lt;middleNames&gt;T&lt;/middleNames&gt;&lt;lastName&gt;Stelfox&lt;/lastName&gt;&lt;/author&gt;&lt;author&gt;&lt;firstName&gt;B&lt;/firstName&gt;&lt;middleNames&gt;R&lt;/middleNames&gt;&lt;lastName&gt;Hemmelgarn&lt;/lastName&gt;&lt;/author&gt;&lt;author&gt;&lt;firstName&gt;S&lt;/firstName&gt;&lt;middleNames&gt;M&lt;/middleNames&gt;&lt;lastName&gt;Bagshaw&lt;/lastName&gt;&lt;/author&gt;&lt;author&gt;&lt;firstName&gt;S&lt;/firstName&gt;&lt;lastName&gt;Gao&lt;/lastName&gt;&lt;/author&gt;&lt;author&gt;&lt;firstName&gt;C&lt;/firstName&gt;&lt;middleNames&gt;J&lt;/middleNames&gt;&lt;lastName&gt;Doig&lt;/lastName&gt;&lt;/author&gt;&lt;author&gt;&lt;firstName&gt;C&lt;/firstName&gt;&lt;lastName&gt;Nijssen-Jordan&lt;/lastName&gt;&lt;/author&gt;&lt;author&gt;&lt;firstName&gt;B&lt;/firstName&gt;&lt;lastName&gt;Manns&lt;/lastName&gt;&lt;/author&gt;&lt;/authors&gt;&lt;/publication&gt;&lt;publication&gt;&lt;uuid&gt;B0470926-0BA5-4E63-A153-A5D215F88A52&lt;/uuid&gt;&lt;volume&gt;185&lt;/volume&gt;&lt;doi&gt;10.1164/rccm.201104-0729OC&lt;/doi&gt;&lt;startpage&gt;1081&lt;/startpage&gt;&lt;publication_date&gt;99201205151200000000222000&lt;/publication_date&gt;&lt;url&gt;http://www.ncbi.nlm.nih.gov/entrez/query.fcgi?cmd=Retrieve&amp;amp;db=PubMed&amp;amp;dopt=Citation&amp;amp;list_uids=22345582&lt;/url&gt;&lt;citekey&gt;Robert:2012ep&lt;/citekey&gt;&lt;type&gt;400&lt;/type&gt;&lt;title&gt;Refusal of intensive care unit admission due to a full unit: impact on mortality.&lt;/title&gt;&lt;publisher&gt;United States&lt;/publisher&gt;&lt;institution&gt;Service de Reanimation Medicale, Hopital Jean Bernard, CHU Poitiers, 86021 Poitiers Cedex France. r.robert@chu-poitiers.fr&lt;/institution&gt;&lt;number&gt;10&lt;/number&gt;&lt;subtype&gt;400&lt;/subtype&gt;&lt;endpage&gt;1087&lt;/endpage&gt;&lt;bundle&gt;&lt;publication&gt;&lt;publisher&gt;United States&lt;/publisher&gt;&lt;title&gt;American Journal of Respiratory and Critical Care Medicine&lt;/title&gt;&lt;type&gt;-100&lt;/type&gt;&lt;subtype&gt;-100&lt;/subtype&gt;&lt;uuid&gt;C7FD63CD-137F-44BD-84C6-F476C6FB6572&lt;/uuid&gt;&lt;/publication&gt;&lt;/bundle&gt;&lt;authors&gt;&lt;author&gt;&lt;firstName&gt;R&lt;/firstName&gt;&lt;lastName&gt;Robert&lt;/lastName&gt;&lt;/author&gt;&lt;author&gt;&lt;firstName&gt;J&lt;/firstName&gt;&lt;lastName&gt;Reignier&lt;/lastName&gt;&lt;/author&gt;&lt;author&gt;&lt;firstName&gt;C&lt;/firstName&gt;&lt;lastName&gt;Tournoux-Facon&lt;/lastName&gt;&lt;/author&gt;&lt;author&gt;&lt;firstName&gt;T&lt;/firstName&gt;&lt;lastName&gt;Boulain&lt;/lastName&gt;&lt;/author&gt;&lt;author&gt;&lt;firstName&gt;O&lt;/firstName&gt;&lt;lastName&gt;Lesieur&lt;/lastName&gt;&lt;/author&gt;&lt;author&gt;&lt;firstName&gt;V&lt;/firstName&gt;&lt;lastName&gt;Gissot&lt;/lastName&gt;&lt;/author&gt;&lt;author&gt;&lt;firstName&gt;V&lt;/firstName&gt;&lt;lastName&gt;Souday&lt;/lastName&gt;&lt;/author&gt;&lt;author&gt;&lt;firstName&gt;M&lt;/firstName&gt;&lt;lastName&gt;Hamrouni&lt;/lastName&gt;&lt;/author&gt;&lt;author&gt;&lt;firstName&gt;C&lt;/firstName&gt;&lt;lastName&gt;Chapon&lt;/lastName&gt;&lt;/author&gt;&lt;author&gt;&lt;firstName&gt;J&lt;/firstName&gt;&lt;middleNames&gt;P&lt;/middleNames&gt;&lt;lastName&gt;Gouello&lt;/lastName&gt;&lt;/author&gt;&lt;/authors&gt;&lt;/publication&gt;&lt;/publications&gt;&lt;cites&gt;&lt;/cites&gt;&lt;/citation&gt;</w:instrText>
      </w:r>
      <w:r w:rsidR="00027B13">
        <w:fldChar w:fldCharType="separate"/>
      </w:r>
      <w:r w:rsidR="00027B13">
        <w:rPr>
          <w:rFonts w:cs="Charter"/>
          <w:lang w:val="en-US"/>
        </w:rPr>
        <w:t>[5-7]</w:t>
      </w:r>
      <w:r w:rsidR="00027B13">
        <w:fldChar w:fldCharType="end"/>
      </w:r>
      <w:r>
        <w:t xml:space="preserve"> The last significant funding increase for critical care in the NHS was in 2000, and, in 2010, the United Kingdom (UK</w:t>
      </w:r>
      <w:r>
        <w:t>) was still ranked 24 out of 28 European countries in terms of critical care provision.</w:t>
      </w:r>
      <w:r w:rsidR="00027B13">
        <w:t xml:space="preserve"> </w:t>
      </w:r>
      <w:r w:rsidR="00027B13">
        <w:fldChar w:fldCharType="begin"/>
      </w:r>
      <w:r w:rsidR="00027B13">
        <w:instrText xml:space="preserve"> ADDIN PAPERS2_CITATIONS &lt;citation&gt;&lt;uuid&gt;E9A4C97D-9025-4F8C-8862-43F393440F6D&lt;/uuid&gt;&lt;priority&gt;3&lt;/priority&gt;&lt;publications&gt;&lt;publication&gt;&lt;uuid&gt;592F249B-0CDA-471B-95A3-B68DCF1EDE04&lt;/uuid&gt;&lt;volume&gt;38&lt;/volume&gt;&lt;doi&gt;10.1007/s00134-012-2627-8&lt;/doi&gt;&lt;startpage&gt;1647&lt;/startpage&gt;&lt;publication_date&gt;99201210001200000000220000&lt;/publication_date&gt;&lt;url&gt;http://www.ncbi.nlm.nih.gov/entrez/query.fcgi?cmd=Retrieve&amp;amp;db=PubMed&amp;amp;dopt=Citation&amp;amp;list_uids=22777516&lt;/url&gt;&lt;citekey&gt;Rhodes:2012kb&lt;/citekey&gt;&lt;type&gt;400&lt;/type&gt;&lt;title&gt;The variability of critical care bed numbers in Europe.&lt;/title&gt;&lt;publisher&gt;United States&lt;/publisher&gt;&lt;institution&gt;Department of Intensive Care Medicine, St George's Healthcare NHS Trust and University of London, London SW17 0QT, UK. andyr@sgul.ac.uk&lt;/institution&gt;&lt;number&gt;10&lt;/number&gt;&lt;subtype&gt;400&lt;/subtype&gt;&lt;endpage&gt;1653&lt;/endpage&gt;&lt;bundle&gt;&lt;publication&gt;&lt;publisher&gt;United States&lt;/publisher&gt;&lt;title&gt;Intensive Care Med&lt;/title&gt;&lt;type&gt;-100&lt;/type&gt;&lt;subtype&gt;-100&lt;/subtype&gt;&lt;uuid&gt;D2572553-42E8-4958-BAC4-BBA99D066268&lt;/uuid&gt;&lt;/publication&gt;&lt;/bundle&gt;&lt;authors&gt;&lt;author&gt;&lt;firstName&gt;A&lt;/firstName&gt;&lt;lastName&gt;Rhodes&lt;/lastName&gt;&lt;/author&gt;&lt;author&gt;&lt;firstName&gt;P&lt;/firstName&gt;&lt;lastName&gt;Ferdinande&lt;/lastName&gt;&lt;/author&gt;&lt;author&gt;&lt;firstName&gt;H&lt;/firstName&gt;&lt;lastName&gt;Flaatten&lt;/lastName&gt;&lt;/author&gt;&lt;author&gt;&lt;firstName&gt;B&lt;/firstName&gt;&lt;lastName&gt;Guidet&lt;/lastName&gt;&lt;/author&gt;&lt;author&gt;&lt;firstName&gt;P&lt;/firstName&gt;&lt;middleNames&gt;G&lt;/middleNames&gt;&lt;lastName&gt;Metnitz&lt;/lastName&gt;&lt;/author&gt;&lt;author&gt;&lt;firstName&gt;R&lt;/firstName&gt;&lt;middleNames&gt;P&lt;/middleNames&gt;&lt;lastName&gt;Moreno&lt;/lastName&gt;&lt;/author&gt;&lt;/authors&gt;&lt;/publication&gt;&lt;/publications&gt;&lt;cites&gt;&lt;/cites&gt;&lt;/citation&gt;</w:instrText>
      </w:r>
      <w:r w:rsidR="00027B13">
        <w:fldChar w:fldCharType="separate"/>
      </w:r>
      <w:r w:rsidR="00027B13">
        <w:rPr>
          <w:rFonts w:cs="Charter"/>
          <w:lang w:val="en-US"/>
        </w:rPr>
        <w:t>[8]</w:t>
      </w:r>
      <w:r w:rsidR="00027B13">
        <w:fldChar w:fldCharType="end"/>
      </w:r>
      <w:r>
        <w:t xml:space="preserve"> Similar results are found when for comparisons with North American health care.</w:t>
      </w:r>
      <w:r w:rsidR="00027B13">
        <w:t xml:space="preserve"> </w:t>
      </w:r>
      <w:r w:rsidR="00027B13">
        <w:fldChar w:fldCharType="begin"/>
      </w:r>
      <w:r w:rsidR="00027B13">
        <w:instrText xml:space="preserve"> ADDIN PAPERS2_CITATIONS &lt;citation&gt;&lt;uuid&gt;74D8F4E1-0F41-47BF-8CB3-D1AA0818836D&lt;/uuid&gt;&lt;priority&gt;4&lt;/priority&gt;&lt;publications&gt;&lt;publication&gt;&lt;uuid&gt;26229C0C-A990-450E-A9D0-7B699AC90247&lt;/uuid&gt;&lt;volume&gt;36&lt;/volume&gt;&lt;doi&gt;10.1097/CCM.0b013e318186aec8&lt;/doi&gt;&lt;startpage&gt;2787&lt;/startpage&gt;&lt;publication_date&gt;99200810001200000000220000&lt;/publication_date&gt;&lt;url&gt;http://www.ncbi.nlm.nih.gov/entrez/query.fcgi?cmd=Retrieve&amp;amp;db=PubMed&amp;amp;dopt=Citation&amp;amp;list_uids=18766102&lt;/url&gt;&lt;citekey&gt;Wunsch:2008kk&lt;/citekey&gt;&lt;type&gt;400&lt;/type&gt;&lt;title&gt;Variation in critical care services across North America and Western Europe.&lt;/title&gt;&lt;publisher&gt;United States&lt;/publisher&gt;&lt;institution&gt;Department of Anesthesiology, Columbia University, New York, NY, USA. hw2125@columbia.edu&lt;/institution&gt;&lt;number&gt;10&lt;/number&gt;&lt;subtype&gt;400&lt;/subtype&gt;&lt;endpage&gt;93- e1-9&lt;/endpage&gt;&lt;bundle&gt;&lt;publication&gt;&lt;publisher&gt;United States&lt;/publisher&gt;&lt;title&gt;Crit Care Med&lt;/title&gt;&lt;type&gt;-100&lt;/type&gt;&lt;subtype&gt;-100&lt;/subtype&gt;&lt;uuid&gt;118B9DFB-B782-44E2-9A4F-6E695BC69D0B&lt;/uuid&gt;&lt;/publication&gt;&lt;/bundle&gt;&lt;authors&gt;&lt;author&gt;&lt;firstName&gt;H&lt;/firstName&gt;&lt;lastName&gt;Wunsch&lt;/lastName&gt;&lt;/author&gt;&lt;author&gt;&lt;firstName&gt;D&lt;/firstName&gt;&lt;middleNames&gt;C&lt;/middleNames&gt;&lt;lastName&gt;Angus&lt;/lastName&gt;&lt;/author&gt;&lt;author&gt;&lt;firstName&gt;D&lt;/firstName&gt;&lt;middleNames&gt;A&lt;/middleNames&gt;&lt;lastName&gt;Harrison&lt;/lastName&gt;&lt;/author&gt;&lt;author&gt;&lt;firstName&gt;O&lt;/firstName&gt;&lt;lastName&gt;Collange&lt;/lastName&gt;&lt;/author&gt;&lt;author&gt;&lt;firstName&gt;R&lt;/firstName&gt;&lt;lastName&gt;Fowler&lt;/lastName&gt;&lt;/author&gt;&lt;author&gt;&lt;firstName&gt;E&lt;/firstName&gt;&lt;middleNames&gt;A&lt;/middleNames&gt;&lt;lastName&gt;Hoste&lt;/lastName&gt;&lt;/author&gt;&lt;author&gt;&lt;lastName&gt;Keizer&lt;/lastName&gt;&lt;nonDroppingParticle&gt;de&lt;/nonDroppingParticle&gt;&lt;firstName&gt;N&lt;/firstName&gt;&lt;middleNames&gt;F&lt;/middleNames&gt;&lt;/author&gt;&lt;author&gt;&lt;firstName&gt;A&lt;/firstName&gt;&lt;lastName&gt;Kersten&lt;/lastName&gt;&lt;/author&gt;&lt;author&gt;&lt;firstName&gt;W&lt;/firstName&gt;&lt;middleNames&gt;T&lt;/middleNames&gt;&lt;lastName&gt;Linde-Zwirble&lt;/lastName&gt;&lt;/author&gt;&lt;author&gt;&lt;firstName&gt;A&lt;/firstName&gt;&lt;lastName&gt;Sandiumenge&lt;/lastName&gt;&lt;/author&gt;&lt;author&gt;&lt;firstName&gt;K&lt;/firstName&gt;&lt;middleNames&gt;M&lt;/middleNames&gt;&lt;lastName&gt;Rowan&lt;/lastName&gt;&lt;/author&gt;&lt;/authors&gt;&lt;/publication&gt;&lt;/publications&gt;&lt;cites&gt;&lt;/cites&gt;&lt;/citation&gt;</w:instrText>
      </w:r>
      <w:r w:rsidR="00027B13">
        <w:fldChar w:fldCharType="separate"/>
      </w:r>
      <w:r w:rsidR="00027B13">
        <w:rPr>
          <w:rFonts w:cs="Charter"/>
          <w:lang w:val="en-US"/>
        </w:rPr>
        <w:t>[9]</w:t>
      </w:r>
      <w:r w:rsidR="00027B13">
        <w:fldChar w:fldCharType="end"/>
      </w:r>
      <w:r>
        <w:t xml:space="preserve"> This implies that access to critical care in England may</w:t>
      </w:r>
      <w:r>
        <w:t xml:space="preserve"> be relatively constrained, and that more referrals may be delayed or refused.</w:t>
      </w:r>
    </w:p>
    <w:p w14:paraId="79BE763A" w14:textId="77777777" w:rsidR="00815662" w:rsidRDefault="00252D02">
      <w:r>
        <w:t>These constraints will particularly affect ward patients referred to critical care that already suffer an inpatient mortality two to three times higher than average.</w:t>
      </w:r>
      <w:r w:rsidR="00027B13">
        <w:t xml:space="preserve"> </w:t>
      </w:r>
      <w:r w:rsidR="00027B13">
        <w:fldChar w:fldCharType="begin"/>
      </w:r>
      <w:r w:rsidR="00027B13">
        <w:instrText xml:space="preserve"> ADDIN PAPERS2_CITATIONS &lt;citation&gt;&lt;uuid&gt;E270E97B-351D-4301-8CA4-23D1FEA8FBE7&lt;/uuid&gt;&lt;priority&gt;5&lt;/priority&gt;&lt;publications&gt;&lt;publication&gt;&lt;uuid&gt;36BB13C1-E031-4E6D-ADB0-BE06D85A73A8&lt;/uuid&gt;&lt;volume&gt;35&lt;/volume&gt;&lt;doi&gt;10.1097/01.CCM.0000253407.89594.15&lt;/doi&gt;&lt;startpage&gt;449&lt;/startpage&gt;&lt;publication_date&gt;99200702001200000000220000&lt;/publication_date&gt;&lt;url&gt;http://www.ncbi.nlm.nih.gov/entrez/query.fcgi?cmd=Retrieve&amp;amp;db=PubMed&amp;amp;dopt=Citation&amp;amp;list_uids=17167350&lt;/url&gt;&lt;citekey&gt;Simchen:2007bn&lt;/citekey&gt;&lt;type&gt;400&lt;/type&gt;&lt;title&gt;Survival of critically ill patients hospitalized in and out of intensive care.&lt;/title&gt;&lt;publisher&gt;United States&lt;/publisher&gt;&lt;institution&gt;Department of Health Services Research, Ministry of Health, Jerusalem, Israel. esimchen@vms.huji.ac.il&lt;/institution&gt;&lt;number&gt;2&lt;/number&gt;&lt;subtype&gt;400&lt;/subtype&gt;&lt;endpage&gt;457&lt;/endpage&gt;&lt;bundle&gt;&lt;publication&gt;&lt;publisher&gt;United States&lt;/publisher&gt;&lt;title&gt;Crit Care Med&lt;/title&gt;&lt;type&gt;-100&lt;/type&gt;&lt;subtype&gt;-100&lt;/subtype&gt;&lt;uuid&gt;118B9DFB-B782-44E2-9A4F-6E695BC69D0B&lt;/uuid&gt;&lt;/publication&gt;&lt;/bundle&gt;&lt;authors&gt;&lt;author&gt;&lt;firstName&gt;E&lt;/firstName&gt;&lt;lastName&gt;Simchen&lt;/lastName&gt;&lt;/author&gt;&lt;author&gt;&lt;firstName&gt;C&lt;/firstName&gt;&lt;middleNames&gt;L&lt;/middleNames&gt;&lt;lastName&gt;Sprung&lt;/lastName&gt;&lt;/author&gt;&lt;author&gt;&lt;firstName&gt;N&lt;/firstName&gt;&lt;lastName&gt;Galai&lt;/lastName&gt;&lt;/author&gt;&lt;author&gt;&lt;firstName&gt;Y&lt;/firstName&gt;&lt;lastName&gt;Zitser-Gurevich&lt;/lastName&gt;&lt;/author&gt;&lt;author&gt;&lt;firstName&gt;Y&lt;/firstName&gt;&lt;lastName&gt;Bar-Lavi&lt;/lastName&gt;&lt;/author&gt;&lt;author&gt;&lt;firstName&gt;L&lt;/firstName&gt;&lt;lastName&gt;Levi&lt;/lastName&gt;&lt;/author&gt;&lt;author&gt;&lt;firstName&gt;F&lt;/firstName&gt;&lt;lastName&gt;Zveibil&lt;/lastName&gt;&lt;/author&gt;&lt;author&gt;&lt;firstName&gt;M&lt;/firstName&gt;&lt;lastName&gt;Mandel&lt;/lastName&gt;&lt;/author&gt;&lt;author&gt;&lt;firstName&gt;G&lt;/firstName&gt;&lt;lastName&gt;Mnatzaganian&lt;/lastName&gt;&lt;/author&gt;&lt;author&gt;&lt;firstName&gt;N&lt;/firstName&gt;&lt;lastName&gt;Goldschmidt&lt;/lastName&gt;&lt;/author&gt;&lt;author&gt;&lt;firstName&gt;A&lt;/firstName&gt;&lt;lastName&gt;Ekka-Zohar&lt;/lastName&gt;&lt;/author&gt;&lt;author&gt;&lt;firstName&gt;I&lt;/firstName&gt;&lt;lastName&gt;Weiss-Salz&lt;/lastName&gt;&lt;/author&gt;&lt;/authors&gt;&lt;/publication&gt;&lt;publication&gt;&lt;uuid&gt;EDF81DFA-CCD6-4773-8112-1CED32C1DB8F&lt;/uuid&gt;&lt;volume&gt;324&lt;/volume&gt;&lt;doi&gt;10.1136/bmj.324.7334.387&lt;/doi&gt;&lt;startpage&gt;387&lt;/startpage&gt;&lt;publication_date&gt;99200202161200000000222000&lt;/publication_date&gt;&lt;url&gt;http://www.ncbi.nlm.nih.gov/entrez/query.fcgi?cmd=Retrieve&amp;amp;db=PubMed&amp;amp;dopt=Citation&amp;amp;list_uids=11850367&lt;/url&gt;&lt;citekey&gt;Buist:2002kc&lt;/citekey&gt;&lt;type&gt;400&lt;/type&gt;&lt;title&gt;Effects of a medical emergency team on reduction of incidence of and mortality from unexpected cardiac arrests in hospital: preliminary study.&lt;/title&gt;&lt;publisher&gt;England&lt;/publisher&gt;&lt;institution&gt;Department of Intensive Care, Dandenong Hospital, Dandenong, VIC 3175, Australia. acmdbuist@bigpond.com&lt;/institution&gt;&lt;number&gt;7334&lt;/number&gt;&lt;subtype&gt;400&lt;/subtype&gt;&lt;endpage&gt;390&lt;/endpage&gt;&lt;bundle&gt;&lt;publication&gt;&lt;publisher&gt;England&lt;/publisher&gt;&lt;title&gt;BMJ&lt;/title&gt;&lt;type&gt;-100&lt;/type&gt;&lt;subtype&gt;-100&lt;/subtype&gt;&lt;uuid&gt;9D972674-C5B1-4A6C-95D6-03DEAD58A485&lt;/uuid&gt;&lt;/publication&gt;&lt;/bundle&gt;&lt;authors&gt;&lt;author&gt;&lt;firstName&gt;M&lt;/firstName&gt;&lt;middleNames&gt;D&lt;/middleNames&gt;&lt;lastName&gt;Buist&lt;/lastName&gt;&lt;/author&gt;&lt;author&gt;&lt;firstName&gt;G&lt;/firstName&gt;&lt;middleNames&gt;E&lt;/middleNames&gt;&lt;lastName&gt;Moore&lt;/lastName&gt;&lt;/author&gt;&lt;author&gt;&lt;firstName&gt;S&lt;/firstName&gt;&lt;middleNames&gt;A&lt;/middleNames&gt;&lt;lastName&gt;Bernard&lt;/lastName&gt;&lt;/author&gt;&lt;author&gt;&lt;firstName&gt;B&lt;/firstName&gt;&lt;middleNames&gt;P&lt;/middleNames&gt;&lt;lastName&gt;Waxman&lt;/lastName&gt;&lt;/author&gt;&lt;author&gt;&lt;firstName&gt;J&lt;/firstName&gt;&lt;middleNames&gt;N&lt;/middleNames&gt;&lt;lastName&gt;Anderson&lt;/lastName&gt;&lt;/author&gt;&lt;author&gt;&lt;firstName&gt;T&lt;/firstName&gt;&lt;middleNames&gt;V&lt;/middleNames&gt;&lt;lastName&gt;Nguyen&lt;/lastName&gt;&lt;/author&gt;&lt;/authors&gt;&lt;/publication&gt;&lt;publication&gt;&lt;uuid&gt;C4F89D73-7C54-4530-996A-E4EAEE6527CB&lt;/uuid&gt;&lt;volume&gt;28&lt;/volume&gt;&lt;doi&gt;10.1177/0269216314526443&lt;/doi&gt;&lt;startpage&gt;474&lt;/startpage&gt;&lt;publication_date&gt;99201403171200000000222000&lt;/publication_date&gt;&lt;url&gt;http://www.ncbi.nlm.nih.gov/entrez/query.fcgi?cmd=Retrieve&amp;amp;db=PubMed&amp;amp;dopt=Citation&amp;amp;list_uids=24637342&lt;/url&gt;&lt;citekey&gt;Clark:2014hu&lt;/citekey&gt;&lt;type&gt;400&lt;/type&gt;&lt;title&gt;Imminence of death among hospital inpatients: Prevalent cohort study.&lt;/title&gt;&lt;institution&gt;School of Interdisciplinary Studies, University of Glasgow, Dumfries, UK David.Clark.2@glasgow.ac.uk. Healthcare Information Group, Information Services Division, NHS National Services Scotland, Edinburgh, UK. Department of Public Health, NHS Dumfries &amp;amp; Galloway, Dumfries, UK. Glenkens Medical Practice, New Galloway, UK. Department of Public Health, NHS Dumfries &amp;amp; Galloway, Dumfries, UK. Dumfries and Galloway Royal Infirmary, NHS Dumfries &amp;amp; Galloway, Dumfries, UK.&lt;/institution&gt;&lt;number&gt;6&lt;/number&gt;&lt;subtype&gt;400&lt;/subtype&gt;&lt;endpage&gt;479&lt;/endpage&gt;&lt;bundle&gt;&lt;publication&gt;&lt;title&gt;Palliat Med&lt;/title&gt;&lt;type&gt;-100&lt;/type&gt;&lt;subtype&gt;-100&lt;/subtype&gt;&lt;uuid&gt;E589BBDF-CEFF-4584-BBAD-9296887BEDFF&lt;/uuid&gt;&lt;/publication&gt;&lt;/bundle&gt;&lt;authors&gt;&lt;author&gt;&lt;firstName&gt;D&lt;/firstName&gt;&lt;lastName&gt;Clark&lt;/lastName&gt;&lt;/author&gt;&lt;author&gt;&lt;firstName&gt;M&lt;/firstName&gt;&lt;lastName&gt;Armstrong&lt;/lastName&gt;&lt;/author&gt;&lt;author&gt;&lt;firstName&gt;A&lt;/firstName&gt;&lt;lastName&gt;Allan&lt;/lastName&gt;&lt;/author&gt;&lt;author&gt;&lt;firstName&gt;F&lt;/firstName&gt;&lt;lastName&gt;Graham&lt;/lastName&gt;&lt;/author&gt;&lt;author&gt;&lt;firstName&gt;A&lt;/firstName&gt;&lt;lastName&gt;Carnon&lt;/lastName&gt;&lt;/author&gt;&lt;author&gt;&lt;firstName&gt;C&lt;/firstName&gt;&lt;lastName&gt;Isles&lt;/lastName&gt;&lt;/author&gt;&lt;/authors&gt;&lt;/publication&gt;&lt;/publications&gt;&lt;cites&gt;&lt;/cites&gt;&lt;/citation&gt;</w:instrText>
      </w:r>
      <w:r w:rsidR="00027B13">
        <w:fldChar w:fldCharType="separate"/>
      </w:r>
      <w:r w:rsidR="00027B13">
        <w:rPr>
          <w:rFonts w:cs="Charter"/>
          <w:lang w:val="en-US"/>
        </w:rPr>
        <w:t>[10-12]</w:t>
      </w:r>
      <w:r w:rsidR="00027B13">
        <w:fldChar w:fldCharType="end"/>
      </w:r>
    </w:p>
    <w:p w14:paraId="1ACA7CFE" w14:textId="77777777" w:rsidR="00815662" w:rsidRDefault="00252D02">
      <w:r>
        <w:t xml:space="preserve">We set out to investigate the impact of, and circumstances surrounding delays in admission to critical care. Previous studies have typically limited themselves to comparisons of early versus late admissions, </w:t>
      </w:r>
      <w:r>
        <w:t>and have excluded by design those never admitted. This introduces survivorship bias (those who die before late admission), and an exclusion bias (those who survive without admission). Instead, we have prospectively followed all patients referred to critica</w:t>
      </w:r>
      <w:r>
        <w:t>l care, traced subsequent critical care admission within the first week after referral (the ‘efferent limb’ of a rapid response system), and performed survival follow-up to one-year.</w:t>
      </w:r>
    </w:p>
    <w:p w14:paraId="6529E1BB" w14:textId="77777777" w:rsidR="00815662" w:rsidRDefault="00252D02">
      <w:pPr>
        <w:pStyle w:val="Heading1"/>
      </w:pPr>
      <w:bookmarkStart w:id="10" w:name="methods-1"/>
      <w:bookmarkEnd w:id="10"/>
      <w:r>
        <w:lastRenderedPageBreak/>
        <w:t>Methods</w:t>
      </w:r>
    </w:p>
    <w:p w14:paraId="12C5AB63" w14:textId="77777777" w:rsidR="00815662" w:rsidRDefault="00252D02">
      <w:pPr>
        <w:pStyle w:val="Heading2"/>
      </w:pPr>
      <w:bookmarkStart w:id="11" w:name="study-design-and-participants"/>
      <w:bookmarkEnd w:id="11"/>
      <w:r>
        <w:t>Study design and participants</w:t>
      </w:r>
    </w:p>
    <w:p w14:paraId="444CB062" w14:textId="77777777" w:rsidR="00815662" w:rsidRDefault="00252D02">
      <w:r>
        <w:t>The (SPOT)light study was a prospec</w:t>
      </w:r>
      <w:r>
        <w:t xml:space="preserve">tive observational cohort study of the deteriorating ward patient referred for ward assessment by critical care. The physiological status of the patient at the time of the first bedside assessment by critical care was prospectively recorded along with the </w:t>
      </w:r>
      <w:r>
        <w:t xml:space="preserve">recommendation made at the end of the assessment. By linking the records generated at the time of the bedside assessment, to records in the Intensive Care National Audit &amp; Research Centre’s Case Mix Programme database (ICNARC CMPD), the fact and timing of </w:t>
      </w:r>
      <w:r>
        <w:t>admission to critical care were identified. By linking to the NHS Information Service then survival status up to one year was obtained.</w:t>
      </w:r>
    </w:p>
    <w:p w14:paraId="4D177B03" w14:textId="77777777" w:rsidR="00815662" w:rsidRDefault="00252D02">
      <w:r>
        <w:t>Patients were eligible if they were inpatients on general hospital wards who had been referred to, and assessed by, crit</w:t>
      </w:r>
      <w:r>
        <w:t>ical care. The ward assessment had to be performed at the bedside by a member of the critical care team. This team was defined broadly to include members of the critical care outreach team (CCOT), or members of the critical care medical or nursing staff. O</w:t>
      </w:r>
      <w:r>
        <w:t>nly the first ward assessment for a given episode of illness was eligible; cardiac arrests, planned critical care admissions, and visits by the team solely for the purpose of retrieving a patient (where a decision to admit had already been made) were exclu</w:t>
      </w:r>
      <w:r>
        <w:t>ded.</w:t>
      </w:r>
    </w:p>
    <w:p w14:paraId="18D71302" w14:textId="77777777" w:rsidR="00815662" w:rsidRDefault="00252D02">
      <w:r>
        <w:t>Demographic information, the date, time and location of the visit, and the level of care at the time of the visit were recorded.</w:t>
      </w:r>
      <w:r w:rsidR="00027B13">
        <w:t xml:space="preserve"> </w:t>
      </w:r>
      <w:r w:rsidR="00027B13">
        <w:fldChar w:fldCharType="begin"/>
      </w:r>
      <w:r w:rsidR="00027B13">
        <w:instrText xml:space="preserve"> ADDIN PAPERS2_CITATIONS &lt;citation&gt;&lt;uuid&gt;CB45BBFE-116F-43C4-8F7F-C1301AF02856&lt;/uuid&gt;&lt;priority&gt;6&lt;/priority&gt;&lt;publications&gt;&lt;publication&gt;&lt;title&gt;Levels of critical care for adult patients&lt;/title&gt;&lt;uuid&gt;345D1A6C-1E02-46D1-9567-C0987222EC81&lt;/uuid&gt;&lt;subtype&gt;702&lt;/subtype&gt;&lt;publisher&gt;Intensive Care Society&lt;/publisher&gt;&lt;type&gt;700&lt;/type&gt;&lt;citekey&gt;Eddleston:2009wy&lt;/citekey&gt;&lt;publication_date&gt;99200900001200000000200000&lt;/publication_date&gt;&lt;authors&gt;&lt;author&gt;&lt;firstName&gt;Jane&lt;/firstName&gt;&lt;middleNames&gt;M&lt;/middleNames&gt;&lt;lastName&gt;Eddleston&lt;/lastName&gt;&lt;/author&gt;&lt;author&gt;&lt;firstName&gt;D&lt;/firstName&gt;&lt;middleNames&gt;R&lt;/middleNames&gt;&lt;lastName&gt;Goldhill&lt;/lastName&gt;&lt;/author&gt;&lt;author&gt;&lt;firstName&gt;J&lt;/firstName&gt;&lt;lastName&gt;Morris&lt;/lastName&gt;&lt;/author&gt;&lt;/authors&gt;&lt;/publication&gt;&lt;/publications&gt;&lt;cites&gt;&lt;/cites&gt;&lt;/citation&gt;</w:instrText>
      </w:r>
      <w:r w:rsidR="00027B13">
        <w:fldChar w:fldCharType="separate"/>
      </w:r>
      <w:r w:rsidR="00027B13">
        <w:rPr>
          <w:rFonts w:cs="Charter"/>
          <w:lang w:val="en-US"/>
        </w:rPr>
        <w:t>[13]</w:t>
      </w:r>
      <w:r w:rsidR="00027B13">
        <w:fldChar w:fldCharType="end"/>
      </w:r>
      <w:r>
        <w:t xml:space="preserve"> Patient physiology (vital signs, arterial blood gas and laboratory measurements) at the time of, or imm</w:t>
      </w:r>
      <w:r>
        <w:t>ediately preceding, the ward assessment was abstracted along with organ support, antibiotic therapy, and a subjective assessment of the likelihood of sepsis, and its source. The assessor finally reported the level of care he or she recommended, and the act</w:t>
      </w:r>
      <w:r>
        <w:t>ual outcome of that recommendation at the initial assessment (immediate admission or ongoing ward care). Treatment limitation orders were recorded for those declined.</w:t>
      </w:r>
    </w:p>
    <w:p w14:paraId="0E01034E" w14:textId="77777777" w:rsidR="00815662" w:rsidRDefault="00252D02">
      <w:pPr>
        <w:pStyle w:val="Heading2"/>
      </w:pPr>
      <w:bookmarkStart w:id="12" w:name="procedures"/>
      <w:bookmarkEnd w:id="12"/>
      <w:r>
        <w:t>Procedures</w:t>
      </w:r>
    </w:p>
    <w:p w14:paraId="57E87710" w14:textId="77777777" w:rsidR="00815662" w:rsidRDefault="00252D02">
      <w:r>
        <w:t xml:space="preserve">The study was registered on the National Institute for Health Research (NIHR) </w:t>
      </w:r>
      <w:r>
        <w:t>Clinical Research Network portfolio, and only hospitals participating in the CMP were eligible. Research teams at each hospital attended a Dataset Familiarization Course, and a data collection manual (containing definitions of items to be collected) was pr</w:t>
      </w:r>
      <w:r>
        <w:t>ovided. The Clinical Trials Unit at ICNARC co-ordinated and provided support for research queries during the study.</w:t>
      </w:r>
    </w:p>
    <w:p w14:paraId="0C2C95B4" w14:textId="77777777" w:rsidR="00815662" w:rsidRDefault="00252D02">
      <w:r>
        <w:t>Hospitals were asked to report all consecutive ward referrals to the critical care team. Contemporaneous data collection was promoted, but h</w:t>
      </w:r>
      <w:r>
        <w:t>ospitals were also requested to identify and submit any missed referrals. Reporting was via a secure online web portal which performed real-time field and record level validation. Further on-line validation reports were completed by all hospitals before th</w:t>
      </w:r>
      <w:r>
        <w:t>e database was locked in September 2012. Fact and date of death were then requested from the NHS Information Service. CCOT provision was reported by participating hospitals, and contemporaneous CMP data and Hospital Episode Statistics (HES) were used to de</w:t>
      </w:r>
      <w:r>
        <w:t xml:space="preserve">fine critical care provision, </w:t>
      </w:r>
      <w:r>
        <w:lastRenderedPageBreak/>
        <w:t>occupancy, and hospital characteristics. To inform completeness of capture of ward referrals and to quality control the study, we used the proportion of emergency ward admissions in the CMP successfully linked to the (SPOT)lig</w:t>
      </w:r>
      <w:r>
        <w:t>ht database. Data quality was judged on a monthly basis, and only those months where linkage exceeded 80% were included.</w:t>
      </w:r>
    </w:p>
    <w:p w14:paraId="2577DBA8" w14:textId="77777777" w:rsidR="00815662" w:rsidRDefault="00252D02">
      <w:pPr>
        <w:pStyle w:val="Heading2"/>
      </w:pPr>
      <w:bookmarkStart w:id="13" w:name="statistical-analysis"/>
      <w:bookmarkEnd w:id="13"/>
      <w:r>
        <w:t>Statistical analysis</w:t>
      </w:r>
    </w:p>
    <w:p w14:paraId="02327787" w14:textId="77777777" w:rsidR="00815662" w:rsidRDefault="00252D02">
      <w:r>
        <w:t>Survival was evaluated at 90-days. Sample size was calculated to evaluate mortality increases from delay to admiss</w:t>
      </w:r>
      <w:r>
        <w:t>ion using estimates from 2007 ICNARC CMP data. The target sample size was 12,075–20,125 patients referred to critical care which allowed for delay to admission to occur in 10–40% of referrals and for mortality effect sizes between 5–10%.</w:t>
      </w:r>
    </w:p>
    <w:p w14:paraId="6520320F" w14:textId="77777777" w:rsidR="00815662" w:rsidRDefault="00252D02">
      <w:r>
        <w:t>From the physiolog</w:t>
      </w:r>
      <w:r>
        <w:t>y measurements at ward assessment, the ICNARC physiology score, the NHS National Early Warning Score (NEWS) and the Sequential Organ Failure Assessment (SOFA) score were calculated with missing values given zero weights as recommended.</w:t>
      </w:r>
      <w:r w:rsidR="00027B13">
        <w:t xml:space="preserve"> </w:t>
      </w:r>
      <w:r w:rsidR="00027B13">
        <w:fldChar w:fldCharType="begin"/>
      </w:r>
      <w:r w:rsidR="00027B13">
        <w:instrText xml:space="preserve"> ADDIN PAPERS2_CITATIONS &lt;citation&gt;&lt;uuid&gt;030D43C9-BDF3-4982-A5CF-3FD259F75647&lt;/uuid&gt;&lt;priority&gt;7&lt;/priority&gt;&lt;publications&gt;&lt;publication&gt;&lt;publication_date&gt;99201200001200000000200000&lt;/publication_date&gt;&lt;startpage&gt;1&lt;/startpage&gt;&lt;subtitle&gt;National Early Warning Score (NEWS)&lt;/subtitle&gt;&lt;title&gt;National Early Warning Score (NEWS): Standardising the assessment of acute-illness severity in the NHS&lt;/title&gt;&lt;uuid&gt;2DF9C037-4745-462E-A8C5-B80E466B8F2B&lt;/uuid&gt;&lt;subtype&gt;400&lt;/subtype&gt;&lt;publisher&gt;Royal College of Physicians&lt;/publisher&gt;&lt;type&gt;400&lt;/type&gt;&lt;endpage&gt;30&lt;/endpage&gt;&lt;url&gt;http://www.rcplondon.ac.uk/resources/national-early-warning-score-news&lt;/url&gt;&lt;/publication&gt;&lt;publication&gt;&lt;uuid&gt;E3888D5B-DF31-442B-A27A-BAF95210B210&lt;/uuid&gt;&lt;volume&gt;35&lt;/volume&gt;&lt;doi&gt;10.1097/01.CCM.0000259468.24532.44&lt;/doi&gt;&lt;startpage&gt;1091&lt;/startpage&gt;&lt;publication_date&gt;99200704001200000000220000&lt;/publication_date&gt;&lt;url&gt;http://www.ncbi.nlm.nih.gov/entrez/query.fcgi?cmd=Retrieve&amp;amp;db=PubMed&amp;amp;dopt=Citation&amp;amp;list_uids=17334248&lt;/url&gt;&lt;citekey&gt;Harrison:2007jt&lt;/citekey&gt;&lt;type&gt;400&lt;/type&gt;&lt;title&gt;A new risk prediction model for critical care: the Intensive Care National Audit &amp;amp; Research Centre (ICNARC) model.&lt;/title&gt;&lt;publisher&gt;United States&lt;/publisher&gt;&lt;institution&gt;Intensive Care National Audit &amp;amp; Research Centre (ICNARC), London, UK. harrison@icnarc.org &amp;lt;harrison@icnarc.org&amp;gt;&lt;/institution&gt;&lt;number&gt;4&lt;/number&gt;&lt;subtype&gt;400&lt;/subtype&gt;&lt;endpage&gt;1098&lt;/endpage&gt;&lt;bundle&gt;&lt;publication&gt;&lt;publisher&gt;United States&lt;/publisher&gt;&lt;title&gt;Crit Care Med&lt;/title&gt;&lt;type&gt;-100&lt;/type&gt;&lt;subtype&gt;-100&lt;/subtype&gt;&lt;uuid&gt;118B9DFB-B782-44E2-9A4F-6E695BC69D0B&lt;/uuid&gt;&lt;/publication&gt;&lt;/bundle&gt;&lt;authors&gt;&lt;author&gt;&lt;firstName&gt;D&lt;/firstName&gt;&lt;middleNames&gt;A&lt;/middleNames&gt;&lt;lastName&gt;Harrison&lt;/lastName&gt;&lt;/author&gt;&lt;author&gt;&lt;firstName&gt;G&lt;/firstName&gt;&lt;middleNames&gt;J&lt;/middleNames&gt;&lt;lastName&gt;Parry&lt;/lastName&gt;&lt;/author&gt;&lt;author&gt;&lt;firstName&gt;J&lt;/firstName&gt;&lt;middleNames&gt;R&lt;/middleNames&gt;&lt;lastName&gt;Carpenter&lt;/lastName&gt;&lt;/author&gt;&lt;author&gt;&lt;firstName&gt;A&lt;/firstName&gt;&lt;lastName&gt;Short&lt;/lastName&gt;&lt;/author&gt;&lt;author&gt;&lt;firstName&gt;K&lt;/firstName&gt;&lt;lastName&gt;Rowan&lt;/lastName&gt;&lt;/author&gt;&lt;/authors&gt;&lt;/publication&gt;&lt;publication&gt;&lt;uuid&gt;1AF39B67-7311-49CC-B58D-79DDAFE6933C&lt;/uuid&gt;&lt;volume&gt;22&lt;/volume&gt;&lt;startpage&gt;707&lt;/startpage&gt;&lt;publication_date&gt;99199607001200000000220000&lt;/publication_date&gt;&lt;url&gt;http://www.ncbi.nlm.nih.gov/entrez/query.fcgi?cmd=Retrieve&amp;amp;db=PubMed&amp;amp;dopt=Citation&amp;amp;list_uids=8844239&lt;/url&gt;&lt;citekey&gt;Vincent:1996vsa&lt;/citekey&gt;&lt;type&gt;400&lt;/type&gt;&lt;title&gt;The SOFA (Sepsis-related Organ Failure Assessment) score to describe organ dysfunction/failure. On behalf of the Working Group on Sepsis-Related Problems of the European Society of Intensive Care Medicine.&lt;/title&gt;&lt;publisher&gt;UNITED STATES&lt;/publisher&gt;&lt;institution&gt;Erasme University Hospital, Brussels, Belgium.&lt;/institution&gt;&lt;number&gt;7&lt;/number&gt;&lt;subtype&gt;400&lt;/subtype&gt;&lt;endpage&gt;710&lt;/endpage&gt;&lt;bundle&gt;&lt;publication&gt;&lt;publisher&gt;United States&lt;/publisher&gt;&lt;title&gt;Intensive Care Med&lt;/title&gt;&lt;type&gt;-100&lt;/type&gt;&lt;subtype&gt;-100&lt;/subtype&gt;&lt;uuid&gt;D2572553-42E8-4958-BAC4-BBA99D066268&lt;/uuid&gt;&lt;/publication&gt;&lt;/bundle&gt;&lt;authors&gt;&lt;author&gt;&lt;firstName&gt;J&lt;/firstName&gt;&lt;middleNames&gt;L&lt;/middleNames&gt;&lt;lastName&gt;Vincent&lt;/lastName&gt;&lt;/author&gt;&lt;author&gt;&lt;firstName&gt;R&lt;/firstName&gt;&lt;lastName&gt;Moreno&lt;/lastName&gt;&lt;/author&gt;&lt;author&gt;&lt;firstName&gt;J&lt;/firstName&gt;&lt;lastName&gt;Takala&lt;/lastName&gt;&lt;/author&gt;&lt;author&gt;&lt;firstName&gt;S&lt;/firstName&gt;&lt;lastName&gt;Willatts&lt;/lastName&gt;&lt;/author&gt;&lt;author&gt;&lt;nonDroppingParticle&gt;De&lt;/nonDroppingParticle&gt;&lt;firstName&gt;A&lt;/firstName&gt;&lt;lastName&gt;Mendonca&lt;/lastName&gt;&lt;/author&gt;&lt;author&gt;&lt;firstName&gt;H&lt;/firstName&gt;&lt;lastName&gt;Bruining&lt;/lastName&gt;&lt;/author&gt;&lt;author&gt;&lt;firstName&gt;C&lt;/firstName&gt;&lt;middleNames&gt;K&lt;/middleNames&gt;&lt;lastName&gt;Reinhart&lt;/lastName&gt;&lt;/author&gt;&lt;author&gt;&lt;firstName&gt;P&lt;/firstName&gt;&lt;middleNames&gt;M&lt;/middleNames&gt;&lt;lastName&gt;Suter&lt;/lastName&gt;&lt;/author&gt;&lt;author&gt;&lt;firstName&gt;L&lt;/firstName&gt;&lt;middleNames&gt;G&lt;/middleNames&gt;&lt;lastName&gt;Thijs&lt;/lastName&gt;&lt;/author&gt;&lt;/authors&gt;&lt;/publication&gt;&lt;/publications&gt;&lt;cites&gt;&lt;/cites&gt;&lt;/citation&gt;</w:instrText>
      </w:r>
      <w:r w:rsidR="00027B13">
        <w:fldChar w:fldCharType="separate"/>
      </w:r>
      <w:r w:rsidR="00027B13">
        <w:rPr>
          <w:rFonts w:cs="Charter"/>
          <w:lang w:val="en-US"/>
        </w:rPr>
        <w:t>[14-16]</w:t>
      </w:r>
      <w:r w:rsidR="00027B13">
        <w:fldChar w:fldCharType="end"/>
      </w:r>
      <w:r>
        <w:t xml:space="preserve"> The NEWS score can be used to define three risk classes (Low, Medium, and High) designed to trigger an escalating clinical response.</w:t>
      </w:r>
    </w:p>
    <w:p w14:paraId="1F2D5640" w14:textId="77777777" w:rsidR="00815662" w:rsidRDefault="00252D02">
      <w:r>
        <w:t>Prompt admission to critical care was defined as one occuring within four hours of ward a</w:t>
      </w:r>
      <w:r>
        <w:t>ssessment.</w:t>
      </w:r>
      <w:r w:rsidR="00027B13">
        <w:t xml:space="preserve"> </w:t>
      </w:r>
      <w:r w:rsidR="00027B13">
        <w:fldChar w:fldCharType="begin"/>
      </w:r>
      <w:r w:rsidR="00027B13">
        <w:instrText xml:space="preserve"> ADDIN PAPERS2_CITATIONS &lt;citation&gt;&lt;uuid&gt;9C784445-4831-4BD2-A9A5-2ECA0FF4FCDA&lt;/uuid&gt;&lt;priority&gt;8&lt;/priority&gt;&lt;publications&gt;&lt;publication&gt;&lt;publication_date&gt;99201300001200000000200000&lt;/publication_date&gt;&lt;institution&gt;London&lt;/institution&gt;&lt;title&gt;Core Standards for Intensive Care Units&lt;/title&gt;&lt;uuid&gt;E8828257-BFF6-44F7-95B3-12E41F934B69&lt;/uuid&gt;&lt;subtype&gt;702&lt;/subtype&gt;&lt;publisher&gt;Intensive Care Society (UK)&lt;/publisher&gt;&lt;type&gt;700&lt;/type&gt;&lt;citekey&gt;Anonymous:2013up&lt;/citekey&gt;&lt;url&gt;http://www.ics.ac.uk/ics-homepage/guidelines-and-standards/&lt;/url&gt;&lt;bundle&gt;&lt;publication&gt;&lt;publisher&gt;Intensive Care Society (UK)&lt;/publisher&gt;&lt;title&gt;ics.ac.uk&lt;/title&gt;&lt;type&gt;-100&lt;/type&gt;&lt;subtype&gt;-100&lt;/subtype&gt;&lt;uuid&gt;45A25A02-9C2A-4DEA-BCAF-6D7CC1F6D589&lt;/uuid&gt;&lt;/publication&gt;&lt;/bundle&gt;&lt;/publication&gt;&lt;/publications&gt;&lt;cites&gt;&lt;/cites&gt;&lt;/citation&gt;</w:instrText>
      </w:r>
      <w:r w:rsidR="00027B13">
        <w:fldChar w:fldCharType="separate"/>
      </w:r>
      <w:r w:rsidR="00027B13">
        <w:rPr>
          <w:rFonts w:cs="Charter"/>
          <w:lang w:val="en-US"/>
        </w:rPr>
        <w:t>[17]</w:t>
      </w:r>
      <w:r w:rsidR="00027B13">
        <w:fldChar w:fldCharType="end"/>
      </w:r>
    </w:p>
    <w:p w14:paraId="295295D7" w14:textId="77777777" w:rsidR="00815662" w:rsidRDefault="00252D02">
      <w:r>
        <w:t>The indicator of critical care unit occupancy was the difference between the maximum number of beds reported to ICNARC, and the number of actively treated patients occupying those beds at the time the ward patient was assessed</w:t>
      </w:r>
      <w:r>
        <w:t>. Bed pressure (occupancy) was defined as being high (zero or fewer beds available), medium (one or two beds available), or low (three or more beds available).</w:t>
      </w:r>
    </w:p>
    <w:p w14:paraId="604B229C" w14:textId="77777777" w:rsidR="00815662" w:rsidRDefault="00252D02">
      <w:r>
        <w:t>Incidence models were stratified by NEWS risk class. The unit of analysis was a study day so tha</w:t>
      </w:r>
      <w:r>
        <w:t>t daily fluctuations in lagged critical care occupancy could be examined. Estimation was via generalised estimating equations (GEE) with each hospital as a cluster, and day-by-day correlations modelled using a first order auto-regressive structure. Decisio</w:t>
      </w:r>
      <w:r>
        <w:t>n to admit to critical care, and promptness of admission, were modelled using multi-level logistic regression with patients nested within hospitals. Cox proportional hazards were used to model survival with a shared frailty factor for hospitals. The propor</w:t>
      </w:r>
      <w:r>
        <w:t>tional hazards assumption was checked by inspecting plots of smoothed exponentiated standardised Schoënfeld residuals, and re-entering terms using time-varying co-efficients where necessary. Random effects are reported using the Median Odds Ratio (MOR), an</w:t>
      </w:r>
      <w:r>
        <w:t>d the Median Hazard Ratio (MHR) using the bootstrap to generate 95% confidence intervals. These statistics represent the median difference when comparing patient outcomes from any two randomly selected hospitals.</w:t>
      </w:r>
      <w:r w:rsidR="00027B13">
        <w:t xml:space="preserve"> </w:t>
      </w:r>
      <w:r w:rsidR="00027B13">
        <w:fldChar w:fldCharType="begin"/>
      </w:r>
      <w:r w:rsidR="00027B13">
        <w:instrText xml:space="preserve"> ADDIN PAPERS2_CITATIONS &lt;citation&gt;&lt;uuid&gt;7C2D6667-378F-4D5B-A84A-2E43BCBC7352&lt;/uuid&gt;&lt;priority&gt;9&lt;/priority&gt;&lt;publications&gt;&lt;publication&gt;&lt;uuid&gt;62E8A1FF-B1A3-4FEA-875B-6AD0EC0D9B71&lt;/uuid&gt;&lt;volume&gt;43&lt;/volume&gt;&lt;doi&gt;10.1080/01615440903270299&lt;/doi&gt;&lt;subtitle&gt;The Case of Rural Sweden, 1766–1895&lt;/subtitle&gt;&lt;startpage&gt;15&lt;/startpage&gt;&lt;publication_date&gt;99201001291200000000222000&lt;/publication_date&gt;&lt;url&gt;http://www.tandfonline.com/doi/abs/10.1080/01615440903270299&lt;/url&gt;&lt;citekey&gt;Bengtsson:2010ib&lt;/citekey&gt;&lt;type&gt;400&lt;/type&gt;&lt;title&gt;Quantifying the Family Frailty Effect in Infant and Child Mortality by Using Median Hazard Ratio (MHR)&lt;/title&gt;&lt;number&gt;1&lt;/number&gt;&lt;subtype&gt;400&lt;/subtype&gt;&lt;endpage&gt;27&lt;/endpage&gt;&lt;bundle&gt;&lt;publication&gt;&lt;title&gt;Historical Methods: A Journal of Quantitative and Interdisciplinary History&lt;/title&gt;&lt;type&gt;-100&lt;/type&gt;&lt;subtype&gt;-100&lt;/subtype&gt;&lt;uuid&gt;331F1C50-0773-4C1B-B724-8D0CBE514708&lt;/uuid&gt;&lt;/publication&gt;&lt;/bundle&gt;&lt;authors&gt;&lt;author&gt;&lt;firstName&gt;Tommy&lt;/firstName&gt;&lt;lastName&gt;Bengtsson&lt;/lastName&gt;&lt;/author&gt;&lt;author&gt;&lt;firstName&gt;Martin&lt;/firstName&gt;&lt;lastName&gt;Dribe&lt;/lastName&gt;&lt;/author&gt;&lt;/authors&gt;&lt;/publication&gt;&lt;/publications&gt;&lt;cites&gt;&lt;/cites&gt;&lt;/citation&gt;</w:instrText>
      </w:r>
      <w:r w:rsidR="00027B13">
        <w:fldChar w:fldCharType="separate"/>
      </w:r>
      <w:r w:rsidR="00027B13">
        <w:rPr>
          <w:rFonts w:cs="Charter"/>
          <w:lang w:val="en-US"/>
        </w:rPr>
        <w:t>[18]</w:t>
      </w:r>
      <w:r w:rsidR="00027B13">
        <w:fldChar w:fldCharType="end"/>
      </w:r>
    </w:p>
    <w:p w14:paraId="3D7B9BC8" w14:textId="77777777" w:rsidR="00815662" w:rsidRDefault="00252D02">
      <w:r>
        <w:t>Categorical data were re</w:t>
      </w:r>
      <w:r>
        <w:t>ported as counts and percentages, and continuous data as mean (SD) or median (IQR) values. Effect measures are reported with their 95% confidence intervals.</w:t>
      </w:r>
    </w:p>
    <w:p w14:paraId="4A140AB7" w14:textId="77777777" w:rsidR="00815662" w:rsidRDefault="00252D02">
      <w:pPr>
        <w:pStyle w:val="Heading2"/>
      </w:pPr>
      <w:bookmarkStart w:id="14" w:name="role-of-the-funding-source"/>
      <w:bookmarkEnd w:id="14"/>
      <w:r>
        <w:t>Role of the funding source</w:t>
      </w:r>
    </w:p>
    <w:p w14:paraId="7DEBFE1F" w14:textId="77777777" w:rsidR="00815662" w:rsidRDefault="00252D02">
      <w:r>
        <w:t>The study was centrally funded by the Wellcome Trust, sponsored by ICNAR</w:t>
      </w:r>
      <w:r>
        <w:t>C, and supported at NHS hospitals through the NIHR service support costs. The funders of the study had no role in the study design; data gathering, analysis, and interpretation; writing of the report; and decision to submit for publication. The correspondi</w:t>
      </w:r>
      <w:r>
        <w:t xml:space="preserve">ng </w:t>
      </w:r>
      <w:r>
        <w:lastRenderedPageBreak/>
        <w:t>author had full access to all the data (including statistical reports and tables), takes responsibility for the integrity of the data and accuracy of the data analysis, and takes final responsibility for the decision to submit for publication.</w:t>
      </w:r>
    </w:p>
    <w:p w14:paraId="6180DDD3" w14:textId="77777777" w:rsidR="00815662" w:rsidRDefault="00252D02">
      <w:pPr>
        <w:pStyle w:val="Heading1"/>
      </w:pPr>
      <w:bookmarkStart w:id="15" w:name="results"/>
      <w:bookmarkEnd w:id="15"/>
      <w:r>
        <w:lastRenderedPageBreak/>
        <w:t>Results</w:t>
      </w:r>
    </w:p>
    <w:p w14:paraId="27CADD84" w14:textId="77777777" w:rsidR="00815662" w:rsidRDefault="00252D02">
      <w:r>
        <w:t>4</w:t>
      </w:r>
      <w:r>
        <w:t>8 hospitals reported 20,893 visits for ward assessment over 435 study months. 2,694 visits (12.9%) did not meet the inclusion criteria including 1,860 (8.9%) repeat assessments, and 586 (2.8%) assessments for recent critical care discharges. Data linkage d</w:t>
      </w:r>
      <w:r>
        <w:t>id not meet the quality control level (&gt; 80%) for 66 (15%) study-months excluding a further 2,440 (11.7%) visits. Of the 15,759 patients remaining, 15,158 (96.1%) completed follow-up without error and were available for analysis (Figure 1). Final data link</w:t>
      </w:r>
      <w:r>
        <w:t>age (ward visits to critical care admissions) was 93% complete.</w:t>
      </w:r>
    </w:p>
    <w:p w14:paraId="2CA0E014" w14:textId="77777777" w:rsidR="00815662" w:rsidRDefault="00252D02">
      <w:pPr>
        <w:pStyle w:val="Heading2"/>
      </w:pPr>
      <w:bookmarkStart w:id="16" w:name="participating-hospitals"/>
      <w:bookmarkEnd w:id="16"/>
      <w:r>
        <w:t>Participating hospitals</w:t>
      </w:r>
    </w:p>
    <w:p w14:paraId="32C131EA" w14:textId="77777777" w:rsidR="00815662" w:rsidRDefault="00252D02">
      <w:r>
        <w:t>Participating hospitals comprised 10 teaching and 38 general hospitals collecting data for a median of 8 months (IQR 5 to 9 months) between September 2010 and December 2011. Each contributed a median of 252 patients (IQR 162 to 380). CCOTs operated 24 hour</w:t>
      </w:r>
      <w:r>
        <w:t>s/day and 7 days/week in 14 (29%) hospitals, less than 24 hours/day in 19 (40%) hospitals, and less than 7 days/week in 13 (27%) hospitals. Two hospitals had no CCOT.</w:t>
      </w:r>
    </w:p>
    <w:p w14:paraId="38A49EE6" w14:textId="77777777" w:rsidR="00815662" w:rsidRDefault="00252D02">
      <w:r>
        <w:t>There was a median of 12 (IQR 9 to 18) adult general critical care beds per hospital (mix</w:t>
      </w:r>
      <w:r>
        <w:t>ed Level 2 [typically intensive monitoring or single organ support], and Level 3 [ventilated or multiple organ support]), most often co-located in a single physical location (45 hospitals).</w:t>
      </w:r>
    </w:p>
    <w:p w14:paraId="1E709C92" w14:textId="77777777" w:rsidR="00815662" w:rsidRDefault="00252D02">
      <w:r>
        <w:t>Bed pressure was high (zero or fewer available beds) at the time o</w:t>
      </w:r>
      <w:r>
        <w:t>f 1198 (8%) ward assessments, medium (one or two beds available) for 3757 (25%) assessments, and low (three or more beds available) for the remaining 10197 (67%) assessments. Critical care occupancy fluctuated with time of the day, day of the week, and sea</w:t>
      </w:r>
      <w:r>
        <w:t>son of the year (supplementary Figure 1).</w:t>
      </w:r>
    </w:p>
    <w:p w14:paraId="61335DA9" w14:textId="77777777" w:rsidR="00815662" w:rsidRDefault="00252D02">
      <w:pPr>
        <w:pStyle w:val="Heading2"/>
      </w:pPr>
      <w:bookmarkStart w:id="17" w:name="incidence-of-referrals-for-ward-assessme"/>
      <w:bookmarkEnd w:id="17"/>
      <w:r>
        <w:t>Incidence of referrals for ward assessment by critical care</w:t>
      </w:r>
    </w:p>
    <w:p w14:paraId="0A9D0752" w14:textId="77777777" w:rsidR="00815662" w:rsidRDefault="00252D02">
      <w:r>
        <w:t>The mean baseline incidence of referrals to critical care (for a non-teaching hospital with 60,000 admissions per year and 24/7 CCOT provision) was 46 (95</w:t>
      </w:r>
      <w:r>
        <w:t>%CI 50 to 54) patients per month of whom 17 (95%CI 17 to 18) patients met the NEWS high risk criteria at assessment. This is equivalent to 8 unselected referrals or 3 NEWS high risk referrals per 1,000 overnight admissions.</w:t>
      </w:r>
    </w:p>
    <w:p w14:paraId="452E8FFC" w14:textId="77777777" w:rsidR="00815662" w:rsidRDefault="00252D02">
      <w:r>
        <w:t>With decreasing provision of cri</w:t>
      </w:r>
      <w:r>
        <w:t>tical care outreach, the number of patients assessed also fell (supplementary Table 1). Winter was busier (IRR 1.22, 95%CI 1.14 to 1.31), and weekends quieter (IRR 0.87, 95%CI 0.82 to 0.92) than the rest of the year. When a measure of case finding was incl</w:t>
      </w:r>
      <w:r>
        <w:t>uded in the models (cases assessed per 1000 overnight hospital admissions), referral incidence increased initially but then began to plateau for those hospitals with referral rates in the highest quartile (supplementary Figure 2).</w:t>
      </w:r>
    </w:p>
    <w:p w14:paraId="26567D0E" w14:textId="77777777" w:rsidR="00815662" w:rsidRDefault="00252D02">
      <w:pPr>
        <w:pStyle w:val="Heading2"/>
      </w:pPr>
      <w:bookmarkStart w:id="18" w:name="patient-characteristics-and-outcomes"/>
      <w:bookmarkEnd w:id="18"/>
      <w:r>
        <w:t>Patient characteristics a</w:t>
      </w:r>
      <w:r>
        <w:t>nd outcomes</w:t>
      </w:r>
    </w:p>
    <w:p w14:paraId="5F085900" w14:textId="77777777" w:rsidR="00815662" w:rsidRDefault="00252D02">
      <w:r>
        <w:t xml:space="preserve">Table 1 presents the baseline data for all ward patients assessed. Sepsis was reported in 9296 patients (61%). Of these, the respiratory system was considered to be the </w:t>
      </w:r>
      <w:r>
        <w:lastRenderedPageBreak/>
        <w:t>source about half (4772, 51%). Organ failure, defined as a SOFA score greater than or e</w:t>
      </w:r>
      <w:r>
        <w:t>qual to two, was present in 5164 of patients (34%). 1427 patients (9%) were in respiratory failure, 2931 (19%) were in renal failure, and 4636 (31%) were in cardiovascular shock. Organ support at the time of assessment was uncommon (870 patients, 6%).</w:t>
      </w:r>
    </w:p>
    <w:p w14:paraId="5E4B49D0" w14:textId="77777777" w:rsidR="00815662" w:rsidRDefault="00252D02">
      <w:r>
        <w:t>2708</w:t>
      </w:r>
      <w:r>
        <w:t xml:space="preserve"> (18%) patients died during the 7-days following ward assessment. Mortality was heavily front-loaded with 1539 (57%) of these deaths occuring within the first 48 hours (supplementary Figure 3). There was a clear correlation between physiological severity a</w:t>
      </w:r>
      <w:r>
        <w:t>nd early (7-day) mortality using either ward based (NEWS) or critical care scoring systems (SOFA, ICNARC) (supplementary Figure 3). As an example, the 7-day mortality was 9% (328 deaths), 15% (629 deaths), and 26% (1734 deaths)for NEWS low, medium and high</w:t>
      </w:r>
      <w:r>
        <w:t xml:space="preserve"> risk classes respectively.</w:t>
      </w:r>
    </w:p>
    <w:p w14:paraId="095B9139" w14:textId="77777777" w:rsidR="00815662" w:rsidRDefault="00252D02">
      <w:r>
        <w:t xml:space="preserve">The critical care assessors judged that 5321 patients (35%) required critical care. These patients had a higher physiological severity of illness (ICNARC physiology score 17.6 versus 14.3, 95% confidence interval for difference </w:t>
      </w:r>
      <w:r>
        <w:t>3.0 to 3.5), and a greater 7-day mortality (19.6% versus 17.0%, difference 1.3% to 4.0%). There was a clear correlation between measured severity and the assessors’ judgements of need (supplementary Figure 5).</w:t>
      </w:r>
    </w:p>
    <w:p w14:paraId="18DEF753" w14:textId="77777777" w:rsidR="00815662" w:rsidRDefault="00252D02">
      <w:r>
        <w:t>Overall mortality at 90-days was 35% (5337 pat</w:t>
      </w:r>
      <w:r>
        <w:t>ients), and at one year was 44% (6703 patients).</w:t>
      </w:r>
    </w:p>
    <w:p w14:paraId="3CC2E6CC" w14:textId="77777777" w:rsidR="00815662" w:rsidRDefault="00252D02">
      <w:pPr>
        <w:pStyle w:val="Heading2"/>
      </w:pPr>
      <w:bookmarkStart w:id="19" w:name="patient-pathways-following-ward-assessme"/>
      <w:bookmarkEnd w:id="19"/>
      <w:r>
        <w:t>Patient pathways following ward assessment by critical care</w:t>
      </w:r>
    </w:p>
    <w:p w14:paraId="1C1CEA11" w14:textId="77777777" w:rsidR="00815662" w:rsidRDefault="00252D02">
      <w:r>
        <w:t>Patients were classified into three groups following the initial ward assessment: 2141 patients (14%) declined admission with treatment limits (pre</w:t>
      </w:r>
      <w:r>
        <w:t>-existing or newly-placed); 9471 patients (62%) declined admission without treatment limits (Ongoing ward care); and 3546 patients (23%) offered immediate critical care.</w:t>
      </w:r>
    </w:p>
    <w:p w14:paraId="1C4C4C5E" w14:textId="77777777" w:rsidR="00815662" w:rsidRDefault="00252D02">
      <w:pPr>
        <w:pStyle w:val="Heading3"/>
      </w:pPr>
      <w:bookmarkStart w:id="20" w:name="declined-critical-care-with-treatment-li"/>
      <w:bookmarkEnd w:id="20"/>
      <w:r>
        <w:t>Declined critical care with treatment limits</w:t>
      </w:r>
    </w:p>
    <w:p w14:paraId="361A82D9" w14:textId="77777777" w:rsidR="00815662" w:rsidRDefault="00252D02">
      <w:r>
        <w:t>The 2141 patients with treatment limits h</w:t>
      </w:r>
      <w:r>
        <w:t>ad a 7-day mortality of 41% (881 deaths). The initial decision to decline admission was reversed in just 76 patients (4%) of whom 26 (34%) died within the week. Although the final 90-day mortality was substantial 65% (1402 deaths), 506 patients (24%) survi</w:t>
      </w:r>
      <w:r>
        <w:t>ved for at least year despite the decision.</w:t>
      </w:r>
    </w:p>
    <w:p w14:paraId="321A8A5C" w14:textId="77777777" w:rsidR="00815662" w:rsidRDefault="00252D02">
      <w:r>
        <w:t>Patients declined critical care with treatment limits were older (77 versus 66 years, 95%CI for difference 11 to 12 years), and more acutely unwell (17.1 versus 13.9 ICNARC physiology points, 95%CI for the differ</w:t>
      </w:r>
      <w:r>
        <w:t>ence 2.8 to 3.6) than those assigned Ongoing ward care. Critical care occupancy did not affect the proportion of patients declined admission with treatment limits (Table 2).</w:t>
      </w:r>
    </w:p>
    <w:p w14:paraId="3F3AC8DC" w14:textId="77777777" w:rsidR="00815662" w:rsidRDefault="00252D02">
      <w:pPr>
        <w:pStyle w:val="Heading3"/>
      </w:pPr>
      <w:bookmarkStart w:id="21" w:name="ongoing-ward-care"/>
      <w:bookmarkEnd w:id="21"/>
      <w:r>
        <w:t>Ongoing ward care</w:t>
      </w:r>
    </w:p>
    <w:p w14:paraId="4D3866CE" w14:textId="77777777" w:rsidR="00815662" w:rsidRDefault="00252D02">
      <w:r>
        <w:t>The 9471 patients for ongoing ward care had a 7-day mortality of</w:t>
      </w:r>
      <w:r>
        <w:t xml:space="preserve"> 12% (1102 deaths). Most deaths (799 deaths 73%) occured on the ward but 303 deaths (27%) followed delayed critical care admission. The initial decision to decline critical care was reversed within the week for 1745 patients (18%), so a total of 2544 (27%)</w:t>
      </w:r>
      <w:r>
        <w:t xml:space="preserve"> patients died or were admitted to critical care.</w:t>
      </w:r>
    </w:p>
    <w:p w14:paraId="07CCC03C" w14:textId="77777777" w:rsidR="00815662" w:rsidRDefault="00252D02">
      <w:r>
        <w:lastRenderedPageBreak/>
        <w:t>The ongoing ward care group included 1601 (17%) patients who had nonetheless been recommended critical care by the assessor. These patients had a higher 7-day mortality (18% versus 10%, 95% confidence inter</w:t>
      </w:r>
      <w:r>
        <w:t>val for difference 5% to 9%), and were more likely to have the initial refusal reversed (36% versus 15%, risk difference 19% to 24%).</w:t>
      </w:r>
    </w:p>
    <w:p w14:paraId="54F777A4" w14:textId="77777777" w:rsidR="00815662" w:rsidRDefault="00252D02">
      <w:pPr>
        <w:pStyle w:val="Heading3"/>
      </w:pPr>
      <w:bookmarkStart w:id="22" w:name="immediate-critical-care"/>
      <w:bookmarkEnd w:id="22"/>
      <w:r>
        <w:t>Immediate critical care</w:t>
      </w:r>
    </w:p>
    <w:p w14:paraId="34B5B11C" w14:textId="77777777" w:rsidR="00815662" w:rsidRDefault="00252D02">
      <w:r>
        <w:t>The 3546 patients immediately accepted to critical care had a 7-day mortality of 20% (725 deaths).</w:t>
      </w:r>
      <w:r>
        <w:t xml:space="preserve"> Just 42 (6%) of those deaths occurred before admission was arranged, but a further 254 patients (9%) were never admitted but survived nonetheless.</w:t>
      </w:r>
    </w:p>
    <w:p w14:paraId="3958538B" w14:textId="77777777" w:rsidR="00815662" w:rsidRDefault="00252D02">
      <w:r>
        <w:t xml:space="preserve">Those offered immediate admission were marginally younger (64.1 versus 65.6 years, 95%CI 0.8 to 2.2 years), </w:t>
      </w:r>
      <w:r>
        <w:t xml:space="preserve">but distinctly more unwell (18.1 versus 13.9 ICNARC physiology points, 95%CI 3.9 to 4.5) than the ongoing ward care group. As critical care occupancy at the time of the ward assessment increased, patients were less likely to be immediately accepted (Table </w:t>
      </w:r>
      <w:r>
        <w:t>2, Cochran-Armitage test for trend p&lt;0.0001).</w:t>
      </w:r>
    </w:p>
    <w:p w14:paraId="0C89C335" w14:textId="77777777" w:rsidR="00815662" w:rsidRDefault="00252D02">
      <w:pPr>
        <w:pStyle w:val="Heading2"/>
      </w:pPr>
      <w:bookmarkStart w:id="23" w:name="delay-to-admission-to-critical-care"/>
      <w:bookmarkEnd w:id="23"/>
      <w:r>
        <w:t>Delay to admission to critical care</w:t>
      </w:r>
    </w:p>
    <w:p w14:paraId="1C127537" w14:textId="77777777" w:rsidR="00815662" w:rsidRDefault="00252D02">
      <w:r>
        <w:t>The median delay between assessment and admission for patients immediately accepted was 2 hours (IQR 1 to 4) compared to 12 hours (IQR 5 to 29) for those whose initial refusa</w:t>
      </w:r>
      <w:r>
        <w:t>l was subsequently reversed (median additional delay 9 hours, IQR 9 to 10) (Figure 2a). Thus prompt admission (within 4 hours) was delivered for 2277 patients (74%) when immediately accepted versus 256 (16%) when initially declined (risk difference 58%, 95</w:t>
      </w:r>
      <w:r>
        <w:t>%CI 56% to 60%).</w:t>
      </w:r>
    </w:p>
    <w:p w14:paraId="0B2771DC" w14:textId="77777777" w:rsidR="00815662" w:rsidRDefault="00252D02">
      <w:r>
        <w:t>For the subgroup of 580 ongoing ward care patients who had been recommended for critical care (by their assessor), but were initially declined, and later had that refusal reversed, the median delay to admission was 8 hours (IQR 3 to 22).</w:t>
      </w:r>
    </w:p>
    <w:p w14:paraId="0347C537" w14:textId="77777777" w:rsidR="00815662" w:rsidRDefault="00252D02">
      <w:r>
        <w:t>I</w:t>
      </w:r>
      <w:r>
        <w:t>ncreasing occupancy at assessment increased the median delay from 3 (low bed pressure), to 4 (medium pressure), to 6 hours (high pressure, Figure 2b, Jonckheere-Terpstra test for trend p=0.0004).</w:t>
      </w:r>
    </w:p>
    <w:p w14:paraId="73657C9C" w14:textId="77777777" w:rsidR="00815662" w:rsidRDefault="00252D02">
      <w:pPr>
        <w:pStyle w:val="Heading2"/>
      </w:pPr>
      <w:bookmarkStart w:id="24" w:name="determinants-of-a-decision-to-admit"/>
      <w:bookmarkEnd w:id="24"/>
      <w:r>
        <w:t>Determinants of a decision to admit</w:t>
      </w:r>
    </w:p>
    <w:p w14:paraId="176A5E45" w14:textId="77777777" w:rsidR="00815662" w:rsidRDefault="00252D02">
      <w:r>
        <w:t>We built a multi-level (</w:t>
      </w:r>
      <w:r>
        <w:t>patients nested within hospitals) logistic regression model to examine factors associated with a decision to admit for patients without treatment limits (Table 3). As with the univariate comparisons above, older patients were less likely to be admitted (pa</w:t>
      </w:r>
      <w:r>
        <w:t>tients over 80 years: odds ratio 0.60, 0.53 to 0.69), and more acutely unwell patients were more likely to be admitted (OR 1.07 per ICNARC physiology point, 95% confidence interval 1.06 to 1.07). Similarly, patients already receiving organ support (1.83, 1</w:t>
      </w:r>
      <w:r>
        <w:t>.55 to 2.16), or clinically judged to be peri-arrest (6.32, 5.18 to 7.70) were also more likely to be admitted.</w:t>
      </w:r>
    </w:p>
    <w:p w14:paraId="66AF2F57" w14:textId="77777777" w:rsidR="00815662" w:rsidRDefault="00252D02">
      <w:r>
        <w:t>Patients referred out-of-hours (7pm-7am), during the weekend, or during the winter were more likely to be offered critical care (odds ratios bet</w:t>
      </w:r>
      <w:r>
        <w:t>ween 1.04 to 1.33), but those assessed when bed pressures were high (OR 0.70, 0.57 to 0.86), or medium (0.87, 0.77 to 0.98) were less likely to be accepted. We estimated, that in this sample, an additional 122 patients (95%CI 53 to 186) would have been imm</w:t>
      </w:r>
      <w:r>
        <w:t>ediately accepted had there been no limitations on critical care capacity.</w:t>
      </w:r>
    </w:p>
    <w:p w14:paraId="69B8183C" w14:textId="77777777" w:rsidR="00815662" w:rsidRDefault="00252D02">
      <w:r>
        <w:lastRenderedPageBreak/>
        <w:t xml:space="preserve">The model also demonstrated significant hospital level variation with a MOR of 2.11 (95% confidence interval 1.81 to 2.42) which differed little to that estimated excluding patient </w:t>
      </w:r>
      <w:r>
        <w:t>predictors (MOR 2.18, 1.82 to 2.60). The MOR summarises the differences when comparing decision making for similar patients from any two randomly selected hospitals, and consistency when excluding patient level predictors suggests that it is a true hospita</w:t>
      </w:r>
      <w:r>
        <w:t>l level difference.</w:t>
      </w:r>
    </w:p>
    <w:p w14:paraId="5686AAC2" w14:textId="77777777" w:rsidR="00815662" w:rsidRDefault="00252D02">
      <w:pPr>
        <w:pStyle w:val="Heading2"/>
      </w:pPr>
      <w:bookmarkStart w:id="25" w:name="determinants-of-prompt-admission"/>
      <w:bookmarkEnd w:id="25"/>
      <w:r>
        <w:t>Determinants of prompt admission</w:t>
      </w:r>
    </w:p>
    <w:p w14:paraId="0751C313" w14:textId="77777777" w:rsidR="00815662" w:rsidRDefault="00252D02">
      <w:r>
        <w:t>The modelling was repeated but now with the delivery of admission to critical care within 4 hours (a prompt admission) as the outcome, and the decision to admit as an additional predictor (Table 3). In t</w:t>
      </w:r>
      <w:r>
        <w:t>his analysis, we also excluded 358 (2.4%) patients whose admission was inevitably delayed urgent surgery.</w:t>
      </w:r>
    </w:p>
    <w:p w14:paraId="66B56746" w14:textId="77777777" w:rsidR="00815662" w:rsidRDefault="00252D02">
      <w:r>
        <w:t>The patient-level predictors of prompt admission were broadly similar to those for decisions to admit, with younger and sicker patients being admitted</w:t>
      </w:r>
      <w:r>
        <w:t xml:space="preserve"> more promptly. However, patients assessed during the winter, while being more likely to be offered critical care, were less likely to be admitted promptly (OR 0.76, 0.64 to 0.90). The strongest predictor of prompt admission was a decision to admit at the </w:t>
      </w:r>
      <w:r>
        <w:t>initial bedside assessment (OR 69, 59 to 81). Even though the decision to admit was included in the model, bed pressure still had a marked effect (high pressure: 0.27, 0.19 to 0.37) and hospital level variation persisted (MOR 1.89, 1.63 to 2.21).</w:t>
      </w:r>
    </w:p>
    <w:p w14:paraId="5847CB2F" w14:textId="77777777" w:rsidR="00815662" w:rsidRDefault="00252D02">
      <w:pPr>
        <w:pStyle w:val="Heading2"/>
      </w:pPr>
      <w:bookmarkStart w:id="26" w:name="determinants-of-90-day-mortality"/>
      <w:bookmarkEnd w:id="26"/>
      <w:r>
        <w:t>Determina</w:t>
      </w:r>
      <w:r>
        <w:t>nts of 90-day mortality</w:t>
      </w:r>
    </w:p>
    <w:p w14:paraId="554AB359" w14:textId="77777777" w:rsidR="00815662" w:rsidRDefault="00252D02">
      <w:r>
        <w:t>Amongst patients without treatment limits, there were 372 deaths (3%) by the end of the first day, 1742 (13%) by the end of the first week, 3130 (24%) by the 30 days, and 3946(30%) by 90 days (proportions from Kaplan-Meier failure f</w:t>
      </w:r>
      <w:r>
        <w:t>unction).</w:t>
      </w:r>
    </w:p>
    <w:p w14:paraId="2DCF3F0A" w14:textId="77777777" w:rsidR="00815662" w:rsidRDefault="00252D02">
      <w:r>
        <w:t>A series of models were fitted with 90-day survival as the dependent variable for patients without treatment limits. The final best model (Table 4) incorporated a time-varying effect for measured physiological severity and reported peri-arrest st</w:t>
      </w:r>
      <w:r>
        <w:t>atus such that their effects were attenuated after the first week (supplementary Figure 6).</w:t>
      </w:r>
    </w:p>
    <w:p w14:paraId="02B23715" w14:textId="77777777" w:rsidR="00815662" w:rsidRDefault="00252D02">
      <w:r>
        <w:t>Other patient level risk factors were consistent with the existing literature on outcomes in similar patients: older patients, and those with sepsis (other than genito-urinary) had worse survival.</w:t>
      </w:r>
      <w:r w:rsidR="00027B13">
        <w:t xml:space="preserve"> </w:t>
      </w:r>
      <w:r w:rsidR="00027B13">
        <w:fldChar w:fldCharType="begin"/>
      </w:r>
      <w:r w:rsidR="00027B13">
        <w:instrText xml:space="preserve"> ADDIN PAPERS2_CITATIONS &lt;citation&gt;&lt;uuid&gt;8EE9B019-2E62-4603-AE55-823213438159&lt;/uuid&gt;&lt;priority&gt;10&lt;/priority&gt;&lt;publications&gt;&lt;publication&gt;&lt;uuid&gt;B93A6E50-34D0-4767-9454-E6E0352C054F&lt;/uuid&gt;&lt;volume&gt;8&lt;/volume&gt;&lt;accepted_date&gt;99200402131200000000222000&lt;/accepted_date&gt;&lt;doi&gt;10.1186/cc2834&lt;/doi&gt;&lt;startpage&gt;R99&lt;/startpage&gt;&lt;revision_date&gt;99200401281200000000222000&lt;/revision_date&gt;&lt;publication_date&gt;99200404001200000000220000&lt;/publication_date&gt;&lt;url&gt;http://www.ncbi.nlm.nih.gov/entrez/query.fcgi?cmd=Retrieve&amp;amp;db=PubMed&amp;amp;dopt=Citation&amp;amp;list_uids=15025784&lt;/url&gt;&lt;citekey&gt;Harrison:2004brb&lt;/citekey&gt;&lt;type&gt;400&lt;/type&gt;&lt;title&gt;Case mix, outcome and length of stay for admissions to adult, general critical care units in England, Wales and Northern Ireland: the Intensive Care National Audit &amp;amp; Research Centre Case Mix Programme Database.&lt;/title&gt;&lt;publisher&gt;England&lt;/publisher&gt;&lt;submission_date&gt;99200311061200000000222000&lt;/submission_date&gt;&lt;number&gt;2&lt;/number&gt;&lt;institution&gt;Intensive Care National Audit &amp;amp; Research Centre, London, UK. david@icnarc.org&lt;/institution&gt;&lt;subtype&gt;400&lt;/subtype&gt;&lt;endpage&gt;111&lt;/endpage&gt;&lt;bundle&gt;&lt;publication&gt;&lt;publisher&gt;England&lt;/publisher&gt;&lt;title&gt;Crit Care&lt;/title&gt;&lt;type&gt;-100&lt;/type&gt;&lt;subtype&gt;-100&lt;/subtype&gt;&lt;uuid&gt;0C49589A-B7CA-4635-ABAF-E844C1E102A1&lt;/uuid&gt;&lt;/publication&gt;&lt;/bundle&gt;&lt;authors&gt;&lt;author&gt;&lt;firstName&gt;David&lt;/firstName&gt;&lt;middleNames&gt;A&lt;/middleNames&gt;&lt;lastName&gt;Harrison&lt;/lastName&gt;&lt;/author&gt;&lt;author&gt;&lt;firstName&gt;Anthony&lt;/firstName&gt;&lt;middleNames&gt;R&lt;/middleNames&gt;&lt;lastName&gt;Brady&lt;/lastName&gt;&lt;/author&gt;&lt;author&gt;&lt;firstName&gt;Kathy&lt;/firstName&gt;&lt;lastName&gt;Rowan&lt;/lastName&gt;&lt;/author&gt;&lt;/authors&gt;&lt;/publication&gt;&lt;/publications&gt;&lt;cites&gt;&lt;/cites&gt;&lt;/citation&gt;</w:instrText>
      </w:r>
      <w:r w:rsidR="00027B13">
        <w:fldChar w:fldCharType="separate"/>
      </w:r>
      <w:r w:rsidR="00027B13">
        <w:rPr>
          <w:rFonts w:cs="Charter"/>
          <w:lang w:val="en-US"/>
        </w:rPr>
        <w:t>[19]</w:t>
      </w:r>
      <w:r w:rsidR="00027B13">
        <w:fldChar w:fldCharType="end"/>
      </w:r>
      <w:r>
        <w:t xml:space="preserve"> Patients assessed during the winter mont</w:t>
      </w:r>
      <w:r>
        <w:t>hs, over the weekend, and out-of-hours did not have a significantly worse adjusted survival than baseline.</w:t>
      </w:r>
    </w:p>
    <w:p w14:paraId="09F7C8F2" w14:textId="77777777" w:rsidR="00815662" w:rsidRDefault="00252D02">
      <w:r>
        <w:t>Critical care occupancy did not affect adjusted mortality in the multi-level model (high pressure: hazard ratio 1.03, 95% confidence interval 0.90 to</w:t>
      </w:r>
      <w:r>
        <w:t xml:space="preserve"> 1.17). A single level model (supplementary Table 2), constructed in case occupancy was mediated through rather than confounded by the effect of the hospital, similarly could not exclude a null effect (hazard ratio 1.07, 1.00 to 1.15, p=0.06).</w:t>
      </w:r>
    </w:p>
    <w:p w14:paraId="01E494C2" w14:textId="77777777" w:rsidR="00815662" w:rsidRDefault="00252D02">
      <w:r>
        <w:t>The full mul</w:t>
      </w:r>
      <w:r>
        <w:t>ti-level model demonstrated significant hospital level variation in survival (MHR 1.28, 1.22 to 1.34) which was little altered by adjustment for patient level risk factors (MHR 1.29, 1.22 to 1.35).</w:t>
      </w:r>
    </w:p>
    <w:p w14:paraId="392B7A5C" w14:textId="77777777" w:rsidR="00815662" w:rsidRDefault="00252D02">
      <w:r>
        <w:t>Repeating the survival model in the subgroup recommended t</w:t>
      </w:r>
      <w:r>
        <w:t>o critical care at the initial assessment produced similar effects albeit with less precision (supplementary Table 2).</w:t>
      </w:r>
    </w:p>
    <w:p w14:paraId="5401E63B" w14:textId="77777777" w:rsidR="00815662" w:rsidRDefault="00252D02">
      <w:pPr>
        <w:pStyle w:val="Heading1"/>
      </w:pPr>
      <w:bookmarkStart w:id="27" w:name="discussion"/>
      <w:bookmarkEnd w:id="27"/>
      <w:r>
        <w:lastRenderedPageBreak/>
        <w:t>Discussion</w:t>
      </w:r>
    </w:p>
    <w:p w14:paraId="67EA41F8" w14:textId="77777777" w:rsidR="00815662" w:rsidRDefault="00252D02">
      <w:r>
        <w:t xml:space="preserve">We describe the events following initial bedside assessment by critical care of more than 15000 ward patients in 48 acute NHS </w:t>
      </w:r>
      <w:r>
        <w:t>hospitals. Nearly half (45%) of these patients were defined as being at high risk by current guidelines</w:t>
      </w:r>
      <w:r w:rsidR="00027B13">
        <w:fldChar w:fldCharType="begin"/>
      </w:r>
      <w:r w:rsidR="00027B13">
        <w:instrText xml:space="preserve"> ADDIN PAPERS2_CITATIONS &lt;citation&gt;&lt;uuid&gt;13AC36FE-320D-43A9-A65F-FC2C018C779D&lt;/uuid&gt;&lt;priority&gt;11&lt;/priority&gt;&lt;publications&gt;&lt;publication&gt;&lt;publication_date&gt;99201200001200000000200000&lt;/publication_date&gt;&lt;startpage&gt;1&lt;/startpage&gt;&lt;subtitle&gt;National Early Warning Score (NEWS)&lt;/subtitle&gt;&lt;title&gt;National Early Warning Score (NEWS): Standardising the assessment of acute-illness severity in the NHS&lt;/title&gt;&lt;uuid&gt;2DF9C037-4745-462E-A8C5-B80E466B8F2B&lt;/uuid&gt;&lt;subtype&gt;400&lt;/subtype&gt;&lt;publisher&gt;Royal College of Physicians&lt;/publisher&gt;&lt;type&gt;400&lt;/type&gt;&lt;endpage&gt;30&lt;/endpage&gt;&lt;url&gt;http://www.rcplondon.ac.uk/resources/national-early-warning-score-news&lt;/url&gt;&lt;/publication&gt;&lt;/publications&gt;&lt;cites&gt;&lt;/cites&gt;&lt;/citation&gt;</w:instrText>
      </w:r>
      <w:r w:rsidR="00027B13">
        <w:fldChar w:fldCharType="separate"/>
      </w:r>
      <w:r w:rsidR="00027B13">
        <w:rPr>
          <w:rFonts w:cs="Charter"/>
          <w:lang w:val="en-US"/>
        </w:rPr>
        <w:t>[14]</w:t>
      </w:r>
      <w:r w:rsidR="00027B13">
        <w:fldChar w:fldCharType="end"/>
      </w:r>
      <w:r>
        <w:t>, and one-third (33%) were assessed when the critical care unit was under-strain (two or fewer beds available). One in twelve (8%) were</w:t>
      </w:r>
      <w:r>
        <w:t xml:space="preserve"> assessed when the unit was completely full.</w:t>
      </w:r>
    </w:p>
    <w:p w14:paraId="20F1AD73" w14:textId="77777777" w:rsidR="00815662" w:rsidRDefault="00252D02">
      <w:r>
        <w:t xml:space="preserve">Critical care capacity affected the decision to admit, and subsequent patient pathways. Moreover, the decision making varied between hospitals. Bias against admitting the elderly provided additional evidence of </w:t>
      </w:r>
      <w:r>
        <w:t>rationing.</w:t>
      </w:r>
    </w:p>
    <w:p w14:paraId="7297CCE5" w14:textId="77777777" w:rsidR="00815662" w:rsidRDefault="00252D02">
      <w:r>
        <w:t xml:space="preserve">The consequences of critical care strain, and inter-hospital variation in decision making were two-fold. Firstly, affected patients had their admission delayed either directly (delayed immediate critical care), or indirectly (declined immediate </w:t>
      </w:r>
      <w:r>
        <w:t>admission before late reversal of the initial decision). Secondly, patients were simply less likely to ever be cared for critical care during the week following assessment. Correspondingly, they were more likely to die on the ward without critical care. Th</w:t>
      </w:r>
      <w:r>
        <w:t>is was true even for the cohort of patients for whom the bedside assessor thought critical care was justified.</w:t>
      </w:r>
    </w:p>
    <w:p w14:paraId="449C6F44" w14:textId="77777777" w:rsidR="00815662" w:rsidRDefault="00252D02">
      <w:r>
        <w:t>Despite an immediate decision to admit, one-quarter of patients were still not admitted within the four hours recommended. Compared to the intern</w:t>
      </w:r>
      <w:r>
        <w:t>ational literature this four hour target is not strict.</w:t>
      </w:r>
      <w:r w:rsidR="00027B13">
        <w:t xml:space="preserve"> </w:t>
      </w:r>
      <w:r w:rsidR="00027B13">
        <w:fldChar w:fldCharType="begin"/>
      </w:r>
      <w:r w:rsidR="00027B13">
        <w:instrText xml:space="preserve"> ADDIN PAPERS2_CITATIONS &lt;citation&gt;&lt;uuid&gt;C299C9D3-CE85-4239-979F-F87D39AAE8A8&lt;/uuid&gt;&lt;priority&gt;12&lt;/priority&gt;&lt;publications&gt;&lt;publication&gt;&lt;uuid&gt;A0B8D4C6-2921-4F22-83B3-22A9BC897EA6&lt;/uuid&gt;&lt;volume&gt;172&lt;/volume&gt;&lt;doi&gt;10.1001/archinternmed.2011.2315&lt;/doi&gt;&lt;startpage&gt;467&lt;/startpage&gt;&lt;publication_date&gt;99201203261200000000222000&lt;/publication_date&gt;&lt;url&gt;http://www.ncbi.nlm.nih.gov/entrez/query.fcgi?cmd=Retrieve&amp;amp;db=PubMed&amp;amp;dopt=Citation&amp;amp;list_uids=22412076&lt;/url&gt;&lt;citekey&gt;Stelfox:2012iy&lt;/citekey&gt;&lt;type&gt;400&lt;/type&gt;&lt;title&gt;Intensive Care Unit Bed Availability and Outcomes for Hospitalized Patients With Sudden Clinical Deterioration.&lt;/title&gt;&lt;publisher&gt;United States&lt;/publisher&gt;&lt;institution&gt;Department of Critical Care Medicine, University of Calgary, Teaching, Research and Wellness Building, 3280 Hospital Dr NW, Calgary, AB, Canada. tstelfox@ucalgary.ca&lt;/institution&gt;&lt;number&gt;6&lt;/number&gt;&lt;subtype&gt;400&lt;/subtype&gt;&lt;endpage&gt;474&lt;/endpage&gt;&lt;bundle&gt;&lt;publication&gt;&lt;publisher&gt;United States&lt;/publisher&gt;&lt;title&gt;Arch Intern Med&lt;/title&gt;&lt;type&gt;-100&lt;/type&gt;&lt;subtype&gt;-100&lt;/subtype&gt;&lt;uuid&gt;EDC53D42-AEC8-4E3D-8AD9-C7FA0AD66794&lt;/uuid&gt;&lt;/publication&gt;&lt;/bundle&gt;&lt;authors&gt;&lt;author&gt;&lt;firstName&gt;H&lt;/firstName&gt;&lt;middleNames&gt;T&lt;/middleNames&gt;&lt;lastName&gt;Stelfox&lt;/lastName&gt;&lt;/author&gt;&lt;author&gt;&lt;firstName&gt;B&lt;/firstName&gt;&lt;middleNames&gt;R&lt;/middleNames&gt;&lt;lastName&gt;Hemmelgarn&lt;/lastName&gt;&lt;/author&gt;&lt;author&gt;&lt;firstName&gt;S&lt;/firstName&gt;&lt;middleNames&gt;M&lt;/middleNames&gt;&lt;lastName&gt;Bagshaw&lt;/lastName&gt;&lt;/author&gt;&lt;author&gt;&lt;firstName&gt;S&lt;/firstName&gt;&lt;lastName&gt;Gao&lt;/lastName&gt;&lt;/author&gt;&lt;author&gt;&lt;firstName&gt;C&lt;/firstName&gt;&lt;middleNames&gt;J&lt;/middleNames&gt;&lt;lastName&gt;Doig&lt;/lastName&gt;&lt;/author&gt;&lt;author&gt;&lt;firstName&gt;C&lt;/firstName&gt;&lt;lastName&gt;Nijssen-Jordan&lt;/lastName&gt;&lt;/author&gt;&lt;author&gt;&lt;firstName&gt;B&lt;/firstName&gt;&lt;lastName&gt;Manns&lt;/lastName&gt;&lt;/author&gt;&lt;/authors&gt;&lt;/publication&gt;&lt;publication&gt;&lt;uuid&gt;B0470926-0BA5-4E63-A153-A5D215F88A52&lt;/uuid&gt;&lt;volume&gt;185&lt;/volume&gt;&lt;doi&gt;10.1164/rccm.201104-0729OC&lt;/doi&gt;&lt;startpage&gt;1081&lt;/startpage&gt;&lt;publication_date&gt;99201205151200000000222000&lt;/publication_date&gt;&lt;url&gt;http://www.ncbi.nlm.nih.gov/entrez/query.fcgi?cmd=Retrieve&amp;amp;db=PubMed&amp;amp;dopt=Citation&amp;amp;list_uids=22345582&lt;/url&gt;&lt;citekey&gt;Robert:2012ep&lt;/citekey&gt;&lt;type&gt;400&lt;/type&gt;&lt;title&gt;Refusal of intensive care unit admission due to a full unit: impact on mortality.&lt;/title&gt;&lt;publisher&gt;United States&lt;/publisher&gt;&lt;institution&gt;Service de Reanimation Medicale, Hopital Jean Bernard, CHU Poitiers, 86021 Poitiers Cedex France. r.robert@chu-poitiers.fr&lt;/institution&gt;&lt;number&gt;10&lt;/number&gt;&lt;subtype&gt;400&lt;/subtype&gt;&lt;endpage&gt;1087&lt;/endpage&gt;&lt;bundle&gt;&lt;publication&gt;&lt;publisher&gt;United States&lt;/publisher&gt;&lt;title&gt;American Journal of Respiratory and Critical Care Medicine&lt;/title&gt;&lt;type&gt;-100&lt;/type&gt;&lt;subtype&gt;-100&lt;/subtype&gt;&lt;uuid&gt;C7FD63CD-137F-44BD-84C6-F476C6FB6572&lt;/uuid&gt;&lt;/publication&gt;&lt;/bundle&gt;&lt;authors&gt;&lt;author&gt;&lt;firstName&gt;R&lt;/firstName&gt;&lt;lastName&gt;Robert&lt;/lastName&gt;&lt;/author&gt;&lt;author&gt;&lt;firstName&gt;J&lt;/firstName&gt;&lt;lastName&gt;Reignier&lt;/lastName&gt;&lt;/author&gt;&lt;author&gt;&lt;firstName&gt;C&lt;/firstName&gt;&lt;lastName&gt;Tournoux-Facon&lt;/lastName&gt;&lt;/author&gt;&lt;author&gt;&lt;firstName&gt;T&lt;/firstName&gt;&lt;lastName&gt;Boulain&lt;/lastName&gt;&lt;/author&gt;&lt;author&gt;&lt;firstName&gt;O&lt;/firstName&gt;&lt;lastName&gt;Lesieur&lt;/lastName&gt;&lt;/author&gt;&lt;author&gt;&lt;firstName&gt;V&lt;/firstName&gt;&lt;lastName&gt;Gissot&lt;/lastName&gt;&lt;/author&gt;&lt;author&gt;&lt;firstName&gt;V&lt;/firstName&gt;&lt;lastName&gt;Souday&lt;/lastName&gt;&lt;/author&gt;&lt;author&gt;&lt;firstName&gt;M&lt;/firstName&gt;&lt;lastName&gt;Hamrouni&lt;/lastName&gt;&lt;/author&gt;&lt;author&gt;&lt;firstName&gt;C&lt;/firstName&gt;&lt;lastName&gt;Chapon&lt;/lastName&gt;&lt;/author&gt;&lt;author&gt;&lt;firstName&gt;J&lt;/firstName&gt;&lt;middleNames&gt;P&lt;/middleNames&gt;&lt;lastName&gt;Gouello&lt;/lastName&gt;&lt;/author&gt;&lt;/authors&gt;&lt;/publication&gt;&lt;/publications&gt;&lt;cites&gt;&lt;/cites&gt;&lt;/citation&gt;</w:instrText>
      </w:r>
      <w:r w:rsidR="00027B13">
        <w:fldChar w:fldCharType="separate"/>
      </w:r>
      <w:r w:rsidR="00027B13">
        <w:rPr>
          <w:rFonts w:cs="Charter"/>
          <w:lang w:val="en-US"/>
        </w:rPr>
        <w:t>[6,7]</w:t>
      </w:r>
      <w:r w:rsidR="00027B13">
        <w:fldChar w:fldCharType="end"/>
      </w:r>
    </w:p>
    <w:p w14:paraId="40656A21" w14:textId="77777777" w:rsidR="00815662" w:rsidRDefault="00252D02">
      <w:r>
        <w:t>The mortality rate in these patients is high. Around one in three patients assessed die within 90-days, and nearly one half do not survive a year. In fact, the mortali</w:t>
      </w:r>
      <w:r>
        <w:t>ty is not dissimilar to that seen in the unselected critical care population even though only a mintority of these ward patients were admitted.</w:t>
      </w:r>
      <w:r w:rsidR="00027B13">
        <w:t xml:space="preserve"> </w:t>
      </w:r>
      <w:r w:rsidR="00027B13">
        <w:fldChar w:fldCharType="begin"/>
      </w:r>
      <w:r w:rsidR="00027B13">
        <w:instrText xml:space="preserve"> ADDIN PAPERS2_CITATIONS &lt;citation&gt;&lt;uuid&gt;3077EC9B-189E-4B0D-8509-403670535505&lt;/uuid&gt;&lt;priority&gt;13&lt;/priority&gt;&lt;publications&gt;&lt;publication&gt;&lt;uuid&gt;7DE98028-EF84-4A12-AB6F-16FDE741A62E&lt;/uuid&gt;&lt;volume&gt;14&lt;/volume&gt;&lt;accepted_date&gt;99201412101200000000222000&lt;/accepted_date&gt;&lt;doi&gt;10.1186/1471-2253-14-116&lt;/doi&gt;&lt;startpage&gt;116&lt;/startpage&gt;&lt;publication_date&gt;99201400001200000000200000&lt;/publication_date&gt;&lt;url&gt;http://www.ncbi.nlm.nih.gov/entrez/query.fcgi?cmd=Retrieve&amp;amp;db=PubMed&amp;amp;dopt=Citation&amp;amp;list_uids=25544831&lt;/url&gt;&lt;citekey&gt;Harrison:2014ei&lt;/citekey&gt;&lt;type&gt;400&lt;/type&gt;&lt;title&gt;External validation of the Intensive Care National Audit &amp;amp; Research Centre (ICNARC) risk prediction model in critical care units in Scotland.&lt;/title&gt;&lt;publisher&gt;England&lt;/publisher&gt;&lt;submission_date&gt;99201407291200000000222000&lt;/submission_date&gt;&lt;number&gt;1&lt;/number&gt;&lt;institution&gt;Intensive Care National Audit &amp;amp; Research Centre (ICNARC), Napier House, 24 High Holborn, London, WC1V 6AZ UK.&lt;/institution&gt;&lt;subtype&gt;400&lt;/subtype&gt;&lt;bundle&gt;&lt;publication&gt;&lt;publisher&gt;England&lt;/publisher&gt;&lt;title&gt;BMC Anesthesiol&lt;/title&gt;&lt;type&gt;-100&lt;/type&gt;&lt;subtype&gt;-100&lt;/subtype&gt;&lt;uuid&gt;4AE61FFF-D94D-4C7D-B267-C59B4102A0E7&lt;/uuid&gt;&lt;/publication&gt;&lt;/bundle&gt;&lt;authors&gt;&lt;author&gt;&lt;firstName&gt;David&lt;/firstName&gt;&lt;middleNames&gt;A&lt;/middleNames&gt;&lt;lastName&gt;Harrison&lt;/lastName&gt;&lt;/author&gt;&lt;author&gt;&lt;firstName&gt;Nazir&lt;/firstName&gt;&lt;middleNames&gt;I&lt;/middleNames&gt;&lt;lastName&gt;Lone&lt;/lastName&gt;&lt;/author&gt;&lt;author&gt;&lt;firstName&gt;Catriona&lt;/firstName&gt;&lt;lastName&gt;Haddow&lt;/lastName&gt;&lt;/author&gt;&lt;author&gt;&lt;firstName&gt;Moranne&lt;/firstName&gt;&lt;lastName&gt;MacGillivray&lt;/lastName&gt;&lt;/author&gt;&lt;author&gt;&lt;firstName&gt;Angela&lt;/firstName&gt;&lt;lastName&gt;Khan&lt;/lastName&gt;&lt;/author&gt;&lt;author&gt;&lt;firstName&gt;Brian&lt;/firstName&gt;&lt;lastName&gt;Cook&lt;/lastName&gt;&lt;/author&gt;&lt;author&gt;&lt;firstName&gt;Kathryn&lt;/firstName&gt;&lt;middleNames&gt;M&lt;/middleNames&gt;&lt;lastName&gt;Rowan&lt;/lastName&gt;&lt;/author&gt;&lt;/authors&gt;&lt;/publication&gt;&lt;publication&gt;&lt;uuid&gt;E3888D5B-DF31-442B-A27A-BAF95210B210&lt;/uuid&gt;&lt;volume&gt;35&lt;/volume&gt;&lt;doi&gt;10.1097/01.CCM.0000259468.24532.44&lt;/doi&gt;&lt;startpage&gt;1091&lt;/startpage&gt;&lt;publication_date&gt;99200704001200000000220000&lt;/publication_date&gt;&lt;url&gt;http://www.ncbi.nlm.nih.gov/entrez/query.fcgi?cmd=Retrieve&amp;amp;db=PubMed&amp;amp;dopt=Citation&amp;amp;list_uids=17334248&lt;/url&gt;&lt;citekey&gt;Harrison:2007jt&lt;/citekey&gt;&lt;type&gt;400&lt;/type&gt;&lt;title&gt;A new risk prediction model for critical care: the Intensive Care National Audit &amp;amp; Research Centre (ICNARC) model.&lt;/title&gt;&lt;publisher&gt;United States&lt;/publisher&gt;&lt;institution&gt;Intensive Care National Audit &amp;amp; Research Centre (ICNARC), London, UK. harrison@icnarc.org &amp;lt;harrison@icnarc.org&amp;gt;&lt;/institution&gt;&lt;number&gt;4&lt;/number&gt;&lt;subtype&gt;400&lt;/subtype&gt;&lt;endpage&gt;1098&lt;/endpage&gt;&lt;bundle&gt;&lt;publication&gt;&lt;publisher&gt;United States&lt;/publisher&gt;&lt;title&gt;Crit Care Med&lt;/title&gt;&lt;type&gt;-100&lt;/type&gt;&lt;subtype&gt;-100&lt;/subtype&gt;&lt;uuid&gt;118B9DFB-B782-44E2-9A4F-6E695BC69D0B&lt;/uuid&gt;&lt;/publication&gt;&lt;/bundle&gt;&lt;authors&gt;&lt;author&gt;&lt;firstName&gt;D&lt;/firstName&gt;&lt;middleNames&gt;A&lt;/middleNames&gt;&lt;lastName&gt;Harrison&lt;/lastName&gt;&lt;/author&gt;&lt;author&gt;&lt;firstName&gt;G&lt;/firstName&gt;&lt;middleNames&gt;J&lt;/middleNames&gt;&lt;lastName&gt;Parry&lt;/lastName&gt;&lt;/author&gt;&lt;author&gt;&lt;firstName&gt;J&lt;/firstName&gt;&lt;middleNames&gt;R&lt;/middleNames&gt;&lt;lastName&gt;Carpenter&lt;/lastName&gt;&lt;/author&gt;&lt;author&gt;&lt;firstName&gt;A&lt;/firstName&gt;&lt;lastName&gt;Short&lt;/lastName&gt;&lt;/author&gt;&lt;author&gt;&lt;firstName&gt;K&lt;/firstName&gt;&lt;lastName&gt;Rowan&lt;/lastName&gt;&lt;/author&gt;&lt;/authors&gt;&lt;/publication&gt;&lt;/publications&gt;&lt;cites&gt;&lt;/cites&gt;&lt;/citation&gt;</w:instrText>
      </w:r>
      <w:r w:rsidR="00027B13">
        <w:fldChar w:fldCharType="separate"/>
      </w:r>
      <w:r w:rsidR="00027B13">
        <w:rPr>
          <w:rFonts w:cs="Charter"/>
          <w:lang w:val="en-US"/>
        </w:rPr>
        <w:t>[15,20]</w:t>
      </w:r>
      <w:r w:rsidR="00027B13">
        <w:fldChar w:fldCharType="end"/>
      </w:r>
    </w:p>
    <w:p w14:paraId="0DA55972" w14:textId="77777777" w:rsidR="00815662" w:rsidRDefault="00252D02">
      <w:r>
        <w:t>Importantly, early (7-day) mortality is still elevated either for patients d</w:t>
      </w:r>
      <w:r>
        <w:t xml:space="preserve">efined as objectively low risk by NEWS class, or subjectively low risk by the bedside assessor. In other words, mere referral for ward assessment by critical care is already effectively identifying a high risk population. This risk is heavily front-loaded </w:t>
      </w:r>
      <w:r>
        <w:t>with around half of deaths in the first week, and half of those deaths in the first 48 hours. This implies that the time window for successful intervention has either passed, or is narrow.</w:t>
      </w:r>
    </w:p>
    <w:p w14:paraId="1B651BA5" w14:textId="77777777" w:rsidR="00815662" w:rsidRDefault="00252D02">
      <w:r>
        <w:t>Hospital level variation is a significant factor. We could not show</w:t>
      </w:r>
      <w:r>
        <w:t xml:space="preserve"> a direct effect of occupancy on mortality in this model. However, if part of the effect of being in a ‘good’ hospital is mediated through how critical care occupancy is managed then this difference would have been inappropriately ‘adjusted away’. In our s</w:t>
      </w:r>
      <w:r>
        <w:t>ingle level model, the effect of occupancy on mortality was greater; thus we cannot confidently exclude occupancy as having a clinically important effect. The observation that, as critical care capacity becomes more constrained, those patients eventually a</w:t>
      </w:r>
      <w:r>
        <w:t>dmitted both waited longer, and deteriorated further, would be consistent with this hypothesis.</w:t>
      </w:r>
    </w:p>
    <w:p w14:paraId="10E24962" w14:textId="77777777" w:rsidR="00815662" w:rsidRDefault="00252D02">
      <w:r>
        <w:t>Finally, although referrals for assessment by critical care were more frequent during winter, the weekend, and out-of-hours, there was no independent decrease i</w:t>
      </w:r>
      <w:r>
        <w:t>n risk adjusted survival in these groups.</w:t>
      </w:r>
    </w:p>
    <w:p w14:paraId="5425F02B" w14:textId="77777777" w:rsidR="00815662" w:rsidRDefault="00252D02">
      <w:pPr>
        <w:pStyle w:val="Heading2"/>
      </w:pPr>
      <w:bookmarkStart w:id="28" w:name="comparison-with-other-studies"/>
      <w:bookmarkEnd w:id="28"/>
      <w:r>
        <w:t>Comparison with other studies</w:t>
      </w:r>
    </w:p>
    <w:p w14:paraId="4E7B8AF8" w14:textId="77777777" w:rsidR="00815662" w:rsidRDefault="00252D02">
      <w:r>
        <w:lastRenderedPageBreak/>
        <w:t>There are no similar studies of ward patients referred to critical care in the UK. However it would appear that the incidence of referrals we report is much lower than in similar health care systems. We observed around 8 unselected referrals per 1,000 inpa</w:t>
      </w:r>
      <w:r>
        <w:t>tient admissions whereas others report in the range of 25–50.</w:t>
      </w:r>
      <w:r w:rsidR="00027B13">
        <w:t xml:space="preserve"> </w:t>
      </w:r>
      <w:r w:rsidR="00027B13">
        <w:fldChar w:fldCharType="begin"/>
      </w:r>
      <w:r w:rsidR="00027B13">
        <w:instrText xml:space="preserve"> ADDIN PAPERS2_CITATIONS &lt;citation&gt;&lt;uuid&gt;98188B9C-7E88-4098-AD55-83727A2690F5&lt;/uuid&gt;&lt;priority&gt;14&lt;/priority&gt;&lt;publications&gt;&lt;publication&gt;&lt;uuid&gt;E1EBA869-1757-44C1-BB28-2B26EC5934BE&lt;/uuid&gt;&lt;volume&gt;365&lt;/volume&gt;&lt;doi&gt;10.1056/NEJMra0910926&lt;/doi&gt;&lt;startpage&gt;139&lt;/startpage&gt;&lt;publication_date&gt;99201107141200000000222000&lt;/publication_date&gt;&lt;url&gt;http://eutils.ncbi.nlm.nih.gov/entrez/eutils/elink.fcgi?dbfrom=pubmed&amp;amp;amp;id=21751906&amp;amp;amp;retmode=ref&amp;amp;amp;cmd=prlinks&lt;/url&gt;&lt;type&gt;400&lt;/type&gt;&lt;title&gt;Rapid-response teams.&lt;/title&gt;&lt;institution&gt;Australian and New Zealand Intensive Care Research Centre, Department of Epidemiology and Preventive Medicine, Monash University, Melbourne, VIC, Australia.&lt;/institution&gt;&lt;number&gt;2&lt;/number&gt;&lt;subtype&gt;400&lt;/subtype&gt;&lt;endpage&gt;146&lt;/endpage&gt;&lt;bundle&gt;&lt;publication&gt;&lt;publisher&gt;United States&lt;/publisher&gt;&lt;title&gt;N Engl J Med&lt;/title&gt;&lt;type&gt;-100&lt;/type&gt;&lt;subtype&gt;-100&lt;/subtype&gt;&lt;uuid&gt;0D7C8C08-0B2D-4144-B176-878224944E17&lt;/uuid&gt;&lt;/publication&gt;&lt;/bundle&gt;&lt;authors&gt;&lt;author&gt;&lt;firstName&gt;Daryl&lt;/firstName&gt;&lt;middleNames&gt;A&lt;/middleNames&gt;&lt;lastName&gt;Jones&lt;/lastName&gt;&lt;/author&gt;&lt;author&gt;&lt;firstName&gt;Michael&lt;/firstName&gt;&lt;middleNames&gt;A&lt;/middleNames&gt;&lt;lastName&gt;DeVita&lt;/lastName&gt;&lt;/author&gt;&lt;author&gt;&lt;firstName&gt;Rinaldo&lt;/firstName&gt;&lt;lastName&gt;Bellomo&lt;/lastName&gt;&lt;/author&gt;&lt;/authors&gt;&lt;/publication&gt;&lt;publication&gt;&lt;uuid&gt;E2BB7A27-BA1E-432A-80F9-0926706200CD&lt;/uuid&gt;&lt;volume&gt;70&lt;/volume&gt;&lt;doi&gt;10.1016/j.resuscitation.2005.11.011&lt;/doi&gt;&lt;startpage&gt;66&lt;/startpage&gt;&lt;publication_date&gt;99200607001200000000220000&lt;/publication_date&gt;&lt;url&gt;http://www.ncbi.nlm.nih.gov/entrez/query.fcgi?cmd=Retrieve&amp;amp;db=PubMed&amp;amp;dopt=Citation&amp;amp;list_uids=16757089&lt;/url&gt;&lt;citekey&gt;Bell:2006gr&lt;/citekey&gt;&lt;type&gt;400&lt;/type&gt;&lt;title&gt;Prevalence and sensitivity of MET-criteria in a Scandinavian University Hospital.&lt;/title&gt;&lt;publisher&gt;Ireland&lt;/publisher&gt;&lt;institution&gt;Department of Anesthesiology and Intensive Care, Karolinska University Hospital Solna, S-171 76 Stockholm, Sweden.&lt;/institution&gt;&lt;number&gt;1&lt;/number&gt;&lt;subtype&gt;400&lt;/subtype&gt;&lt;endpage&gt;73&lt;/endpage&gt;&lt;bundle&gt;&lt;publication&gt;&lt;publisher&gt;Ireland&lt;/publisher&gt;&lt;title&gt;Resuscitation&lt;/title&gt;&lt;type&gt;-100&lt;/type&gt;&lt;subtype&gt;-100&lt;/subtype&gt;&lt;uuid&gt;1C5D3A50-24B2-4C5F-A100-2302ED87BF87&lt;/uuid&gt;&lt;/publication&gt;&lt;/bundle&gt;&lt;authors&gt;&lt;author&gt;&lt;firstName&gt;M&lt;/firstName&gt;&lt;middleNames&gt;B&lt;/middleNames&gt;&lt;lastName&gt;Bell&lt;/lastName&gt;&lt;/author&gt;&lt;author&gt;&lt;firstName&gt;D&lt;/firstName&gt;&lt;lastName&gt;Konrad&lt;/lastName&gt;&lt;/author&gt;&lt;author&gt;&lt;firstName&gt;F&lt;/firstName&gt;&lt;lastName&gt;Granath&lt;/lastName&gt;&lt;/author&gt;&lt;author&gt;&lt;firstName&gt;A&lt;/firstName&gt;&lt;lastName&gt;Ekbom&lt;/lastName&gt;&lt;/author&gt;&lt;author&gt;&lt;firstName&gt;C&lt;/firstName&gt;&lt;middleNames&gt;R&lt;/middleNames&gt;&lt;lastName&gt;Martling&lt;/lastName&gt;&lt;/author&gt;&lt;/authors&gt;&lt;/publication&gt;&lt;publication&gt;&lt;uuid&gt;AFF80403-E7FF-4715-88FC-9FB3DB571BC3&lt;/uuid&gt;&lt;volume&gt;32&lt;/volume&gt;&lt;startpage&gt;1654&lt;/startpage&gt;&lt;publication_date&gt;99200408001200000000220000&lt;/publication_date&gt;&lt;url&gt;http://www.ncbi.nlm.nih.gov/entrez/query.fcgi?cmd=Retrieve&amp;amp;db=PubMed&amp;amp;dopt=Citation&amp;amp;list_uids=15286540&lt;/url&gt;&lt;type&gt;400&lt;/type&gt;&lt;title&gt;Survival of critically ill patients hospitalized in and out of intensive care units under paucity of intensive care unit beds.&lt;/title&gt;&lt;publisher&gt;United States&lt;/publisher&gt;&lt;institution&gt;Department of Health Services Research, Ministry of Health, Jerusalem, Israel.&lt;/institution&gt;&lt;number&gt;8&lt;/number&gt;&lt;subtype&gt;400&lt;/subtype&gt;&lt;endpage&gt;1661&lt;/endpage&gt;&lt;bundle&gt;&lt;publication&gt;&lt;publisher&gt;United States&lt;/publisher&gt;&lt;title&gt;Crit Care Med&lt;/title&gt;&lt;type&gt;-100&lt;/type&gt;&lt;subtype&gt;-100&lt;/subtype&gt;&lt;uuid&gt;118B9DFB-B782-44E2-9A4F-6E695BC69D0B&lt;/uuid&gt;&lt;/publication&gt;&lt;/bundle&gt;&lt;authors&gt;&lt;author&gt;&lt;firstName&gt;E&lt;/firstName&gt;&lt;lastName&gt;Simchen&lt;/lastName&gt;&lt;/author&gt;&lt;author&gt;&lt;firstName&gt;C&lt;/firstName&gt;&lt;middleNames&gt;L&lt;/middleNames&gt;&lt;lastName&gt;Sprung&lt;/lastName&gt;&lt;/author&gt;&lt;author&gt;&lt;firstName&gt;N&lt;/firstName&gt;&lt;lastName&gt;Galai&lt;/lastName&gt;&lt;/author&gt;&lt;author&gt;&lt;firstName&gt;Y&lt;/firstName&gt;&lt;lastName&gt;Zitser-Gurevich&lt;/lastName&gt;&lt;/author&gt;&lt;author&gt;&lt;firstName&gt;Y&lt;/firstName&gt;&lt;lastName&gt;Bar-Lavi&lt;/lastName&gt;&lt;/author&gt;&lt;author&gt;&lt;firstName&gt;G&lt;/firstName&gt;&lt;lastName&gt;Gurman&lt;/lastName&gt;&lt;/author&gt;&lt;author&gt;&lt;firstName&gt;M&lt;/firstName&gt;&lt;lastName&gt;Klein&lt;/lastName&gt;&lt;/author&gt;&lt;author&gt;&lt;firstName&gt;A&lt;/firstName&gt;&lt;lastName&gt;Lev&lt;/lastName&gt;&lt;/author&gt;&lt;author&gt;&lt;firstName&gt;L&lt;/firstName&gt;&lt;lastName&gt;Levi&lt;/lastName&gt;&lt;/author&gt;&lt;author&gt;&lt;firstName&gt;F&lt;/firstName&gt;&lt;lastName&gt;Zveibil&lt;/lastName&gt;&lt;/author&gt;&lt;author&gt;&lt;firstName&gt;M&lt;/firstName&gt;&lt;lastName&gt;Mandel&lt;/lastName&gt;&lt;/author&gt;&lt;author&gt;&lt;firstName&gt;G&lt;/firstName&gt;&lt;lastName&gt;Mnatzaganian&lt;/lastName&gt;&lt;/author&gt;&lt;/authors&gt;&lt;/publication&gt;&lt;/publications&gt;&lt;cites&gt;&lt;/cites&gt;&lt;/citation&gt;</w:instrText>
      </w:r>
      <w:r w:rsidR="00027B13">
        <w:fldChar w:fldCharType="separate"/>
      </w:r>
      <w:r w:rsidR="00027B13">
        <w:rPr>
          <w:rFonts w:cs="Charter"/>
          <w:lang w:val="en-US"/>
        </w:rPr>
        <w:t>[21-23]</w:t>
      </w:r>
      <w:r w:rsidR="00027B13">
        <w:fldChar w:fldCharType="end"/>
      </w:r>
    </w:p>
    <w:p w14:paraId="748F34C4" w14:textId="77777777" w:rsidR="00815662" w:rsidRDefault="00252D02">
      <w:r>
        <w:t>Despite our smaller and presumably more selected population, the mortality we observe is similar — although direct comparisons remain</w:t>
      </w:r>
      <w:r>
        <w:t xml:space="preserve"> difficult because the reporting metrics differ (hospital mortality versus 30-day survival). For additional context, it is worth comparing the overall 61% one year survival for the ward patients referred to critical care to that for UK patients diagnosed w</w:t>
      </w:r>
      <w:r>
        <w:t>ith lung (30%), colorectal (75%) and breast cancer (95%).</w:t>
      </w:r>
      <w:r w:rsidR="00027B13">
        <w:fldChar w:fldCharType="begin"/>
      </w:r>
      <w:r w:rsidR="00027B13">
        <w:instrText xml:space="preserve"> ADDIN PAPERS2_CITATIONS &lt;citation&gt;&lt;uuid&gt;8296DAB2-E76B-463B-A24D-24831B422B60&lt;/uuid&gt;&lt;priority&gt;15&lt;/priority&gt;&lt;publications&gt;&lt;publication&gt;&lt;uuid&gt;3ED76A6D-DBD5-4417-BB8E-EDF71E8C72FB&lt;/uuid&gt;&lt;volume&gt;377&lt;/volume&gt;&lt;doi&gt;10.1016/S0140-6736(10)62231-3&lt;/doi&gt;&lt;startpage&gt;127&lt;/startpage&gt;&lt;publication_date&gt;99201101081200000000222000&lt;/publication_date&gt;&lt;url&gt;http://linkinghub.elsevier.com/retrieve/pii/S0140673610622313&lt;/url&gt;&lt;citekey&gt;Coleman:2011ip&lt;/citekey&gt;&lt;type&gt;400&lt;/type&gt;&lt;title&gt;Cancer survival in Australia, Canada, Denmark, Norway, Sweden, and the UK, 1995-2007 (the International Cancer Benchmarking Partnership): an analysis of population-based cancer registry data.&lt;/title&gt;&lt;institution&gt;Cancer Research UK Cancer Survival Group, London School of Hygiene and Tropical Medicine, London, UK. michel.coleman@lshtm.ac.uk&lt;/institution&gt;&lt;number&gt;9760&lt;/number&gt;&lt;subtype&gt;400&lt;/subtype&gt;&lt;endpage&gt;138&lt;/endpage&gt;&lt;bundle&gt;&lt;publication&gt;&lt;publisher&gt;ENGLAND&lt;/publisher&gt;&lt;title&gt;Lancet&lt;/title&gt;&lt;type&gt;-100&lt;/type&gt;&lt;subtype&gt;-100&lt;/subtype&gt;&lt;uuid&gt;BC6B09C4-77AE-466F-B6D0-FA067A2C5DFF&lt;/uuid&gt;&lt;/publication&gt;&lt;/bundle&gt;&lt;authors&gt;&lt;author&gt;&lt;firstName&gt;M&lt;/firstName&gt;&lt;middleNames&gt;P&lt;/middleNames&gt;&lt;lastName&gt;Coleman&lt;/lastName&gt;&lt;/author&gt;&lt;author&gt;&lt;firstName&gt;D&lt;/firstName&gt;&lt;lastName&gt;Forman&lt;/lastName&gt;&lt;/author&gt;&lt;author&gt;&lt;firstName&gt;H&lt;/firstName&gt;&lt;lastName&gt;Bryant&lt;/lastName&gt;&lt;/author&gt;&lt;author&gt;&lt;firstName&gt;J&lt;/firstName&gt;&lt;lastName&gt;Butler&lt;/lastName&gt;&lt;/author&gt;&lt;author&gt;&lt;firstName&gt;B&lt;/firstName&gt;&lt;lastName&gt;Rachet&lt;/lastName&gt;&lt;/author&gt;&lt;author&gt;&lt;firstName&gt;C&lt;/firstName&gt;&lt;lastName&gt;Maringe&lt;/lastName&gt;&lt;/author&gt;&lt;author&gt;&lt;firstName&gt;U&lt;/firstName&gt;&lt;lastName&gt;Nur&lt;/lastName&gt;&lt;/author&gt;&lt;author&gt;&lt;firstName&gt;E&lt;/firstName&gt;&lt;lastName&gt;Tracey&lt;/lastName&gt;&lt;/author&gt;&lt;author&gt;&lt;firstName&gt;M&lt;/firstName&gt;&lt;lastName&gt;Coory&lt;/lastName&gt;&lt;/author&gt;&lt;author&gt;&lt;firstName&gt;J&lt;/firstName&gt;&lt;lastName&gt;Hatcher&lt;/lastName&gt;&lt;/author&gt;&lt;author&gt;&lt;firstName&gt;C&lt;/firstName&gt;&lt;middleNames&gt;E&lt;/middleNames&gt;&lt;lastName&gt;McGahan&lt;/lastName&gt;&lt;/author&gt;&lt;author&gt;&lt;firstName&gt;D&lt;/firstName&gt;&lt;lastName&gt;Turner&lt;/lastName&gt;&lt;/author&gt;&lt;author&gt;&lt;firstName&gt;L&lt;/firstName&gt;&lt;lastName&gt;Marrett&lt;/lastName&gt;&lt;/author&gt;&lt;author&gt;&lt;firstName&gt;M&lt;/firstName&gt;&lt;middleNames&gt;L&lt;/middleNames&gt;&lt;lastName&gt;Gjerstorff&lt;/lastName&gt;&lt;/author&gt;&lt;author&gt;&lt;firstName&gt;T&lt;/firstName&gt;&lt;middleNames&gt;B&lt;/middleNames&gt;&lt;lastName&gt;Johannesen&lt;/lastName&gt;&lt;/author&gt;&lt;author&gt;&lt;firstName&gt;J&lt;/firstName&gt;&lt;lastName&gt;Adolfsson&lt;/lastName&gt;&lt;/author&gt;&lt;author&gt;&lt;firstName&gt;M&lt;/firstName&gt;&lt;lastName&gt;Lambe&lt;/lastName&gt;&lt;/author&gt;&lt;author&gt;&lt;firstName&gt;G&lt;/firstName&gt;&lt;lastName&gt;Lawrence&lt;/lastName&gt;&lt;/author&gt;&lt;author&gt;&lt;firstName&gt;D&lt;/firstName&gt;&lt;lastName&gt;Meechan&lt;/lastName&gt;&lt;/author&gt;&lt;author&gt;&lt;firstName&gt;E&lt;/firstName&gt;&lt;middleNames&gt;J&lt;/middleNames&gt;&lt;lastName&gt;Morris&lt;/lastName&gt;&lt;/author&gt;&lt;author&gt;&lt;firstName&gt;R&lt;/firstName&gt;&lt;lastName&gt;Middleton&lt;/lastName&gt;&lt;/author&gt;&lt;author&gt;&lt;firstName&gt;J&lt;/firstName&gt;&lt;lastName&gt;Steward&lt;/lastName&gt;&lt;/author&gt;&lt;author&gt;&lt;firstName&gt;M&lt;/firstName&gt;&lt;middleNames&gt;A&lt;/middleNames&gt;&lt;lastName&gt;Richards&lt;/lastName&gt;&lt;/author&gt;&lt;author&gt;&lt;lastName&gt;ICBP Module 1 Working Group&lt;/lastName&gt;&lt;/author&gt;&lt;/authors&gt;&lt;/publication&gt;&lt;/publications&gt;&lt;cites&gt;&lt;/cites&gt;&lt;/citation&gt;</w:instrText>
      </w:r>
      <w:r w:rsidR="00027B13">
        <w:fldChar w:fldCharType="separate"/>
      </w:r>
      <w:r w:rsidR="00027B13">
        <w:rPr>
          <w:rFonts w:cs="Charter"/>
          <w:lang w:val="en-US"/>
        </w:rPr>
        <w:t>[24]</w:t>
      </w:r>
      <w:r w:rsidR="00027B13">
        <w:fldChar w:fldCharType="end"/>
      </w:r>
    </w:p>
    <w:p w14:paraId="34E839E4" w14:textId="77777777" w:rsidR="00815662" w:rsidRDefault="00252D02">
      <w:r>
        <w:t>Finally, while critical care occupancy rates in the UK vastly exceed those seen in a recent report from the US Veteran’s Affairs hospitals, they are not dissimilar to those in Franc</w:t>
      </w:r>
      <w:r>
        <w:t>e or Canada.</w:t>
      </w:r>
      <w:r w:rsidR="00027B13">
        <w:t xml:space="preserve"> </w:t>
      </w:r>
      <w:r w:rsidR="00027B13">
        <w:fldChar w:fldCharType="begin"/>
      </w:r>
      <w:r w:rsidR="00027B13">
        <w:instrText xml:space="preserve"> ADDIN PAPERS2_CITATIONS &lt;citation&gt;&lt;uuid&gt;1ECD78EE-02B9-4F48-8064-BE522C0D4ABA&lt;/uuid&gt;&lt;priority&gt;16&lt;/priority&gt;&lt;publications&gt;&lt;publication&gt;&lt;uuid&gt;4656359E-AB8D-4D4E-AE5A-F4D0A6CCED10&lt;/uuid&gt;&lt;volume&gt;172&lt;/volume&gt;&lt;doi&gt;10.1001/archinternmed.2012.2606&lt;/doi&gt;&lt;startpage&gt;1220&lt;/startpage&gt;&lt;publication_date&gt;99201209101200000000222000&lt;/publication_date&gt;&lt;url&gt;http://www.ncbi.nlm.nih.gov/entrez/query.fcgi?cmd=Retrieve&amp;amp;db=PubMed&amp;amp;dopt=Citation&amp;amp;list_uids=22825806&lt;/url&gt;&lt;type&gt;400&lt;/type&gt;&lt;title&gt;Intensive care unit admitting patterns in the Veterans Affairs health care system.&lt;/title&gt;&lt;publisher&gt;United States&lt;/publisher&gt;&lt;institution&gt;Veterans Affairs Health Services Research and Development Center of Excellence, Veterans Affairs Ann Arbor Healthcare System, Michigan, USA. lenac@umich.edu&lt;/institution&gt;&lt;number&gt;16&lt;/number&gt;&lt;subtype&gt;400&lt;/subtype&gt;&lt;endpage&gt;1226&lt;/endpage&gt;&lt;bundle&gt;&lt;publication&gt;&lt;publisher&gt;United States&lt;/publisher&gt;&lt;title&gt;Arch Intern Med&lt;/title&gt;&lt;type&gt;-100&lt;/type&gt;&lt;subtype&gt;-100&lt;/subtype&gt;&lt;uuid&gt;EDC53D42-AEC8-4E3D-8AD9-C7FA0AD66794&lt;/uuid&gt;&lt;/publication&gt;&lt;/bundle&gt;&lt;authors&gt;&lt;author&gt;&lt;firstName&gt;L&lt;/firstName&gt;&lt;middleNames&gt;M&lt;/middleNames&gt;&lt;lastName&gt;Chen&lt;/lastName&gt;&lt;/author&gt;&lt;author&gt;&lt;firstName&gt;M&lt;/firstName&gt;&lt;lastName&gt;Render&lt;/lastName&gt;&lt;/author&gt;&lt;author&gt;&lt;firstName&gt;A&lt;/firstName&gt;&lt;lastName&gt;Sales&lt;/lastName&gt;&lt;/author&gt;&lt;author&gt;&lt;firstName&gt;E&lt;/firstName&gt;&lt;middleNames&gt;H&lt;/middleNames&gt;&lt;lastName&gt;Kennedy&lt;/lastName&gt;&lt;/author&gt;&lt;author&gt;&lt;firstName&gt;W&lt;/firstName&gt;&lt;lastName&gt;Wiitala&lt;/lastName&gt;&lt;/author&gt;&lt;author&gt;&lt;firstName&gt;T&lt;/firstName&gt;&lt;middleNames&gt;P&lt;/middleNames&gt;&lt;lastName&gt;Hofer&lt;/lastName&gt;&lt;/author&gt;&lt;/authors&gt;&lt;/publication&gt;&lt;publication&gt;&lt;uuid&gt;A0B8D4C6-2921-4F22-83B3-22A9BC897EA6&lt;/uuid&gt;&lt;volume&gt;172&lt;/volume&gt;&lt;doi&gt;10.1001/archinternmed.2011.2315&lt;/doi&gt;&lt;startpage&gt;467&lt;/startpage&gt;&lt;publication_date&gt;99201203261200000000222000&lt;/publication_date&gt;&lt;url&gt;http://www.ncbi.nlm.nih.gov/entrez/query.fcgi?cmd=Retrieve&amp;amp;db=PubMed&amp;amp;dopt=Citation&amp;amp;list_uids=22412076&lt;/url&gt;&lt;citekey&gt;Stelfox:2012iy&lt;/citekey&gt;&lt;type&gt;400&lt;/type&gt;&lt;title&gt;Intensive Care Unit Bed Availability and Outcomes for Hospitalized Patients With Sudden Clinical Deterioration.&lt;/title&gt;&lt;publisher&gt;United States&lt;/publisher&gt;&lt;institution&gt;Department of Critical Care Medicine, University of Calgary, Teaching, Research and Wellness Building, 3280 Hospital Dr NW, Calgary, AB, Canada. tstelfox@ucalgary.ca&lt;/institution&gt;&lt;number&gt;6&lt;/number&gt;&lt;subtype&gt;400&lt;/subtype&gt;&lt;endpage&gt;474&lt;/endpage&gt;&lt;bundle&gt;&lt;publication&gt;&lt;publisher&gt;United States&lt;/publisher&gt;&lt;title&gt;Arch Intern Med&lt;/title&gt;&lt;type&gt;-100&lt;/type&gt;&lt;subtype&gt;-100&lt;/subtype&gt;&lt;uuid&gt;EDC53D42-AEC8-4E3D-8AD9-C7FA0AD66794&lt;/uuid&gt;&lt;/publication&gt;&lt;/bundle&gt;&lt;authors&gt;&lt;author&gt;&lt;firstName&gt;H&lt;/firstName&gt;&lt;middleNames&gt;T&lt;/middleNames&gt;&lt;lastName&gt;Stelfox&lt;/lastName&gt;&lt;/author&gt;&lt;author&gt;&lt;firstName&gt;B&lt;/firstName&gt;&lt;middleNames&gt;R&lt;/middleNames&gt;&lt;lastName&gt;Hemmelgarn&lt;/lastName&gt;&lt;/author&gt;&lt;author&gt;&lt;firstName&gt;S&lt;/firstName&gt;&lt;middleNames&gt;M&lt;/middleNames&gt;&lt;lastName&gt;Bagshaw&lt;/lastName&gt;&lt;/author&gt;&lt;author&gt;&lt;firstName&gt;S&lt;/firstName&gt;&lt;lastName&gt;Gao&lt;/lastName&gt;&lt;/author&gt;&lt;author&gt;&lt;firstName&gt;C&lt;/firstName&gt;&lt;middleNames&gt;J&lt;/middleNames&gt;&lt;lastName&gt;Doig&lt;/lastName&gt;&lt;/author&gt;&lt;author&gt;&lt;firstName&gt;C&lt;/firstName&gt;&lt;lastName&gt;Nijssen-Jordan&lt;/lastName&gt;&lt;/author&gt;&lt;author&gt;&lt;firstName&gt;B&lt;/firstName&gt;&lt;lastName&gt;Manns&lt;/lastName&gt;&lt;/author&gt;&lt;/authors&gt;&lt;/publication&gt;&lt;publication&gt;&lt;uuid&gt;B0470926-0BA5-4E63-A153-A5D215F88A52&lt;/uuid&gt;&lt;volume&gt;185&lt;/volume&gt;&lt;doi&gt;10.1164/rccm.201104-0729OC&lt;/doi&gt;&lt;startpage&gt;1081&lt;/startpage&gt;&lt;publication_date&gt;99201205151200000000222000&lt;/publication_date&gt;&lt;url&gt;http://www.ncbi.nlm.nih.gov/entrez/query.fcgi?cmd=Retrieve&amp;amp;db=PubMed&amp;amp;dopt=Citation&amp;amp;list_uids=22345582&lt;/url&gt;&lt;citekey&gt;Robert:2012ep&lt;/citekey&gt;&lt;type&gt;400&lt;/type&gt;&lt;title&gt;Refusal of intensive care unit admission due to a full unit: impact on mortality.&lt;/title&gt;&lt;publisher&gt;United States&lt;/publisher&gt;&lt;institution&gt;Service de Reanimation Medicale, Hopital Jean Bernard, CHU Poitiers, 86021 Poitiers Cedex France. r.robert@chu-poitiers.fr&lt;/institution&gt;&lt;number&gt;10&lt;/number&gt;&lt;subtype&gt;400&lt;/subtype&gt;&lt;endpage&gt;1087&lt;/endpage&gt;&lt;bundle&gt;&lt;publication&gt;&lt;publisher&gt;United States&lt;/publisher&gt;&lt;title&gt;American Journal of Respiratory and Critical Care Medicine&lt;/title&gt;&lt;type&gt;-100&lt;/type&gt;&lt;subtype&gt;-100&lt;/subtype&gt;&lt;uuid&gt;C7FD63CD-137F-44BD-84C6-F476C6FB6572&lt;/uuid&gt;&lt;/publication&gt;&lt;/bundle&gt;&lt;authors&gt;&lt;author&gt;&lt;firstName&gt;R&lt;/firstName&gt;&lt;lastName&gt;Robert&lt;/lastName&gt;&lt;/author&gt;&lt;author&gt;&lt;firstName&gt;J&lt;/firstName&gt;&lt;lastName&gt;Reignier&lt;/lastName&gt;&lt;/author&gt;&lt;author&gt;&lt;firstName&gt;C&lt;/firstName&gt;&lt;lastName&gt;Tournoux-Facon&lt;/lastName&gt;&lt;/author&gt;&lt;author&gt;&lt;firstName&gt;T&lt;/firstName&gt;&lt;lastName&gt;Boulain&lt;/lastName&gt;&lt;/author&gt;&lt;author&gt;&lt;firstName&gt;O&lt;/firstName&gt;&lt;lastName&gt;Lesieur&lt;/lastName&gt;&lt;/author&gt;&lt;author&gt;&lt;firstName&gt;V&lt;/firstName&gt;&lt;lastName&gt;Gissot&lt;/lastName&gt;&lt;/author&gt;&lt;author&gt;&lt;firstName&gt;V&lt;/firstName&gt;&lt;lastName&gt;Souday&lt;/lastName&gt;&lt;/author&gt;&lt;author&gt;&lt;firstName&gt;M&lt;/firstName&gt;&lt;lastName&gt;Hamrouni&lt;/lastName&gt;&lt;/author&gt;&lt;author&gt;&lt;firstName&gt;C&lt;/firstName&gt;&lt;lastName&gt;Chapon&lt;/lastName&gt;&lt;/author&gt;&lt;author&gt;&lt;firstName&gt;J&lt;/firstName&gt;&lt;middleNames&gt;P&lt;/middleNames&gt;&lt;lastName&gt;Gouello&lt;/lastName&gt;&lt;/author&gt;&lt;/authors&gt;&lt;/publication&gt;&lt;/publications&gt;&lt;cites&gt;&lt;/cites&gt;&lt;/citation&gt;</w:instrText>
      </w:r>
      <w:r w:rsidR="00027B13">
        <w:fldChar w:fldCharType="separate"/>
      </w:r>
      <w:r w:rsidR="00027B13">
        <w:rPr>
          <w:rFonts w:cs="Charter"/>
          <w:lang w:val="en-US"/>
        </w:rPr>
        <w:t>[5-7]</w:t>
      </w:r>
      <w:r w:rsidR="00027B13">
        <w:fldChar w:fldCharType="end"/>
      </w:r>
      <w:r>
        <w:t xml:space="preserve"> However, since our delay to admission is markedly worse than these studies (between 1 and 5 hours for direct and indirect admissions versus 2 and 12 hours in this study), it is possible that the c</w:t>
      </w:r>
      <w:r>
        <w:t>onsequences of occupancy also vary. Delayed discharges because of lack of inpatient ward capacity are increasingly common in the NHS, and present a more significant impediment to ICU admission than a unit that chooses to defer discharge until the need aris</w:t>
      </w:r>
      <w:r>
        <w:t>es but has no problem doing so when required.</w:t>
      </w:r>
    </w:p>
    <w:p w14:paraId="4C01AEE1" w14:textId="77777777" w:rsidR="00815662" w:rsidRDefault="00252D02">
      <w:pPr>
        <w:pStyle w:val="Heading2"/>
      </w:pPr>
      <w:bookmarkStart w:id="29" w:name="strengths-and-limitations"/>
      <w:bookmarkEnd w:id="29"/>
      <w:r>
        <w:t>Strengths and limitations</w:t>
      </w:r>
    </w:p>
    <w:p w14:paraId="779EB96A" w14:textId="77777777" w:rsidR="00815662" w:rsidRDefault="00252D02">
      <w:r>
        <w:t xml:space="preserve">This is the largest prospective study of deteriorating ward patients to date. The hospitals contributing are representative of the full spectrum of those in the NHS. Most importantly, </w:t>
      </w:r>
      <w:r>
        <w:t>we have followed up all patients referred to critical care rather than just the subset offered admission.</w:t>
      </w:r>
      <w:r w:rsidR="00027B13">
        <w:t xml:space="preserve"> </w:t>
      </w:r>
      <w:r w:rsidR="00027B13">
        <w:fldChar w:fldCharType="begin"/>
      </w:r>
      <w:r w:rsidR="00027B13">
        <w:instrText xml:space="preserve"> ADDIN PAPERS2_CITATIONS &lt;citation&gt;&lt;uuid&gt;761214DE-67AB-4A83-88C8-82925CDA6172&lt;/uuid&gt;&lt;priority&gt;17&lt;/priority&gt;&lt;publications&gt;&lt;publication&gt;&lt;uuid&gt;906345D6-278C-424A-927B-2D9EB3F1F9AC&lt;/uuid&gt;&lt;volume&gt;16&lt;/volume&gt;&lt;doi&gt;10.1186/cc11650&lt;/doi&gt;&lt;startpage&gt;R173&lt;/startpage&gt;&lt;publication_date&gt;99201200001200000000200000&lt;/publication_date&gt;&lt;url&gt;http://www.ncbi.nlm.nih.gov/entrez/query.fcgi?cmd=Retrieve&amp;amp;db=PubMed&amp;amp;dopt=Citation&amp;amp;list_uids=23025890&lt;/url&gt;&lt;citekey&gt;OCallaghan:2012da&lt;/citekey&gt;&lt;type&gt;400&lt;/type&gt;&lt;title&gt;An observational study to determine the effect of delayed admission to the intensive care unit on patient outcome.&lt;/title&gt;&lt;publisher&gt;England&lt;/publisher&gt;&lt;institution&gt;Section of Anaesthetics, Pain Medicine and Intensive Care, Imperial College London, Chelsea and Westminster Hospital Campus, 369 Fulham Road, London SW10 9NH, UK. anthony.gordon@imperial.ac.uk.&lt;/institution&gt;&lt;number&gt;5&lt;/number&gt;&lt;subtype&gt;400&lt;/subtype&gt;&lt;bundle&gt;&lt;publication&gt;&lt;publisher&gt;England&lt;/publisher&gt;&lt;title&gt;Crit Care&lt;/title&gt;&lt;type&gt;-100&lt;/type&gt;&lt;subtype&gt;-100&lt;/subtype&gt;&lt;uuid&gt;0C49589A-B7CA-4635-ABAF-E844C1E102A1&lt;/uuid&gt;&lt;/publication&gt;&lt;/bundle&gt;&lt;authors&gt;&lt;author&gt;&lt;firstName&gt;D&lt;/firstName&gt;&lt;middleNames&gt;J&lt;/middleNames&gt;&lt;lastName&gt;O'Callaghan&lt;/lastName&gt;&lt;/author&gt;&lt;author&gt;&lt;firstName&gt;P&lt;/firstName&gt;&lt;lastName&gt;Jayia&lt;/lastName&gt;&lt;/author&gt;&lt;author&gt;&lt;firstName&gt;E&lt;/firstName&gt;&lt;lastName&gt;Vaughan-Huxley&lt;/lastName&gt;&lt;/author&gt;&lt;author&gt;&lt;firstName&gt;M&lt;/firstName&gt;&lt;lastName&gt;Gribbon&lt;/lastName&gt;&lt;/author&gt;&lt;author&gt;&lt;firstName&gt;M&lt;/firstName&gt;&lt;lastName&gt;Templeton&lt;/lastName&gt;&lt;/author&gt;&lt;author&gt;&lt;firstName&gt;J&lt;/firstName&gt;&lt;middleNames&gt;R&lt;/middleNames&gt;&lt;lastName&gt;Skipworth&lt;/lastName&gt;&lt;/author&gt;&lt;author&gt;&lt;firstName&gt;A&lt;/firstName&gt;&lt;middleNames&gt;C&lt;/middleNames&gt;&lt;lastName&gt;Gordon&lt;/lastName&gt;&lt;/author&gt;&lt;/authors&gt;&lt;/publication&gt;&lt;/publications&gt;&lt;cites&gt;&lt;/cites&gt;&lt;/citation&gt;</w:instrText>
      </w:r>
      <w:r w:rsidR="00027B13">
        <w:fldChar w:fldCharType="separate"/>
      </w:r>
      <w:r w:rsidR="00027B13">
        <w:rPr>
          <w:rFonts w:cs="Charter"/>
          <w:lang w:val="en-US"/>
        </w:rPr>
        <w:t>[25]</w:t>
      </w:r>
      <w:r w:rsidR="00027B13">
        <w:fldChar w:fldCharType="end"/>
      </w:r>
    </w:p>
    <w:p w14:paraId="1F3C02E2" w14:textId="77777777" w:rsidR="00815662" w:rsidRDefault="00252D02">
      <w:r>
        <w:t>This ‘denominator’ data allows us to examine the demand for critical care arising from inpatient work. Critical care is normally j</w:t>
      </w:r>
      <w:r>
        <w:t xml:space="preserve">udged based on the patients it admits, but here we can see the wider context, and the ongoing triage of an at-risk population. Crucially, follow-up of all patients assessed generates the control group that enables us to understand the consequences of this </w:t>
      </w:r>
      <w:r>
        <w:t>triage process. With two notable exceptions</w:t>
      </w:r>
      <w:r w:rsidR="00027B13">
        <w:fldChar w:fldCharType="begin"/>
      </w:r>
      <w:r w:rsidR="00027B13">
        <w:instrText xml:space="preserve"> ADDIN PAPERS2_CITATIONS &lt;citation&gt;&lt;uuid&gt;4B0618C1-1621-4432-A3A7-89183C4CC1A9&lt;/uuid&gt;&lt;priority&gt;18&lt;/priority&gt;&lt;publications&gt;&lt;publication&gt;&lt;uuid&gt;A0B8D4C6-2921-4F22-83B3-22A9BC897EA6&lt;/uuid&gt;&lt;volume&gt;172&lt;/volume&gt;&lt;doi&gt;10.1001/archinternmed.2011.2315&lt;/doi&gt;&lt;startpage&gt;467&lt;/startpage&gt;&lt;publication_date&gt;99201203261200000000222000&lt;/publication_date&gt;&lt;url&gt;http://www.ncbi.nlm.nih.gov/entrez/query.fcgi?cmd=Retrieve&amp;amp;db=PubMed&amp;amp;dopt=Citation&amp;amp;list_uids=22412076&lt;/url&gt;&lt;citekey&gt;Stelfox:2012iy&lt;/citekey&gt;&lt;type&gt;400&lt;/type&gt;&lt;title&gt;Intensive Care Unit Bed Availability and Outcomes for Hospitalized Patients With Sudden Clinical Deterioration.&lt;/title&gt;&lt;publisher&gt;United States&lt;/publisher&gt;&lt;institution&gt;Department of Critical Care Medicine, University of Calgary, Teaching, Research and Wellness Building, 3280 Hospital Dr NW, Calgary, AB, Canada. tstelfox@ucalgary.ca&lt;/institution&gt;&lt;number&gt;6&lt;/number&gt;&lt;subtype&gt;400&lt;/subtype&gt;&lt;endpage&gt;474&lt;/endpage&gt;&lt;bundle&gt;&lt;publication&gt;&lt;publisher&gt;United States&lt;/publisher&gt;&lt;title&gt;Arch Intern Med&lt;/title&gt;&lt;type&gt;-100&lt;/type&gt;&lt;subtype&gt;-100&lt;/subtype&gt;&lt;uuid&gt;EDC53D42-AEC8-4E3D-8AD9-C7FA0AD66794&lt;/uuid&gt;&lt;/publication&gt;&lt;/bundle&gt;&lt;authors&gt;&lt;author&gt;&lt;firstName&gt;H&lt;/firstName&gt;&lt;middleNames&gt;T&lt;/middleNames&gt;&lt;lastName&gt;Stelfox&lt;/lastName&gt;&lt;/author&gt;&lt;author&gt;&lt;firstName&gt;B&lt;/firstName&gt;&lt;middleNames&gt;R&lt;/middleNames&gt;&lt;lastName&gt;Hemmelgarn&lt;/lastName&gt;&lt;/author&gt;&lt;author&gt;&lt;firstName&gt;S&lt;/firstName&gt;&lt;middleNames&gt;M&lt;/middleNames&gt;&lt;lastName&gt;Bagshaw&lt;/lastName&gt;&lt;/author&gt;&lt;author&gt;&lt;firstName&gt;S&lt;/firstName&gt;&lt;lastName&gt;Gao&lt;/lastName&gt;&lt;/author&gt;&lt;author&gt;&lt;firstName&gt;C&lt;/firstName&gt;&lt;middleNames&gt;J&lt;/middleNames&gt;&lt;lastName&gt;Doig&lt;/lastName&gt;&lt;/author&gt;&lt;author&gt;&lt;firstName&gt;C&lt;/firstName&gt;&lt;lastName&gt;Nijssen-Jordan&lt;/lastName&gt;&lt;/author&gt;&lt;author&gt;&lt;firstName&gt;B&lt;/firstName&gt;&lt;lastName&gt;Manns&lt;/lastName&gt;&lt;/author&gt;&lt;/authors&gt;&lt;/publication&gt;&lt;publication&gt;&lt;uuid&gt;B0470926-0BA5-4E63-A153-A5D215F88A52&lt;/uuid&gt;&lt;volume&gt;185&lt;/volume&gt;&lt;doi&gt;10.1164/rccm.201104-0729OC&lt;/doi&gt;&lt;startpage&gt;1081&lt;/startpage&gt;&lt;publication_date&gt;99201205151200000000222000&lt;/publication_date&gt;&lt;url&gt;http://www.ncbi.nlm.nih.gov/entrez/query.fcgi?cmd=Retrieve&amp;amp;db=PubMed&amp;amp;dopt=Citation&amp;amp;list_uids=22345582&lt;/url&gt;&lt;citekey&gt;Robert:2012ep&lt;/citekey&gt;&lt;type&gt;400&lt;/type&gt;&lt;title&gt;Refusal of intensive care unit admission due to a full unit: impact on mortality.&lt;/title&gt;&lt;publisher&gt;United States&lt;/publisher&gt;&lt;institution&gt;Service de Reanimation Medicale, Hopital Jean Bernard, CHU Poitiers, 86021 Poitiers Cedex France. r.robert@chu-poitiers.fr&lt;/institution&gt;&lt;number&gt;10&lt;/number&gt;&lt;subtype&gt;400&lt;/subtype&gt;&lt;endpage&gt;1087&lt;/endpage&gt;&lt;bundle&gt;&lt;publication&gt;&lt;publisher&gt;United States&lt;/publisher&gt;&lt;title&gt;American Journal of Respiratory and Critical Care Medicine&lt;/title&gt;&lt;type&gt;-100&lt;/type&gt;&lt;subtype&gt;-100&lt;/subtype&gt;&lt;uuid&gt;C7FD63CD-137F-44BD-84C6-F476C6FB6572&lt;/uuid&gt;&lt;/publication&gt;&lt;/bundle&gt;&lt;authors&gt;&lt;author&gt;&lt;firstName&gt;R&lt;/firstName&gt;&lt;lastName&gt;Robert&lt;/lastName&gt;&lt;/author&gt;&lt;author&gt;&lt;firstName&gt;J&lt;/firstName&gt;&lt;lastName&gt;Reignier&lt;/lastName&gt;&lt;/author&gt;&lt;author&gt;&lt;firstName&gt;C&lt;/firstName&gt;&lt;lastName&gt;Tournoux-Facon&lt;/lastName&gt;&lt;/author&gt;&lt;author&gt;&lt;firstName&gt;T&lt;/firstName&gt;&lt;lastName&gt;Boulain&lt;/lastName&gt;&lt;/author&gt;&lt;author&gt;&lt;firstName&gt;O&lt;/firstName&gt;&lt;lastName&gt;Lesieur&lt;/lastName&gt;&lt;/author&gt;&lt;author&gt;&lt;firstName&gt;V&lt;/firstName&gt;&lt;lastName&gt;Gissot&lt;/lastName&gt;&lt;/author&gt;&lt;author&gt;&lt;firstName&gt;V&lt;/firstName&gt;&lt;lastName&gt;Souday&lt;/lastName&gt;&lt;/author&gt;&lt;author&gt;&lt;firstName&gt;M&lt;/firstName&gt;&lt;lastName&gt;Hamrouni&lt;/lastName&gt;&lt;/author&gt;&lt;author&gt;&lt;firstName&gt;C&lt;/firstName&gt;&lt;lastName&gt;Chapon&lt;/lastName&gt;&lt;/author&gt;&lt;author&gt;&lt;firstName&gt;J&lt;/firstName&gt;&lt;middleNames&gt;P&lt;/middleNames&gt;&lt;lastName&gt;Gouello&lt;/lastName&gt;&lt;/author&gt;&lt;/authors&gt;&lt;/publication&gt;&lt;/publications&gt;&lt;cites&gt;&lt;/cites&gt;&lt;/citation&gt;</w:instrText>
      </w:r>
      <w:r w:rsidR="00027B13">
        <w:fldChar w:fldCharType="separate"/>
      </w:r>
      <w:r w:rsidR="00027B13">
        <w:rPr>
          <w:rFonts w:cs="Charter"/>
          <w:lang w:val="en-US"/>
        </w:rPr>
        <w:t>[6,7]</w:t>
      </w:r>
      <w:r w:rsidR="00027B13">
        <w:fldChar w:fldCharType="end"/>
      </w:r>
      <w:r>
        <w:t>, most studies of ward patients referred to critical care only follow those eventually admitted. Evaluations of decision making are therefore limited to early versus late admission</w:t>
      </w:r>
      <w:r>
        <w:t>, and suffer from survival and exclusion bias. They cannot report on patients who die without critical care admission, or survive despite initial refusal. Our work demonstrates that such patients are numerous. In fact in the first week, even after excludin</w:t>
      </w:r>
      <w:r>
        <w:t>g patients with treatment limits, most deaths occur on the ward without critical care.</w:t>
      </w:r>
    </w:p>
    <w:p w14:paraId="5C4756D1" w14:textId="77777777" w:rsidR="00815662" w:rsidRDefault="00252D02">
      <w:r>
        <w:t>An additional strength has been our ability to link the precise time of the bedside assessment to the contemporaneous occupancy of the critical care unit. This has allow</w:t>
      </w:r>
      <w:r>
        <w:t>ed us to observe the pressures on decision makers, and the effect that limiting resources has on patient pathways.</w:t>
      </w:r>
    </w:p>
    <w:p w14:paraId="37DA6B0A" w14:textId="77777777" w:rsidR="00815662" w:rsidRDefault="00252D02">
      <w:r>
        <w:t>Finally, we have completed follow-up to one year. While mortality is substantial, it is predominantly an early problem thereby supporting the</w:t>
      </w:r>
      <w:r>
        <w:t xml:space="preserve"> concept of early intervention. In particular, our observation that one in four patients with a treatment limitation orders survive a year without critical care suggests a need for humility before refusing early intervention on the grounds of long term pro</w:t>
      </w:r>
      <w:r>
        <w:t>gnosis.</w:t>
      </w:r>
    </w:p>
    <w:p w14:paraId="514933AD" w14:textId="77777777" w:rsidR="00815662" w:rsidRDefault="00252D02">
      <w:r>
        <w:t xml:space="preserve">Some limitations also deserve highlighting. Firstly, we have used real time data collection in order to capture assessments and decisions. Despite limiting the data </w:t>
      </w:r>
      <w:r>
        <w:lastRenderedPageBreak/>
        <w:t>request, not all hospitals managed to submit complete data at all times.We used the</w:t>
      </w:r>
      <w:r>
        <w:t xml:space="preserve"> proportion of emergency ward admissions in the CMP successfully linked to the (SPOT)light database to define completeness. Reassuringly, we tested our findings by raising the threshold for judging data capture to 90% so that the median proportion of eligi</w:t>
      </w:r>
      <w:r>
        <w:t>ble admissions was 97%. We found no consistent difference in any result other than a fall in precision as the quality threshold increased, and the sample size inevitably fell.</w:t>
      </w:r>
    </w:p>
    <w:p w14:paraId="005053E9" w14:textId="77777777" w:rsidR="00815662" w:rsidRDefault="00252D02">
      <w:r>
        <w:t>The second weakness is structural rather than operational, and is that, in defin</w:t>
      </w:r>
      <w:r>
        <w:t>ing our population as those referred, we are blind to the process that leads to that referral. The literature typically names the ward monitoring process leading to referral as the afferent limb, and response of critical care to that referral as the effere</w:t>
      </w:r>
      <w:r>
        <w:t>nt limb of a rapid response system. There is clearly both an unobserved period of deterioration prior to referral for patients in the study, and an unobserved population that might have been referred. Both these afferent components are as valid targets for</w:t>
      </w:r>
      <w:r>
        <w:t xml:space="preserve"> intervention, as the observed efferent components of the pathway that we have discussed. However, observing the wider group of potential referrals would require a much briefer, narrower study.</w:t>
      </w:r>
      <w:r w:rsidR="00027B13">
        <w:t xml:space="preserve"> </w:t>
      </w:r>
      <w:r w:rsidR="00027B13">
        <w:fldChar w:fldCharType="begin"/>
      </w:r>
      <w:r w:rsidR="00027B13">
        <w:instrText xml:space="preserve"> ADDIN PAPERS2_CITATIONS &lt;citation&gt;&lt;uuid&gt;9491E217-3F54-45ED-91C8-98AEBED43355&lt;/uuid&gt;&lt;priority&gt;19&lt;/priority&gt;&lt;publications&gt;&lt;publication&gt;&lt;uuid&gt;36BB13C1-E031-4E6D-ADB0-BE06D85A73A8&lt;/uuid&gt;&lt;volume&gt;35&lt;/volume&gt;&lt;doi&gt;10.1097/01.CCM.0000253407.89594.15&lt;/doi&gt;&lt;startpage&gt;449&lt;/startpage&gt;&lt;publication_date&gt;99200702001200000000220000&lt;/publication_date&gt;&lt;url&gt;http://www.ncbi.nlm.nih.gov/entrez/query.fcgi?cmd=Retrieve&amp;amp;db=PubMed&amp;amp;dopt=Citation&amp;amp;list_uids=17167350&lt;/url&gt;&lt;citekey&gt;Simchen:2007bn&lt;/citekey&gt;&lt;type&gt;400&lt;/type&gt;&lt;title&gt;Survival of critically ill patients hospitalized in and out of intensive care.&lt;/title&gt;&lt;publisher&gt;United States&lt;/publisher&gt;&lt;institution&gt;Department of Health Services Research, Ministry of Health, Jerusalem, Israel. esimchen@vms.huji.ac.il&lt;/institution&gt;&lt;number&gt;2&lt;/number&gt;&lt;subtype&gt;400&lt;/subtype&gt;&lt;endpage&gt;457&lt;/endpage&gt;&lt;bundle&gt;&lt;publication&gt;&lt;publisher&gt;United States&lt;/publisher&gt;&lt;title&gt;Crit Care Med&lt;/title&gt;&lt;type&gt;-100&lt;/type&gt;&lt;subtype&gt;-100&lt;/subtype&gt;&lt;uuid&gt;118B9DFB-B782-44E2-9A4F-6E695BC69D0B&lt;/uuid&gt;&lt;/publication&gt;&lt;/bundle&gt;&lt;authors&gt;&lt;author&gt;&lt;firstName&gt;E&lt;/firstName&gt;&lt;lastName&gt;Simchen&lt;/lastName&gt;&lt;/author&gt;&lt;author&gt;&lt;firstName&gt;C&lt;/firstName&gt;&lt;middleNames&gt;L&lt;/middleNames&gt;&lt;lastName&gt;Sprung&lt;/lastName&gt;&lt;/author&gt;&lt;author&gt;&lt;firstName&gt;N&lt;/firstName&gt;&lt;lastName&gt;Galai&lt;/lastName&gt;&lt;/author&gt;&lt;author&gt;&lt;firstName&gt;Y&lt;/firstName&gt;&lt;lastName&gt;Zitser-Gurevich&lt;/lastName&gt;&lt;/author&gt;&lt;author&gt;&lt;firstName&gt;Y&lt;/firstName&gt;&lt;lastName&gt;Bar-Lavi&lt;/lastName&gt;&lt;/author&gt;&lt;author&gt;&lt;firstName&gt;L&lt;/firstName&gt;&lt;lastName&gt;Levi&lt;/lastName&gt;&lt;/author&gt;&lt;author&gt;&lt;firstName&gt;F&lt;/firstName&gt;&lt;lastName&gt;Zveibil&lt;/lastName&gt;&lt;/author&gt;&lt;author&gt;&lt;firstName&gt;M&lt;/firstName&gt;&lt;lastName&gt;Mandel&lt;/lastName&gt;&lt;/author&gt;&lt;author&gt;&lt;firstName&gt;G&lt;/firstName&gt;&lt;lastName&gt;Mnatzaganian&lt;/lastName&gt;&lt;/author&gt;&lt;author&gt;&lt;firstName&gt;N&lt;/firstName&gt;&lt;lastName&gt;Goldschmidt&lt;/lastName&gt;&lt;/author&gt;&lt;author&gt;&lt;firstName&gt;A&lt;/firstName&gt;&lt;lastName&gt;Ekka-Zohar&lt;/lastName&gt;&lt;/author&gt;&lt;author&gt;&lt;firstName&gt;I&lt;/firstName&gt;&lt;lastName&gt;Weiss-Salz&lt;/lastName&gt;&lt;/author&gt;&lt;/authors&gt;&lt;/publication&gt;&lt;/publications&gt;&lt;cites&gt;&lt;/cites&gt;&lt;/citation&gt;</w:instrText>
      </w:r>
      <w:r w:rsidR="00027B13">
        <w:fldChar w:fldCharType="separate"/>
      </w:r>
      <w:r w:rsidR="00027B13">
        <w:rPr>
          <w:rFonts w:cs="Charter"/>
          <w:lang w:val="en-US"/>
        </w:rPr>
        <w:t>[10]</w:t>
      </w:r>
      <w:r w:rsidR="00027B13">
        <w:fldChar w:fldCharType="end"/>
      </w:r>
    </w:p>
    <w:p w14:paraId="24AFBFE1" w14:textId="77777777" w:rsidR="00815662" w:rsidRDefault="00252D02">
      <w:pPr>
        <w:pStyle w:val="Heading2"/>
      </w:pPr>
      <w:bookmarkStart w:id="30" w:name="conclusions-and-implications-for-practic"/>
      <w:bookmarkEnd w:id="30"/>
      <w:r>
        <w:t>Conclusions and implications for practice and</w:t>
      </w:r>
      <w:r>
        <w:t xml:space="preserve"> future research</w:t>
      </w:r>
    </w:p>
    <w:p w14:paraId="0560D0FE" w14:textId="77777777" w:rsidR="00815662" w:rsidRDefault="00252D02">
      <w:r>
        <w:t>Aspects of the study stand in spite of these limitations. Ward patients referred to critical care numerous, and vulnerable. The opportunity for intervention is brief, and there is important variation in practice between hospitals. The beds</w:t>
      </w:r>
      <w:r>
        <w:t>ide assessment is an effective but imperfect triage tool, as the mortality in those initially declined admission is high. Given that we already excluded patients with treatment limitations, it is of concern that around half of these early deaths occur with</w:t>
      </w:r>
      <w:r>
        <w:t>out a trial of critical care.</w:t>
      </w:r>
    </w:p>
    <w:p w14:paraId="6E3E4F40" w14:textId="77777777" w:rsidR="00027B13" w:rsidRDefault="00252D02">
      <w:r>
        <w:t>A substantial proportion of patients assessed and recommended for critical care are not offered a bed, and this proportion increases when capacity is limited. Expanding critical care bed numbers would first and foremost benefi</w:t>
      </w:r>
      <w:r>
        <w:t>t this group. However, it might also create a virtuous circle. Earlier admission may lead to shorter stays thereby improving flow through critical care as well as outcomes. Identifying those patients who should be admitted promptly is already the top prior</w:t>
      </w:r>
      <w:r>
        <w:t>ity for both clinicians and patients.</w:t>
      </w:r>
      <w:r w:rsidR="00027B13">
        <w:t xml:space="preserve"> </w:t>
      </w:r>
      <w:r w:rsidR="00027B13">
        <w:fldChar w:fldCharType="begin"/>
      </w:r>
      <w:r w:rsidR="00027B13">
        <w:instrText xml:space="preserve"> ADDIN PAPERS2_CITATIONS &lt;citation&gt;&lt;uuid&gt;3A99ED8C-4C90-4D48-9924-8AE4CAAB8649&lt;/uuid&gt;&lt;priority&gt;20&lt;/priority&gt;&lt;publications&gt;&lt;publication&gt;&lt;volume&gt;15&lt;/volume&gt;&lt;number&gt;4&lt;/number&gt;&lt;startpage&gt;288&lt;/startpage&gt;&lt;title&gt;Priorities for future intensive care research in the UK: results of a James Lind Alliance Priority Setting Partnership&lt;/title&gt;&lt;uuid&gt;6B11D2FB-2F6C-48F6-8A2F-FCD1341721B9&lt;/uuid&gt;&lt;subtype&gt;400&lt;/subtype&gt;&lt;endpage&gt;296&lt;/endpage&gt;&lt;type&gt;400&lt;/type&gt;&lt;citekey&gt;Reay:2014vm&lt;/citekey&gt;&lt;publication_date&gt;99201410001200000000220000&lt;/publication_date&gt;&lt;bundle&gt;&lt;publication&gt;&lt;title&gt;Journal of the Intensive Care Society&lt;/title&gt;&lt;type&gt;-100&lt;/type&gt;&lt;subtype&gt;-100&lt;/subtype&gt;&lt;uuid&gt;40CCB409-E913-4758-B139-AE9A9BEBB4E0&lt;/uuid&gt;&lt;/publication&gt;&lt;/bundle&gt;&lt;authors&gt;&lt;author&gt;&lt;firstName&gt;H&lt;/firstName&gt;&lt;lastName&gt;Reay&lt;/lastName&gt;&lt;/author&gt;&lt;author&gt;&lt;firstName&gt;N&lt;/firstName&gt;&lt;lastName&gt;Arulkumaran&lt;/lastName&gt;&lt;/author&gt;&lt;author&gt;&lt;firstName&gt;S&lt;/firstName&gt;&lt;middleNames&gt;J&lt;/middleNames&gt;&lt;lastName&gt;Brett&lt;/lastName&gt;&lt;/author&gt;&lt;/authors&gt;&lt;/publication&gt;&lt;/publications&gt;&lt;cites&gt;&lt;/cites&gt;&lt;/citation&gt;</w:instrText>
      </w:r>
      <w:r w:rsidR="00027B13">
        <w:fldChar w:fldCharType="separate"/>
      </w:r>
      <w:r w:rsidR="00027B13">
        <w:rPr>
          <w:rFonts w:cs="Charter"/>
          <w:lang w:val="en-US"/>
        </w:rPr>
        <w:t>[26]</w:t>
      </w:r>
      <w:r w:rsidR="00027B13">
        <w:fldChar w:fldCharType="end"/>
      </w:r>
      <w:r>
        <w:t xml:space="preserve"> What we have contributed we hope, is firm evidence in support of this.</w:t>
      </w:r>
    </w:p>
    <w:p w14:paraId="6773462E" w14:textId="77777777" w:rsidR="00027B13" w:rsidRDefault="00027B13" w:rsidP="00027B13">
      <w:pPr>
        <w:pStyle w:val="Heading1"/>
      </w:pPr>
      <w:r>
        <w:lastRenderedPageBreak/>
        <w:t>References</w:t>
      </w:r>
    </w:p>
    <w:p w14:paraId="4C583D55"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fldChar w:fldCharType="begin"/>
      </w:r>
      <w:r>
        <w:instrText xml:space="preserve"> ADDIN PAPERS2_CITATIONS &lt;papers2_bibliography/&gt;</w:instrText>
      </w:r>
      <w:r>
        <w:fldChar w:fldCharType="separate"/>
      </w:r>
      <w:r>
        <w:rPr>
          <w:rFonts w:cs="Charter"/>
          <w:lang w:val="en-US"/>
        </w:rPr>
        <w:t>1</w:t>
      </w:r>
      <w:r>
        <w:rPr>
          <w:rFonts w:cs="Charter"/>
          <w:lang w:val="en-US"/>
        </w:rPr>
        <w:tab/>
        <w:t xml:space="preserve">Hospital Episode Statistics. </w:t>
      </w:r>
      <w:r>
        <w:rPr>
          <w:rFonts w:cs="Charter"/>
          <w:i/>
          <w:iCs/>
          <w:lang w:val="en-US"/>
        </w:rPr>
        <w:t>hscic</w:t>
      </w:r>
      <w:r>
        <w:rPr>
          <w:rFonts w:cs="Charter"/>
          <w:i/>
          <w:iCs/>
          <w:lang w:val="en-US"/>
        </w:rPr>
        <w:t>.</w:t>
      </w:r>
      <w:r>
        <w:rPr>
          <w:rFonts w:cs="Charter"/>
          <w:i/>
          <w:iCs/>
          <w:lang w:val="en-US"/>
        </w:rPr>
        <w:t>gov</w:t>
      </w:r>
      <w:r>
        <w:rPr>
          <w:rFonts w:cs="Charter"/>
          <w:i/>
          <w:iCs/>
          <w:lang w:val="en-US"/>
        </w:rPr>
        <w:t>.</w:t>
      </w:r>
      <w:bookmarkStart w:id="31" w:name="_GoBack"/>
      <w:bookmarkEnd w:id="31"/>
      <w:r>
        <w:rPr>
          <w:rFonts w:cs="Charter"/>
          <w:i/>
          <w:iCs/>
          <w:lang w:val="en-US"/>
        </w:rPr>
        <w:t>uk</w:t>
      </w:r>
    </w:p>
    <w:p w14:paraId="7035D1EC"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t>2</w:t>
      </w:r>
      <w:r>
        <w:rPr>
          <w:rFonts w:cs="Charter"/>
          <w:lang w:val="en-US"/>
        </w:rPr>
        <w:tab/>
        <w:t xml:space="preserve">Luettel D, Beaumont K, Healey F. Recognising and responding appropriately to early signs of deterioration in hospitalised patients. National Patient Safety Agency  2007. </w:t>
      </w:r>
    </w:p>
    <w:p w14:paraId="5BC34817"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t>3</w:t>
      </w:r>
      <w:r>
        <w:rPr>
          <w:rFonts w:cs="Charter"/>
          <w:lang w:val="en-US"/>
        </w:rPr>
        <w:tab/>
        <w:t xml:space="preserve">McQuillan P, Pilkington S, Allan A, </w:t>
      </w:r>
      <w:r>
        <w:rPr>
          <w:rFonts w:cs="Charter"/>
          <w:i/>
          <w:iCs/>
          <w:lang w:val="en-US"/>
        </w:rPr>
        <w:t>et al.</w:t>
      </w:r>
      <w:r>
        <w:rPr>
          <w:rFonts w:cs="Charter"/>
          <w:lang w:val="en-US"/>
        </w:rPr>
        <w:t xml:space="preserve"> Confidential inquiry into quality of care before admission to intensive care. </w:t>
      </w:r>
      <w:r>
        <w:rPr>
          <w:rFonts w:cs="Charter"/>
          <w:i/>
          <w:iCs/>
          <w:lang w:val="en-US"/>
        </w:rPr>
        <w:t>BMJ</w:t>
      </w:r>
      <w:r>
        <w:rPr>
          <w:rFonts w:cs="Charter"/>
          <w:lang w:val="en-US"/>
        </w:rPr>
        <w:t xml:space="preserve"> 1998;</w:t>
      </w:r>
      <w:r>
        <w:rPr>
          <w:rFonts w:cs="Charter"/>
          <w:b/>
          <w:bCs/>
          <w:lang w:val="en-US"/>
        </w:rPr>
        <w:t>316</w:t>
      </w:r>
      <w:r>
        <w:rPr>
          <w:rFonts w:cs="Charter"/>
          <w:lang w:val="en-US"/>
        </w:rPr>
        <w:t>:1853–8.</w:t>
      </w:r>
    </w:p>
    <w:p w14:paraId="6DB16FD9"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t>4</w:t>
      </w:r>
      <w:r>
        <w:rPr>
          <w:rFonts w:cs="Charter"/>
          <w:lang w:val="en-US"/>
        </w:rPr>
        <w:tab/>
        <w:t xml:space="preserve">Cullinane M, Findlay G, Hargraves LS. An Acute Problem?: A Report of the National Confidential Enquiry Into Patient Outcome and Death. National Confidential Enquiry into Perioperative Deaths  2005. </w:t>
      </w:r>
    </w:p>
    <w:p w14:paraId="4B1CBB56"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t>5</w:t>
      </w:r>
      <w:r>
        <w:rPr>
          <w:rFonts w:cs="Charter"/>
          <w:lang w:val="en-US"/>
        </w:rPr>
        <w:tab/>
        <w:t xml:space="preserve">Chen LM, Render M, Sales A, </w:t>
      </w:r>
      <w:r>
        <w:rPr>
          <w:rFonts w:cs="Charter"/>
          <w:i/>
          <w:iCs/>
          <w:lang w:val="en-US"/>
        </w:rPr>
        <w:t>et al.</w:t>
      </w:r>
      <w:r>
        <w:rPr>
          <w:rFonts w:cs="Charter"/>
          <w:lang w:val="en-US"/>
        </w:rPr>
        <w:t xml:space="preserve"> Intensive care unit admitting patterns in the Veterans Affairs health care system. </w:t>
      </w:r>
      <w:r>
        <w:rPr>
          <w:rFonts w:cs="Charter"/>
          <w:i/>
          <w:iCs/>
          <w:lang w:val="en-US"/>
        </w:rPr>
        <w:t>Arch Intern Med</w:t>
      </w:r>
      <w:r>
        <w:rPr>
          <w:rFonts w:cs="Charter"/>
          <w:lang w:val="en-US"/>
        </w:rPr>
        <w:t xml:space="preserve"> 2012;</w:t>
      </w:r>
      <w:r>
        <w:rPr>
          <w:rFonts w:cs="Charter"/>
          <w:b/>
          <w:bCs/>
          <w:lang w:val="en-US"/>
        </w:rPr>
        <w:t>172</w:t>
      </w:r>
      <w:r>
        <w:rPr>
          <w:rFonts w:cs="Charter"/>
          <w:lang w:val="en-US"/>
        </w:rPr>
        <w:t>:1220–6. doi:10.1001/archinternmed.2012.2606</w:t>
      </w:r>
    </w:p>
    <w:p w14:paraId="284BB47A"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t>6</w:t>
      </w:r>
      <w:r>
        <w:rPr>
          <w:rFonts w:cs="Charter"/>
          <w:lang w:val="en-US"/>
        </w:rPr>
        <w:tab/>
        <w:t xml:space="preserve">Stelfox HT, Hemmelgarn BR, Bagshaw SM, </w:t>
      </w:r>
      <w:r>
        <w:rPr>
          <w:rFonts w:cs="Charter"/>
          <w:i/>
          <w:iCs/>
          <w:lang w:val="en-US"/>
        </w:rPr>
        <w:t>et al.</w:t>
      </w:r>
      <w:r>
        <w:rPr>
          <w:rFonts w:cs="Charter"/>
          <w:lang w:val="en-US"/>
        </w:rPr>
        <w:t xml:space="preserve"> Intensive Care Unit Bed Availability and Outcomes for Hospitalized Patients With Sudden Clinical Deterioration. </w:t>
      </w:r>
      <w:r>
        <w:rPr>
          <w:rFonts w:cs="Charter"/>
          <w:i/>
          <w:iCs/>
          <w:lang w:val="en-US"/>
        </w:rPr>
        <w:t>Arch Intern Med</w:t>
      </w:r>
      <w:r>
        <w:rPr>
          <w:rFonts w:cs="Charter"/>
          <w:lang w:val="en-US"/>
        </w:rPr>
        <w:t xml:space="preserve"> 2012;</w:t>
      </w:r>
      <w:r>
        <w:rPr>
          <w:rFonts w:cs="Charter"/>
          <w:b/>
          <w:bCs/>
          <w:lang w:val="en-US"/>
        </w:rPr>
        <w:t>172</w:t>
      </w:r>
      <w:r>
        <w:rPr>
          <w:rFonts w:cs="Charter"/>
          <w:lang w:val="en-US"/>
        </w:rPr>
        <w:t>:467–74. doi:10.1001/archinternmed.2011.2315</w:t>
      </w:r>
    </w:p>
    <w:p w14:paraId="7B5764D0"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t>7</w:t>
      </w:r>
      <w:r>
        <w:rPr>
          <w:rFonts w:cs="Charter"/>
          <w:lang w:val="en-US"/>
        </w:rPr>
        <w:tab/>
        <w:t xml:space="preserve">Robert R, Reignier J, Tournoux-Facon C, </w:t>
      </w:r>
      <w:r>
        <w:rPr>
          <w:rFonts w:cs="Charter"/>
          <w:i/>
          <w:iCs/>
          <w:lang w:val="en-US"/>
        </w:rPr>
        <w:t>et al.</w:t>
      </w:r>
      <w:r>
        <w:rPr>
          <w:rFonts w:cs="Charter"/>
          <w:lang w:val="en-US"/>
        </w:rPr>
        <w:t xml:space="preserve"> Refusal of intensive care unit admission due to a full unit: impact on mortality. </w:t>
      </w:r>
      <w:r>
        <w:rPr>
          <w:rFonts w:cs="Charter"/>
          <w:i/>
          <w:iCs/>
          <w:lang w:val="en-US"/>
        </w:rPr>
        <w:t>American Journal of Respiratory and Critical Care Medicine</w:t>
      </w:r>
      <w:r>
        <w:rPr>
          <w:rFonts w:cs="Charter"/>
          <w:lang w:val="en-US"/>
        </w:rPr>
        <w:t xml:space="preserve"> 2012;</w:t>
      </w:r>
      <w:r>
        <w:rPr>
          <w:rFonts w:cs="Charter"/>
          <w:b/>
          <w:bCs/>
          <w:lang w:val="en-US"/>
        </w:rPr>
        <w:t>185</w:t>
      </w:r>
      <w:r>
        <w:rPr>
          <w:rFonts w:cs="Charter"/>
          <w:lang w:val="en-US"/>
        </w:rPr>
        <w:t>:1081–7. doi:10.1164/rccm.201104-0729OC</w:t>
      </w:r>
    </w:p>
    <w:p w14:paraId="62C37E1D"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t>8</w:t>
      </w:r>
      <w:r>
        <w:rPr>
          <w:rFonts w:cs="Charter"/>
          <w:lang w:val="en-US"/>
        </w:rPr>
        <w:tab/>
        <w:t xml:space="preserve">Rhodes A, Ferdinande P, Flaatten H, </w:t>
      </w:r>
      <w:r>
        <w:rPr>
          <w:rFonts w:cs="Charter"/>
          <w:i/>
          <w:iCs/>
          <w:lang w:val="en-US"/>
        </w:rPr>
        <w:t>et al.</w:t>
      </w:r>
      <w:r>
        <w:rPr>
          <w:rFonts w:cs="Charter"/>
          <w:lang w:val="en-US"/>
        </w:rPr>
        <w:t xml:space="preserve"> The variability of critical care bed numbers in Europe. </w:t>
      </w:r>
      <w:r>
        <w:rPr>
          <w:rFonts w:cs="Charter"/>
          <w:i/>
          <w:iCs/>
          <w:lang w:val="en-US"/>
        </w:rPr>
        <w:t>Intensive Care Med</w:t>
      </w:r>
      <w:r>
        <w:rPr>
          <w:rFonts w:cs="Charter"/>
          <w:lang w:val="en-US"/>
        </w:rPr>
        <w:t xml:space="preserve"> 2012;</w:t>
      </w:r>
      <w:r>
        <w:rPr>
          <w:rFonts w:cs="Charter"/>
          <w:b/>
          <w:bCs/>
          <w:lang w:val="en-US"/>
        </w:rPr>
        <w:t>38</w:t>
      </w:r>
      <w:r>
        <w:rPr>
          <w:rFonts w:cs="Charter"/>
          <w:lang w:val="en-US"/>
        </w:rPr>
        <w:t>:1647–53. doi:10.1007/s00134-012-2627-8</w:t>
      </w:r>
    </w:p>
    <w:p w14:paraId="00CA16CD"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t>9</w:t>
      </w:r>
      <w:r>
        <w:rPr>
          <w:rFonts w:cs="Charter"/>
          <w:lang w:val="en-US"/>
        </w:rPr>
        <w:tab/>
        <w:t xml:space="preserve">Wunsch H, Angus DC, Harrison DA, </w:t>
      </w:r>
      <w:r>
        <w:rPr>
          <w:rFonts w:cs="Charter"/>
          <w:i/>
          <w:iCs/>
          <w:lang w:val="en-US"/>
        </w:rPr>
        <w:t>et al.</w:t>
      </w:r>
      <w:r>
        <w:rPr>
          <w:rFonts w:cs="Charter"/>
          <w:lang w:val="en-US"/>
        </w:rPr>
        <w:t xml:space="preserve"> Variation in critical care services across North America and Western Europe. </w:t>
      </w:r>
      <w:r>
        <w:rPr>
          <w:rFonts w:cs="Charter"/>
          <w:i/>
          <w:iCs/>
          <w:lang w:val="en-US"/>
        </w:rPr>
        <w:t>Crit Care Med</w:t>
      </w:r>
      <w:r>
        <w:rPr>
          <w:rFonts w:cs="Charter"/>
          <w:lang w:val="en-US"/>
        </w:rPr>
        <w:t xml:space="preserve"> 2008;</w:t>
      </w:r>
      <w:r>
        <w:rPr>
          <w:rFonts w:cs="Charter"/>
          <w:b/>
          <w:bCs/>
          <w:lang w:val="en-US"/>
        </w:rPr>
        <w:t>36</w:t>
      </w:r>
      <w:r>
        <w:rPr>
          <w:rFonts w:cs="Charter"/>
          <w:lang w:val="en-US"/>
        </w:rPr>
        <w:t>:2787–93–e1–9. doi:10.1097/CCM.0b013e318186aec8</w:t>
      </w:r>
    </w:p>
    <w:p w14:paraId="63D9580A"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t>10</w:t>
      </w:r>
      <w:r>
        <w:rPr>
          <w:rFonts w:cs="Charter"/>
          <w:lang w:val="en-US"/>
        </w:rPr>
        <w:tab/>
        <w:t xml:space="preserve">Simchen E, Sprung CL, Galai N, </w:t>
      </w:r>
      <w:r>
        <w:rPr>
          <w:rFonts w:cs="Charter"/>
          <w:i/>
          <w:iCs/>
          <w:lang w:val="en-US"/>
        </w:rPr>
        <w:t>et al.</w:t>
      </w:r>
      <w:r>
        <w:rPr>
          <w:rFonts w:cs="Charter"/>
          <w:lang w:val="en-US"/>
        </w:rPr>
        <w:t xml:space="preserve"> Survival of critically ill patients hospitalized in and out of intensive care. </w:t>
      </w:r>
      <w:r>
        <w:rPr>
          <w:rFonts w:cs="Charter"/>
          <w:i/>
          <w:iCs/>
          <w:lang w:val="en-US"/>
        </w:rPr>
        <w:t>Crit Care Med</w:t>
      </w:r>
      <w:r>
        <w:rPr>
          <w:rFonts w:cs="Charter"/>
          <w:lang w:val="en-US"/>
        </w:rPr>
        <w:t xml:space="preserve"> 2007;</w:t>
      </w:r>
      <w:r>
        <w:rPr>
          <w:rFonts w:cs="Charter"/>
          <w:b/>
          <w:bCs/>
          <w:lang w:val="en-US"/>
        </w:rPr>
        <w:t>35</w:t>
      </w:r>
      <w:r>
        <w:rPr>
          <w:rFonts w:cs="Charter"/>
          <w:lang w:val="en-US"/>
        </w:rPr>
        <w:t>:449–57. doi:10.1097/01.CCM.0000253407.89594.15</w:t>
      </w:r>
    </w:p>
    <w:p w14:paraId="24135FDC"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t>11</w:t>
      </w:r>
      <w:r>
        <w:rPr>
          <w:rFonts w:cs="Charter"/>
          <w:lang w:val="en-US"/>
        </w:rPr>
        <w:tab/>
        <w:t xml:space="preserve">Buist MD, Moore GE, Bernard SA, </w:t>
      </w:r>
      <w:r>
        <w:rPr>
          <w:rFonts w:cs="Charter"/>
          <w:i/>
          <w:iCs/>
          <w:lang w:val="en-US"/>
        </w:rPr>
        <w:t>et al.</w:t>
      </w:r>
      <w:r>
        <w:rPr>
          <w:rFonts w:cs="Charter"/>
          <w:lang w:val="en-US"/>
        </w:rPr>
        <w:t xml:space="preserve"> Effects of a medical emergency team on reduction of incidence of and mortality from unexpected cardiac arrests in hospital: preliminary study. </w:t>
      </w:r>
      <w:r>
        <w:rPr>
          <w:rFonts w:cs="Charter"/>
          <w:i/>
          <w:iCs/>
          <w:lang w:val="en-US"/>
        </w:rPr>
        <w:t>BMJ</w:t>
      </w:r>
      <w:r>
        <w:rPr>
          <w:rFonts w:cs="Charter"/>
          <w:lang w:val="en-US"/>
        </w:rPr>
        <w:t xml:space="preserve"> 2002;</w:t>
      </w:r>
      <w:r>
        <w:rPr>
          <w:rFonts w:cs="Charter"/>
          <w:b/>
          <w:bCs/>
          <w:lang w:val="en-US"/>
        </w:rPr>
        <w:t>324</w:t>
      </w:r>
      <w:r>
        <w:rPr>
          <w:rFonts w:cs="Charter"/>
          <w:lang w:val="en-US"/>
        </w:rPr>
        <w:t>:387–90. doi:10.1136/bmj.324.7334.387</w:t>
      </w:r>
    </w:p>
    <w:p w14:paraId="16515344"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t>12</w:t>
      </w:r>
      <w:r>
        <w:rPr>
          <w:rFonts w:cs="Charter"/>
          <w:lang w:val="en-US"/>
        </w:rPr>
        <w:tab/>
        <w:t xml:space="preserve">Clark D, Armstrong M, Allan A, </w:t>
      </w:r>
      <w:r>
        <w:rPr>
          <w:rFonts w:cs="Charter"/>
          <w:i/>
          <w:iCs/>
          <w:lang w:val="en-US"/>
        </w:rPr>
        <w:t>et al.</w:t>
      </w:r>
      <w:r>
        <w:rPr>
          <w:rFonts w:cs="Charter"/>
          <w:lang w:val="en-US"/>
        </w:rPr>
        <w:t xml:space="preserve"> Imminence of death among hospital inpatients: Prevalent cohort study. </w:t>
      </w:r>
      <w:r>
        <w:rPr>
          <w:rFonts w:cs="Charter"/>
          <w:i/>
          <w:iCs/>
          <w:lang w:val="en-US"/>
        </w:rPr>
        <w:t>Palliat Med</w:t>
      </w:r>
      <w:r>
        <w:rPr>
          <w:rFonts w:cs="Charter"/>
          <w:lang w:val="en-US"/>
        </w:rPr>
        <w:t xml:space="preserve"> 2014;</w:t>
      </w:r>
      <w:r>
        <w:rPr>
          <w:rFonts w:cs="Charter"/>
          <w:b/>
          <w:bCs/>
          <w:lang w:val="en-US"/>
        </w:rPr>
        <w:t>28</w:t>
      </w:r>
      <w:r>
        <w:rPr>
          <w:rFonts w:cs="Charter"/>
          <w:lang w:val="en-US"/>
        </w:rPr>
        <w:t>:474–9. doi:10.1177/0269216314526443</w:t>
      </w:r>
    </w:p>
    <w:p w14:paraId="48F41119"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t>13</w:t>
      </w:r>
      <w:r>
        <w:rPr>
          <w:rFonts w:cs="Charter"/>
          <w:lang w:val="en-US"/>
        </w:rPr>
        <w:tab/>
        <w:t xml:space="preserve">Eddleston JM, Goldhill DR, Morris J. Levels of critical care for adult patients. Intensive Care Society  2009. </w:t>
      </w:r>
    </w:p>
    <w:p w14:paraId="5640CB2A"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lastRenderedPageBreak/>
        <w:t>14</w:t>
      </w:r>
      <w:r>
        <w:rPr>
          <w:rFonts w:cs="Charter"/>
          <w:lang w:val="en-US"/>
        </w:rPr>
        <w:tab/>
        <w:t>National Early Warning Score (NEWS): Standardising the assessment of acute-illness severity in the NHS. 2012;:1–30.</w:t>
      </w:r>
    </w:p>
    <w:p w14:paraId="0EBEF75B"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t>15</w:t>
      </w:r>
      <w:r>
        <w:rPr>
          <w:rFonts w:cs="Charter"/>
          <w:lang w:val="en-US"/>
        </w:rPr>
        <w:tab/>
        <w:t xml:space="preserve">Harrison DA, Parry GJ, Carpenter JR, </w:t>
      </w:r>
      <w:r>
        <w:rPr>
          <w:rFonts w:cs="Charter"/>
          <w:i/>
          <w:iCs/>
          <w:lang w:val="en-US"/>
        </w:rPr>
        <w:t>et al.</w:t>
      </w:r>
      <w:r>
        <w:rPr>
          <w:rFonts w:cs="Charter"/>
          <w:lang w:val="en-US"/>
        </w:rPr>
        <w:t xml:space="preserve"> A new risk prediction model for critical care: the Intensive Care National Audit &amp; Research Centre (ICNARC) model. </w:t>
      </w:r>
      <w:r>
        <w:rPr>
          <w:rFonts w:cs="Charter"/>
          <w:i/>
          <w:iCs/>
          <w:lang w:val="en-US"/>
        </w:rPr>
        <w:t>Crit Care Med</w:t>
      </w:r>
      <w:r>
        <w:rPr>
          <w:rFonts w:cs="Charter"/>
          <w:lang w:val="en-US"/>
        </w:rPr>
        <w:t xml:space="preserve"> 2007;</w:t>
      </w:r>
      <w:r>
        <w:rPr>
          <w:rFonts w:cs="Charter"/>
          <w:b/>
          <w:bCs/>
          <w:lang w:val="en-US"/>
        </w:rPr>
        <w:t>35</w:t>
      </w:r>
      <w:r>
        <w:rPr>
          <w:rFonts w:cs="Charter"/>
          <w:lang w:val="en-US"/>
        </w:rPr>
        <w:t>:1091–8. doi:10.1097/01.CCM.0000259468.24532.44</w:t>
      </w:r>
    </w:p>
    <w:p w14:paraId="4F242384"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t>16</w:t>
      </w:r>
      <w:r>
        <w:rPr>
          <w:rFonts w:cs="Charter"/>
          <w:lang w:val="en-US"/>
        </w:rPr>
        <w:tab/>
        <w:t xml:space="preserve">Vincent JL, Moreno R, Takala J, </w:t>
      </w:r>
      <w:r>
        <w:rPr>
          <w:rFonts w:cs="Charter"/>
          <w:i/>
          <w:iCs/>
          <w:lang w:val="en-US"/>
        </w:rPr>
        <w:t>et al.</w:t>
      </w:r>
      <w:r>
        <w:rPr>
          <w:rFonts w:cs="Charter"/>
          <w:lang w:val="en-US"/>
        </w:rPr>
        <w:t xml:space="preserve"> The SOFA (Sepsis-related Organ Failure Assessment) score to describe organ dysfunction/failure. On behalf of the Working Group on Sepsis-Related Problems of the European Society of Intensive Care Medicine. </w:t>
      </w:r>
      <w:r>
        <w:rPr>
          <w:rFonts w:cs="Charter"/>
          <w:i/>
          <w:iCs/>
          <w:lang w:val="en-US"/>
        </w:rPr>
        <w:t>Intensive Care Med</w:t>
      </w:r>
      <w:r>
        <w:rPr>
          <w:rFonts w:cs="Charter"/>
          <w:lang w:val="en-US"/>
        </w:rPr>
        <w:t xml:space="preserve"> 1996;</w:t>
      </w:r>
      <w:r>
        <w:rPr>
          <w:rFonts w:cs="Charter"/>
          <w:b/>
          <w:bCs/>
          <w:lang w:val="en-US"/>
        </w:rPr>
        <w:t>22</w:t>
      </w:r>
      <w:r>
        <w:rPr>
          <w:rFonts w:cs="Charter"/>
          <w:lang w:val="en-US"/>
        </w:rPr>
        <w:t>:707–10.</w:t>
      </w:r>
    </w:p>
    <w:p w14:paraId="38736767"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t>17</w:t>
      </w:r>
      <w:r>
        <w:rPr>
          <w:rFonts w:cs="Charter"/>
          <w:lang w:val="en-US"/>
        </w:rPr>
        <w:tab/>
        <w:t xml:space="preserve">Core Standards for Intensive Care Units. Intensive Care Society (UK)  2013. </w:t>
      </w:r>
    </w:p>
    <w:p w14:paraId="3E52BC33"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t>18</w:t>
      </w:r>
      <w:r>
        <w:rPr>
          <w:rFonts w:cs="Charter"/>
          <w:lang w:val="en-US"/>
        </w:rPr>
        <w:tab/>
        <w:t xml:space="preserve">Bengtsson T, Dribe M. Quantifying the Family Frailty Effect in Infant and Child Mortality by Using Median Hazard Ratio (MHR). </w:t>
      </w:r>
      <w:r>
        <w:rPr>
          <w:rFonts w:cs="Charter"/>
          <w:i/>
          <w:iCs/>
          <w:lang w:val="en-US"/>
        </w:rPr>
        <w:t>Historical Methods: A Journal of Quantitative and Interdisciplinary History</w:t>
      </w:r>
      <w:r>
        <w:rPr>
          <w:rFonts w:cs="Charter"/>
          <w:lang w:val="en-US"/>
        </w:rPr>
        <w:t xml:space="preserve"> 2010;</w:t>
      </w:r>
      <w:r>
        <w:rPr>
          <w:rFonts w:cs="Charter"/>
          <w:b/>
          <w:bCs/>
          <w:lang w:val="en-US"/>
        </w:rPr>
        <w:t>43</w:t>
      </w:r>
      <w:r>
        <w:rPr>
          <w:rFonts w:cs="Charter"/>
          <w:lang w:val="en-US"/>
        </w:rPr>
        <w:t>:15–27. doi:10.1080/01615440903270299</w:t>
      </w:r>
    </w:p>
    <w:p w14:paraId="070ACBF2"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t>19</w:t>
      </w:r>
      <w:r>
        <w:rPr>
          <w:rFonts w:cs="Charter"/>
          <w:lang w:val="en-US"/>
        </w:rPr>
        <w:tab/>
        <w:t xml:space="preserve">Harrison DA, Brady AR, Rowan K. Case mix, outcome and length of stay for admissions to adult, general critical care units in England, Wales and Northern Ireland: the Intensive Care National Audit &amp; Research Centre Case Mix Programme Database. </w:t>
      </w:r>
      <w:r>
        <w:rPr>
          <w:rFonts w:cs="Charter"/>
          <w:i/>
          <w:iCs/>
          <w:lang w:val="en-US"/>
        </w:rPr>
        <w:t>Crit Care</w:t>
      </w:r>
      <w:r>
        <w:rPr>
          <w:rFonts w:cs="Charter"/>
          <w:lang w:val="en-US"/>
        </w:rPr>
        <w:t xml:space="preserve"> 2004;</w:t>
      </w:r>
      <w:r>
        <w:rPr>
          <w:rFonts w:cs="Charter"/>
          <w:b/>
          <w:bCs/>
          <w:lang w:val="en-US"/>
        </w:rPr>
        <w:t>8</w:t>
      </w:r>
      <w:r>
        <w:rPr>
          <w:rFonts w:cs="Charter"/>
          <w:lang w:val="en-US"/>
        </w:rPr>
        <w:t>:R99–111. doi:10.1186/cc2834</w:t>
      </w:r>
    </w:p>
    <w:p w14:paraId="443EA71B"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t>20</w:t>
      </w:r>
      <w:r>
        <w:rPr>
          <w:rFonts w:cs="Charter"/>
          <w:lang w:val="en-US"/>
        </w:rPr>
        <w:tab/>
        <w:t xml:space="preserve">Harrison DA, Lone NI, Haddow C, </w:t>
      </w:r>
      <w:r>
        <w:rPr>
          <w:rFonts w:cs="Charter"/>
          <w:i/>
          <w:iCs/>
          <w:lang w:val="en-US"/>
        </w:rPr>
        <w:t>et al.</w:t>
      </w:r>
      <w:r>
        <w:rPr>
          <w:rFonts w:cs="Charter"/>
          <w:lang w:val="en-US"/>
        </w:rPr>
        <w:t xml:space="preserve"> External validation of the Intensive Care National Audit &amp; Research Centre (ICNARC) risk prediction model in critical care units in Scotland. </w:t>
      </w:r>
      <w:r>
        <w:rPr>
          <w:rFonts w:cs="Charter"/>
          <w:i/>
          <w:iCs/>
          <w:lang w:val="en-US"/>
        </w:rPr>
        <w:t>BMC Anesthesiol</w:t>
      </w:r>
      <w:r>
        <w:rPr>
          <w:rFonts w:cs="Charter"/>
          <w:lang w:val="en-US"/>
        </w:rPr>
        <w:t xml:space="preserve"> 2014;</w:t>
      </w:r>
      <w:r>
        <w:rPr>
          <w:rFonts w:cs="Charter"/>
          <w:b/>
          <w:bCs/>
          <w:lang w:val="en-US"/>
        </w:rPr>
        <w:t>14</w:t>
      </w:r>
      <w:r>
        <w:rPr>
          <w:rFonts w:cs="Charter"/>
          <w:lang w:val="en-US"/>
        </w:rPr>
        <w:t>:116. doi:10.1186/1471-2253-14-116</w:t>
      </w:r>
    </w:p>
    <w:p w14:paraId="329D8662"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t>21</w:t>
      </w:r>
      <w:r>
        <w:rPr>
          <w:rFonts w:cs="Charter"/>
          <w:lang w:val="en-US"/>
        </w:rPr>
        <w:tab/>
        <w:t xml:space="preserve">Jones DA, DeVita MA, Bellomo R. Rapid-response teams. </w:t>
      </w:r>
      <w:r>
        <w:rPr>
          <w:rFonts w:cs="Charter"/>
          <w:i/>
          <w:iCs/>
          <w:lang w:val="en-US"/>
        </w:rPr>
        <w:t>N Engl J Med</w:t>
      </w:r>
      <w:r>
        <w:rPr>
          <w:rFonts w:cs="Charter"/>
          <w:lang w:val="en-US"/>
        </w:rPr>
        <w:t xml:space="preserve"> 2011;</w:t>
      </w:r>
      <w:r>
        <w:rPr>
          <w:rFonts w:cs="Charter"/>
          <w:b/>
          <w:bCs/>
          <w:lang w:val="en-US"/>
        </w:rPr>
        <w:t>365</w:t>
      </w:r>
      <w:r>
        <w:rPr>
          <w:rFonts w:cs="Charter"/>
          <w:lang w:val="en-US"/>
        </w:rPr>
        <w:t>:139–46. doi:10.1056/NEJMra0910926</w:t>
      </w:r>
    </w:p>
    <w:p w14:paraId="603933B1"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t>22</w:t>
      </w:r>
      <w:r>
        <w:rPr>
          <w:rFonts w:cs="Charter"/>
          <w:lang w:val="en-US"/>
        </w:rPr>
        <w:tab/>
        <w:t xml:space="preserve">Bell MB, Konrad D, Granath F, </w:t>
      </w:r>
      <w:r>
        <w:rPr>
          <w:rFonts w:cs="Charter"/>
          <w:i/>
          <w:iCs/>
          <w:lang w:val="en-US"/>
        </w:rPr>
        <w:t>et al.</w:t>
      </w:r>
      <w:r>
        <w:rPr>
          <w:rFonts w:cs="Charter"/>
          <w:lang w:val="en-US"/>
        </w:rPr>
        <w:t xml:space="preserve"> Prevalence and sensitivity of MET-criteria in a Scandinavian University Hospital. </w:t>
      </w:r>
      <w:r>
        <w:rPr>
          <w:rFonts w:cs="Charter"/>
          <w:i/>
          <w:iCs/>
          <w:lang w:val="en-US"/>
        </w:rPr>
        <w:t>Resuscitation</w:t>
      </w:r>
      <w:r>
        <w:rPr>
          <w:rFonts w:cs="Charter"/>
          <w:lang w:val="en-US"/>
        </w:rPr>
        <w:t xml:space="preserve"> 2006;</w:t>
      </w:r>
      <w:r>
        <w:rPr>
          <w:rFonts w:cs="Charter"/>
          <w:b/>
          <w:bCs/>
          <w:lang w:val="en-US"/>
        </w:rPr>
        <w:t>70</w:t>
      </w:r>
      <w:r>
        <w:rPr>
          <w:rFonts w:cs="Charter"/>
          <w:lang w:val="en-US"/>
        </w:rPr>
        <w:t>:66–73. doi:10.1016/j.resuscitation.2005.11.011</w:t>
      </w:r>
    </w:p>
    <w:p w14:paraId="0D810231"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t>23</w:t>
      </w:r>
      <w:r>
        <w:rPr>
          <w:rFonts w:cs="Charter"/>
          <w:lang w:val="en-US"/>
        </w:rPr>
        <w:tab/>
        <w:t xml:space="preserve">Simchen E, Sprung CL, Galai N, </w:t>
      </w:r>
      <w:r>
        <w:rPr>
          <w:rFonts w:cs="Charter"/>
          <w:i/>
          <w:iCs/>
          <w:lang w:val="en-US"/>
        </w:rPr>
        <w:t>et al.</w:t>
      </w:r>
      <w:r>
        <w:rPr>
          <w:rFonts w:cs="Charter"/>
          <w:lang w:val="en-US"/>
        </w:rPr>
        <w:t xml:space="preserve"> Survival of critically ill patients hospitalized in and out of intensive care units under paucity of intensive care unit beds. </w:t>
      </w:r>
      <w:r>
        <w:rPr>
          <w:rFonts w:cs="Charter"/>
          <w:i/>
          <w:iCs/>
          <w:lang w:val="en-US"/>
        </w:rPr>
        <w:t>Crit Care Med</w:t>
      </w:r>
      <w:r>
        <w:rPr>
          <w:rFonts w:cs="Charter"/>
          <w:lang w:val="en-US"/>
        </w:rPr>
        <w:t xml:space="preserve"> 2004;</w:t>
      </w:r>
      <w:r>
        <w:rPr>
          <w:rFonts w:cs="Charter"/>
          <w:b/>
          <w:bCs/>
          <w:lang w:val="en-US"/>
        </w:rPr>
        <w:t>32</w:t>
      </w:r>
      <w:r>
        <w:rPr>
          <w:rFonts w:cs="Charter"/>
          <w:lang w:val="en-US"/>
        </w:rPr>
        <w:t>:1654–61.</w:t>
      </w:r>
    </w:p>
    <w:p w14:paraId="293DD311"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t>24</w:t>
      </w:r>
      <w:r>
        <w:rPr>
          <w:rFonts w:cs="Charter"/>
          <w:lang w:val="en-US"/>
        </w:rPr>
        <w:tab/>
        <w:t xml:space="preserve">Coleman MP, Forman D, Bryant H, </w:t>
      </w:r>
      <w:r>
        <w:rPr>
          <w:rFonts w:cs="Charter"/>
          <w:i/>
          <w:iCs/>
          <w:lang w:val="en-US"/>
        </w:rPr>
        <w:t>et al.</w:t>
      </w:r>
      <w:r>
        <w:rPr>
          <w:rFonts w:cs="Charter"/>
          <w:lang w:val="en-US"/>
        </w:rPr>
        <w:t xml:space="preserve"> Cancer survival in Australia, Canada, Denmark, Norway, Sweden, and the UK, 1995-2007 (the International Cancer Benchmarking Partnership): an analysis of population-based cancer registry data. </w:t>
      </w:r>
      <w:r>
        <w:rPr>
          <w:rFonts w:cs="Charter"/>
          <w:i/>
          <w:iCs/>
          <w:lang w:val="en-US"/>
        </w:rPr>
        <w:t>Lancet</w:t>
      </w:r>
      <w:r>
        <w:rPr>
          <w:rFonts w:cs="Charter"/>
          <w:lang w:val="en-US"/>
        </w:rPr>
        <w:t xml:space="preserve"> 2011;</w:t>
      </w:r>
      <w:r>
        <w:rPr>
          <w:rFonts w:cs="Charter"/>
          <w:b/>
          <w:bCs/>
          <w:lang w:val="en-US"/>
        </w:rPr>
        <w:t>377</w:t>
      </w:r>
      <w:r>
        <w:rPr>
          <w:rFonts w:cs="Charter"/>
          <w:lang w:val="en-US"/>
        </w:rPr>
        <w:t>:127–38. doi:10.1016/S0140-6736(10)62231-3</w:t>
      </w:r>
    </w:p>
    <w:p w14:paraId="43D6EEAB"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t>25</w:t>
      </w:r>
      <w:r>
        <w:rPr>
          <w:rFonts w:cs="Charter"/>
          <w:lang w:val="en-US"/>
        </w:rPr>
        <w:tab/>
        <w:t xml:space="preserve">O'Callaghan DJ, Jayia P, Vaughan-Huxley E, </w:t>
      </w:r>
      <w:r>
        <w:rPr>
          <w:rFonts w:cs="Charter"/>
          <w:i/>
          <w:iCs/>
          <w:lang w:val="en-US"/>
        </w:rPr>
        <w:t>et al.</w:t>
      </w:r>
      <w:r>
        <w:rPr>
          <w:rFonts w:cs="Charter"/>
          <w:lang w:val="en-US"/>
        </w:rPr>
        <w:t xml:space="preserve"> An observational study to determine the effect of delayed admission to the intensive care unit on patient outcome. </w:t>
      </w:r>
      <w:r>
        <w:rPr>
          <w:rFonts w:cs="Charter"/>
          <w:i/>
          <w:iCs/>
          <w:lang w:val="en-US"/>
        </w:rPr>
        <w:t>Crit Care</w:t>
      </w:r>
      <w:r>
        <w:rPr>
          <w:rFonts w:cs="Charter"/>
          <w:lang w:val="en-US"/>
        </w:rPr>
        <w:t xml:space="preserve"> 2012;</w:t>
      </w:r>
      <w:r>
        <w:rPr>
          <w:rFonts w:cs="Charter"/>
          <w:b/>
          <w:bCs/>
          <w:lang w:val="en-US"/>
        </w:rPr>
        <w:t>16</w:t>
      </w:r>
      <w:r>
        <w:rPr>
          <w:rFonts w:cs="Charter"/>
          <w:lang w:val="en-US"/>
        </w:rPr>
        <w:t>:R173. doi:10.1186/cc11650</w:t>
      </w:r>
    </w:p>
    <w:p w14:paraId="278EF881" w14:textId="77777777" w:rsidR="00027B13" w:rsidRDefault="00027B13" w:rsidP="00027B13">
      <w:pPr>
        <w:widowControl w:val="0"/>
        <w:tabs>
          <w:tab w:val="left" w:pos="480"/>
        </w:tabs>
        <w:autoSpaceDE w:val="0"/>
        <w:autoSpaceDN w:val="0"/>
        <w:adjustRightInd w:val="0"/>
        <w:spacing w:after="240"/>
        <w:ind w:left="480" w:hanging="480"/>
        <w:rPr>
          <w:rFonts w:cs="Charter"/>
          <w:lang w:val="en-US"/>
        </w:rPr>
      </w:pPr>
      <w:r>
        <w:rPr>
          <w:rFonts w:cs="Charter"/>
          <w:lang w:val="en-US"/>
        </w:rPr>
        <w:t>26</w:t>
      </w:r>
      <w:r>
        <w:rPr>
          <w:rFonts w:cs="Charter"/>
          <w:lang w:val="en-US"/>
        </w:rPr>
        <w:tab/>
        <w:t xml:space="preserve">Reay H, Arulkumaran N, Brett SJ. Priorities for future intensive care research in the UK: results of a James Lind Alliance Priority Setting Partnership. </w:t>
      </w:r>
      <w:r>
        <w:rPr>
          <w:rFonts w:cs="Charter"/>
          <w:i/>
          <w:iCs/>
          <w:lang w:val="en-US"/>
        </w:rPr>
        <w:t>Journal of the Intensive Care Society</w:t>
      </w:r>
      <w:r>
        <w:rPr>
          <w:rFonts w:cs="Charter"/>
          <w:lang w:val="en-US"/>
        </w:rPr>
        <w:t xml:space="preserve"> 2014;</w:t>
      </w:r>
      <w:r>
        <w:rPr>
          <w:rFonts w:cs="Charter"/>
          <w:b/>
          <w:bCs/>
          <w:lang w:val="en-US"/>
        </w:rPr>
        <w:t>15</w:t>
      </w:r>
      <w:r>
        <w:rPr>
          <w:rFonts w:cs="Charter"/>
          <w:lang w:val="en-US"/>
        </w:rPr>
        <w:t>:288–96.</w:t>
      </w:r>
    </w:p>
    <w:p w14:paraId="32E0334C" w14:textId="77777777" w:rsidR="00815662" w:rsidRDefault="00027B13">
      <w:r>
        <w:lastRenderedPageBreak/>
        <w:fldChar w:fldCharType="end"/>
      </w:r>
    </w:p>
    <w:sectPr w:rsidR="00815662" w:rsidSect="001D57B9">
      <w:footerReference w:type="even" r:id="rId7"/>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038B3B" w14:textId="77777777" w:rsidR="00252D02" w:rsidRDefault="00252D02">
      <w:pPr>
        <w:spacing w:after="0"/>
      </w:pPr>
      <w:r>
        <w:separator/>
      </w:r>
    </w:p>
  </w:endnote>
  <w:endnote w:type="continuationSeparator" w:id="0">
    <w:p w14:paraId="2DD9A849" w14:textId="77777777" w:rsidR="00252D02" w:rsidRDefault="00252D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harter">
    <w:altName w:val="Charter Roman"/>
    <w:panose1 w:val="02000503060000020004"/>
    <w:charset w:val="00"/>
    <w:family w:val="auto"/>
    <w:pitch w:val="variable"/>
    <w:sig w:usb0="00000003" w:usb1="00000000" w:usb2="00000000" w:usb3="00000000" w:csb0="00000001" w:csb1="00000000"/>
  </w:font>
  <w:font w:name="Fira Sans">
    <w:panose1 w:val="020B0503050000020004"/>
    <w:charset w:val="00"/>
    <w:family w:val="auto"/>
    <w:pitch w:val="variable"/>
    <w:sig w:usb0="00000287" w:usb1="02000001" w:usb2="00000000" w:usb3="00000000" w:csb0="0000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E8073" w14:textId="77777777" w:rsidR="0026221B" w:rsidRDefault="00252D02" w:rsidP="00764720">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12929E50" w14:textId="77777777" w:rsidR="0026221B" w:rsidRDefault="00252D02" w:rsidP="007F6C8F">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BA73F" w14:textId="77777777" w:rsidR="0026221B" w:rsidRPr="007F6C8F" w:rsidRDefault="00252D02" w:rsidP="007F6C8F">
    <w:pPr>
      <w:pStyle w:val="Footer"/>
      <w:tabs>
        <w:tab w:val="clear" w:pos="4320"/>
        <w:tab w:val="clear" w:pos="8640"/>
        <w:tab w:val="left" w:pos="5860"/>
      </w:tabs>
      <w:rPr>
        <w:sz w:val="20"/>
        <w:szCs w:val="20"/>
      </w:rPr>
    </w:pPr>
    <w:r w:rsidRPr="007F6C8F">
      <w:rPr>
        <w:rFonts w:ascii="Times New Roman" w:hAnsi="Times New Roman" w:cs="Times New Roman"/>
        <w:sz w:val="20"/>
        <w:szCs w:val="20"/>
        <w:lang w:val="en-US"/>
      </w:rPr>
      <w:t xml:space="preserve">Page </w:t>
    </w:r>
    <w:r w:rsidRPr="007F6C8F">
      <w:rPr>
        <w:rFonts w:ascii="Times New Roman" w:hAnsi="Times New Roman" w:cs="Times New Roman"/>
        <w:sz w:val="20"/>
        <w:szCs w:val="20"/>
        <w:lang w:val="en-US"/>
      </w:rPr>
      <w:fldChar w:fldCharType="begin"/>
    </w:r>
    <w:r w:rsidRPr="007F6C8F">
      <w:rPr>
        <w:rFonts w:ascii="Times New Roman" w:hAnsi="Times New Roman" w:cs="Times New Roman"/>
        <w:sz w:val="20"/>
        <w:szCs w:val="20"/>
        <w:lang w:val="en-US"/>
      </w:rPr>
      <w:instrText xml:space="preserve"> PAGE </w:instrText>
    </w:r>
    <w:r w:rsidRPr="007F6C8F">
      <w:rPr>
        <w:rFonts w:ascii="Times New Roman" w:hAnsi="Times New Roman" w:cs="Times New Roman"/>
        <w:sz w:val="20"/>
        <w:szCs w:val="20"/>
        <w:lang w:val="en-US"/>
      </w:rPr>
      <w:fldChar w:fldCharType="separate"/>
    </w:r>
    <w:r w:rsidR="00027B13">
      <w:rPr>
        <w:rFonts w:ascii="Times New Roman" w:hAnsi="Times New Roman" w:cs="Times New Roman"/>
        <w:noProof/>
        <w:sz w:val="20"/>
        <w:szCs w:val="20"/>
        <w:lang w:val="en-US"/>
      </w:rPr>
      <w:t>15</w:t>
    </w:r>
    <w:r w:rsidRPr="007F6C8F">
      <w:rPr>
        <w:rFonts w:ascii="Times New Roman" w:hAnsi="Times New Roman" w:cs="Times New Roman"/>
        <w:sz w:val="20"/>
        <w:szCs w:val="20"/>
        <w:lang w:val="en-US"/>
      </w:rPr>
      <w:fldChar w:fldCharType="end"/>
    </w:r>
    <w:r w:rsidRPr="007F6C8F">
      <w:rPr>
        <w:rFonts w:ascii="Times New Roman" w:hAnsi="Times New Roman" w:cs="Times New Roman"/>
        <w:sz w:val="20"/>
        <w:szCs w:val="20"/>
        <w:lang w:val="en-US"/>
      </w:rPr>
      <w:t xml:space="preserve"> of </w:t>
    </w:r>
    <w:r w:rsidRPr="007F6C8F">
      <w:rPr>
        <w:rFonts w:ascii="Times New Roman" w:hAnsi="Times New Roman" w:cs="Times New Roman"/>
        <w:sz w:val="20"/>
        <w:szCs w:val="20"/>
        <w:lang w:val="en-US"/>
      </w:rPr>
      <w:fldChar w:fldCharType="begin"/>
    </w:r>
    <w:r w:rsidRPr="007F6C8F">
      <w:rPr>
        <w:rFonts w:ascii="Times New Roman" w:hAnsi="Times New Roman" w:cs="Times New Roman"/>
        <w:sz w:val="20"/>
        <w:szCs w:val="20"/>
        <w:lang w:val="en-US"/>
      </w:rPr>
      <w:instrText xml:space="preserve"> NUMPAGES </w:instrText>
    </w:r>
    <w:r w:rsidRPr="007F6C8F">
      <w:rPr>
        <w:rFonts w:ascii="Times New Roman" w:hAnsi="Times New Roman" w:cs="Times New Roman"/>
        <w:sz w:val="20"/>
        <w:szCs w:val="20"/>
        <w:lang w:val="en-US"/>
      </w:rPr>
      <w:fldChar w:fldCharType="separate"/>
    </w:r>
    <w:r w:rsidR="00027B13">
      <w:rPr>
        <w:rFonts w:ascii="Times New Roman" w:hAnsi="Times New Roman" w:cs="Times New Roman"/>
        <w:noProof/>
        <w:sz w:val="20"/>
        <w:szCs w:val="20"/>
        <w:lang w:val="en-US"/>
      </w:rPr>
      <w:t>17</w:t>
    </w:r>
    <w:r w:rsidRPr="007F6C8F">
      <w:rPr>
        <w:rFonts w:ascii="Times New Roman" w:hAnsi="Times New Roman" w:cs="Times New Roman"/>
        <w:sz w:val="20"/>
        <w:szCs w:val="20"/>
        <w:lang w:val="en-US"/>
      </w:rPr>
      <w:fldChar w:fldCharType="end"/>
    </w:r>
    <w:r w:rsidRPr="007F6C8F">
      <w:rPr>
        <w:sz w:val="20"/>
        <w:szCs w:val="20"/>
      </w:rPr>
      <w:t xml:space="preserve">                                                                              Version </w:t>
    </w:r>
    <w:r w:rsidRPr="007F6C8F">
      <w:rPr>
        <w:sz w:val="20"/>
        <w:szCs w:val="20"/>
      </w:rPr>
      <w:fldChar w:fldCharType="begin"/>
    </w:r>
    <w:r w:rsidRPr="007F6C8F">
      <w:rPr>
        <w:sz w:val="20"/>
        <w:szCs w:val="20"/>
      </w:rPr>
      <w:instrText xml:space="preserve"> TIME \@ "yyyy-MM-dd" </w:instrText>
    </w:r>
    <w:r w:rsidRPr="007F6C8F">
      <w:rPr>
        <w:sz w:val="20"/>
        <w:szCs w:val="20"/>
      </w:rPr>
      <w:fldChar w:fldCharType="separate"/>
    </w:r>
    <w:r w:rsidR="00027B13">
      <w:rPr>
        <w:noProof/>
        <w:sz w:val="20"/>
        <w:szCs w:val="20"/>
      </w:rPr>
      <w:t>2016-06-04</w:t>
    </w:r>
    <w:r w:rsidRPr="007F6C8F">
      <w:rPr>
        <w:sz w:val="20"/>
        <w:szCs w:val="20"/>
      </w:rPr>
      <w:fldChar w:fldCharType="end"/>
    </w:r>
    <w:r w:rsidRPr="007F6C8F">
      <w:rPr>
        <w:sz w:val="20"/>
        <w:szCs w:val="20"/>
      </w:rPr>
      <w:t>t</w:t>
    </w:r>
    <w:r w:rsidRPr="007F6C8F">
      <w:rPr>
        <w:sz w:val="20"/>
        <w:szCs w:val="20"/>
      </w:rPr>
      <w:fldChar w:fldCharType="begin"/>
    </w:r>
    <w:r w:rsidRPr="007F6C8F">
      <w:rPr>
        <w:sz w:val="20"/>
        <w:szCs w:val="20"/>
      </w:rPr>
      <w:instrText xml:space="preserve"> TIME \@ "HH:mm:ss" </w:instrText>
    </w:r>
    <w:r w:rsidRPr="007F6C8F">
      <w:rPr>
        <w:sz w:val="20"/>
        <w:szCs w:val="20"/>
      </w:rPr>
      <w:fldChar w:fldCharType="separate"/>
    </w:r>
    <w:r w:rsidR="00027B13">
      <w:rPr>
        <w:noProof/>
        <w:sz w:val="20"/>
        <w:szCs w:val="20"/>
      </w:rPr>
      <w:t>00:50:35</w:t>
    </w:r>
    <w:r w:rsidRPr="007F6C8F">
      <w:rPr>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1EB9B" w14:textId="77777777" w:rsidR="00252D02" w:rsidRDefault="00252D02">
      <w:r>
        <w:separator/>
      </w:r>
    </w:p>
  </w:footnote>
  <w:footnote w:type="continuationSeparator" w:id="0">
    <w:p w14:paraId="294E9939" w14:textId="77777777" w:rsidR="00252D02" w:rsidRDefault="00252D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8D2454E"/>
    <w:multiLevelType w:val="multilevel"/>
    <w:tmpl w:val="5802D6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FF3ACAE"/>
    <w:multiLevelType w:val="multilevel"/>
    <w:tmpl w:val="090C52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93EC584"/>
    <w:multiLevelType w:val="multilevel"/>
    <w:tmpl w:val="904C50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312940A"/>
    <w:multiLevelType w:val="multilevel"/>
    <w:tmpl w:val="620CEE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C26CAEFB"/>
    <w:multiLevelType w:val="multilevel"/>
    <w:tmpl w:val="B9BA9A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A8D78E6"/>
    <w:multiLevelType w:val="multilevel"/>
    <w:tmpl w:val="9EDE2E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B05502B"/>
    <w:multiLevelType w:val="multilevel"/>
    <w:tmpl w:val="84C6031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nsid w:val="DB6ED5FA"/>
    <w:multiLevelType w:val="multilevel"/>
    <w:tmpl w:val="99225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9CE0983"/>
    <w:multiLevelType w:val="multilevel"/>
    <w:tmpl w:val="22C8B1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FFFFFF1D"/>
    <w:multiLevelType w:val="multilevel"/>
    <w:tmpl w:val="88C679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0">
    <w:nsid w:val="FFFFFF7C"/>
    <w:multiLevelType w:val="singleLevel"/>
    <w:tmpl w:val="79B0B370"/>
    <w:lvl w:ilvl="0">
      <w:start w:val="1"/>
      <w:numFmt w:val="decimal"/>
      <w:lvlText w:val="%1."/>
      <w:lvlJc w:val="left"/>
      <w:pPr>
        <w:tabs>
          <w:tab w:val="num" w:pos="1800"/>
        </w:tabs>
        <w:ind w:left="1800" w:hanging="360"/>
      </w:pPr>
    </w:lvl>
  </w:abstractNum>
  <w:abstractNum w:abstractNumId="11">
    <w:nsid w:val="FFFFFF7D"/>
    <w:multiLevelType w:val="singleLevel"/>
    <w:tmpl w:val="7070F226"/>
    <w:lvl w:ilvl="0">
      <w:start w:val="1"/>
      <w:numFmt w:val="decimal"/>
      <w:lvlText w:val="%1."/>
      <w:lvlJc w:val="left"/>
      <w:pPr>
        <w:tabs>
          <w:tab w:val="num" w:pos="1440"/>
        </w:tabs>
        <w:ind w:left="1440" w:hanging="360"/>
      </w:pPr>
    </w:lvl>
  </w:abstractNum>
  <w:abstractNum w:abstractNumId="12">
    <w:nsid w:val="FFFFFF7E"/>
    <w:multiLevelType w:val="singleLevel"/>
    <w:tmpl w:val="03E4A552"/>
    <w:lvl w:ilvl="0">
      <w:start w:val="1"/>
      <w:numFmt w:val="decimal"/>
      <w:lvlText w:val="%1."/>
      <w:lvlJc w:val="left"/>
      <w:pPr>
        <w:tabs>
          <w:tab w:val="num" w:pos="1080"/>
        </w:tabs>
        <w:ind w:left="1080" w:hanging="360"/>
      </w:pPr>
    </w:lvl>
  </w:abstractNum>
  <w:abstractNum w:abstractNumId="13">
    <w:nsid w:val="FFFFFF7F"/>
    <w:multiLevelType w:val="singleLevel"/>
    <w:tmpl w:val="E43C66AA"/>
    <w:lvl w:ilvl="0">
      <w:start w:val="1"/>
      <w:numFmt w:val="decimal"/>
      <w:lvlText w:val="%1."/>
      <w:lvlJc w:val="left"/>
      <w:pPr>
        <w:tabs>
          <w:tab w:val="num" w:pos="720"/>
        </w:tabs>
        <w:ind w:left="720" w:hanging="360"/>
      </w:pPr>
    </w:lvl>
  </w:abstractNum>
  <w:abstractNum w:abstractNumId="14">
    <w:nsid w:val="FFFFFF80"/>
    <w:multiLevelType w:val="singleLevel"/>
    <w:tmpl w:val="411E9FE4"/>
    <w:lvl w:ilvl="0">
      <w:start w:val="1"/>
      <w:numFmt w:val="bullet"/>
      <w:lvlText w:val=""/>
      <w:lvlJc w:val="left"/>
      <w:pPr>
        <w:tabs>
          <w:tab w:val="num" w:pos="1800"/>
        </w:tabs>
        <w:ind w:left="1800" w:hanging="360"/>
      </w:pPr>
      <w:rPr>
        <w:rFonts w:ascii="Symbol" w:hAnsi="Symbol" w:hint="default"/>
      </w:rPr>
    </w:lvl>
  </w:abstractNum>
  <w:abstractNum w:abstractNumId="15">
    <w:nsid w:val="FFFFFF81"/>
    <w:multiLevelType w:val="singleLevel"/>
    <w:tmpl w:val="812E5474"/>
    <w:lvl w:ilvl="0">
      <w:start w:val="1"/>
      <w:numFmt w:val="bullet"/>
      <w:lvlText w:val=""/>
      <w:lvlJc w:val="left"/>
      <w:pPr>
        <w:tabs>
          <w:tab w:val="num" w:pos="1440"/>
        </w:tabs>
        <w:ind w:left="1440" w:hanging="360"/>
      </w:pPr>
      <w:rPr>
        <w:rFonts w:ascii="Symbol" w:hAnsi="Symbol" w:hint="default"/>
      </w:rPr>
    </w:lvl>
  </w:abstractNum>
  <w:abstractNum w:abstractNumId="16">
    <w:nsid w:val="FFFFFF82"/>
    <w:multiLevelType w:val="singleLevel"/>
    <w:tmpl w:val="8940DADA"/>
    <w:lvl w:ilvl="0">
      <w:start w:val="1"/>
      <w:numFmt w:val="bullet"/>
      <w:lvlText w:val=""/>
      <w:lvlJc w:val="left"/>
      <w:pPr>
        <w:tabs>
          <w:tab w:val="num" w:pos="1080"/>
        </w:tabs>
        <w:ind w:left="1080" w:hanging="360"/>
      </w:pPr>
      <w:rPr>
        <w:rFonts w:ascii="Symbol" w:hAnsi="Symbol" w:hint="default"/>
      </w:rPr>
    </w:lvl>
  </w:abstractNum>
  <w:abstractNum w:abstractNumId="17">
    <w:nsid w:val="FFFFFF83"/>
    <w:multiLevelType w:val="singleLevel"/>
    <w:tmpl w:val="A0766AAC"/>
    <w:lvl w:ilvl="0">
      <w:start w:val="1"/>
      <w:numFmt w:val="bullet"/>
      <w:lvlText w:val=""/>
      <w:lvlJc w:val="left"/>
      <w:pPr>
        <w:tabs>
          <w:tab w:val="num" w:pos="720"/>
        </w:tabs>
        <w:ind w:left="720" w:hanging="360"/>
      </w:pPr>
      <w:rPr>
        <w:rFonts w:ascii="Symbol" w:hAnsi="Symbol" w:hint="default"/>
      </w:rPr>
    </w:lvl>
  </w:abstractNum>
  <w:abstractNum w:abstractNumId="18">
    <w:nsid w:val="FFFFFF88"/>
    <w:multiLevelType w:val="singleLevel"/>
    <w:tmpl w:val="69A680D4"/>
    <w:lvl w:ilvl="0">
      <w:start w:val="1"/>
      <w:numFmt w:val="decimal"/>
      <w:lvlText w:val="%1."/>
      <w:lvlJc w:val="left"/>
      <w:pPr>
        <w:tabs>
          <w:tab w:val="num" w:pos="360"/>
        </w:tabs>
        <w:ind w:left="360" w:hanging="360"/>
      </w:pPr>
    </w:lvl>
  </w:abstractNum>
  <w:abstractNum w:abstractNumId="19">
    <w:nsid w:val="FFFFFF89"/>
    <w:multiLevelType w:val="singleLevel"/>
    <w:tmpl w:val="5388E856"/>
    <w:lvl w:ilvl="0">
      <w:start w:val="1"/>
      <w:numFmt w:val="bullet"/>
      <w:lvlText w:val=""/>
      <w:lvlJc w:val="left"/>
      <w:pPr>
        <w:tabs>
          <w:tab w:val="num" w:pos="360"/>
        </w:tabs>
        <w:ind w:left="360" w:hanging="360"/>
      </w:pPr>
      <w:rPr>
        <w:rFonts w:ascii="Symbol" w:hAnsi="Symbol" w:hint="default"/>
      </w:rPr>
    </w:lvl>
  </w:abstractNum>
  <w:abstractNum w:abstractNumId="20">
    <w:nsid w:val="08C765D3"/>
    <w:multiLevelType w:val="hybridMultilevel"/>
    <w:tmpl w:val="4558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FFDDE2"/>
    <w:multiLevelType w:val="multilevel"/>
    <w:tmpl w:val="04D833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40B22090"/>
    <w:multiLevelType w:val="hybridMultilevel"/>
    <w:tmpl w:val="560A2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4"/>
  </w:num>
  <w:num w:numId="4">
    <w:abstractNumId w:val="3"/>
  </w:num>
  <w:num w:numId="5">
    <w:abstractNumId w:val="1"/>
  </w:num>
  <w:num w:numId="6">
    <w:abstractNumId w:val="7"/>
  </w:num>
  <w:num w:numId="7">
    <w:abstractNumId w:val="6"/>
  </w:num>
  <w:num w:numId="8">
    <w:abstractNumId w:val="2"/>
  </w:num>
  <w:num w:numId="9">
    <w:abstractNumId w:val="8"/>
  </w:num>
  <w:num w:numId="10">
    <w:abstractNumId w:val="0"/>
  </w:num>
  <w:num w:numId="11">
    <w:abstractNumId w:val="21"/>
  </w:num>
  <w:num w:numId="12">
    <w:abstractNumId w:val="5"/>
  </w:num>
  <w:num w:numId="13">
    <w:abstractNumId w:val="9"/>
  </w:num>
  <w:num w:numId="14">
    <w:abstractNumId w:val="10"/>
  </w:num>
  <w:num w:numId="15">
    <w:abstractNumId w:val="11"/>
  </w:num>
  <w:num w:numId="16">
    <w:abstractNumId w:val="12"/>
  </w:num>
  <w:num w:numId="17">
    <w:abstractNumId w:val="13"/>
  </w:num>
  <w:num w:numId="18">
    <w:abstractNumId w:val="18"/>
  </w:num>
  <w:num w:numId="19">
    <w:abstractNumId w:val="14"/>
  </w:num>
  <w:num w:numId="20">
    <w:abstractNumId w:val="15"/>
  </w:num>
  <w:num w:numId="21">
    <w:abstractNumId w:val="16"/>
  </w:num>
  <w:num w:numId="22">
    <w:abstractNumId w:val="1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7B13"/>
    <w:rsid w:val="00252D02"/>
    <w:rsid w:val="004E29B3"/>
    <w:rsid w:val="00590D07"/>
    <w:rsid w:val="00784D58"/>
    <w:rsid w:val="00815662"/>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B71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40" w:line="480" w:lineRule="auto"/>
        <w:ind w:firstLine="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ABB"/>
    <w:pPr>
      <w:spacing w:after="120" w:line="240" w:lineRule="auto"/>
      <w:ind w:firstLine="0"/>
    </w:pPr>
    <w:rPr>
      <w:rFonts w:ascii="Charter" w:hAnsi="Charter"/>
    </w:rPr>
  </w:style>
  <w:style w:type="paragraph" w:styleId="Heading1">
    <w:name w:val="heading 1"/>
    <w:basedOn w:val="Normal"/>
    <w:next w:val="Normal"/>
    <w:link w:val="Heading1Char"/>
    <w:uiPriority w:val="9"/>
    <w:qFormat/>
    <w:rsid w:val="009A2ABB"/>
    <w:pPr>
      <w:pageBreakBefore/>
      <w:spacing w:before="600" w:after="0" w:line="360" w:lineRule="auto"/>
      <w:outlineLvl w:val="0"/>
    </w:pPr>
    <w:rPr>
      <w:rFonts w:ascii="Fira Sans" w:eastAsiaTheme="majorEastAsia" w:hAnsi="Fira Sans" w:cstheme="majorBidi"/>
      <w:b/>
      <w:bCs/>
      <w:i/>
      <w:iCs/>
      <w:sz w:val="32"/>
      <w:szCs w:val="32"/>
    </w:rPr>
  </w:style>
  <w:style w:type="paragraph" w:styleId="Heading2">
    <w:name w:val="heading 2"/>
    <w:basedOn w:val="Normal"/>
    <w:next w:val="Normal"/>
    <w:link w:val="Heading2Char"/>
    <w:uiPriority w:val="9"/>
    <w:unhideWhenUsed/>
    <w:qFormat/>
    <w:rsid w:val="00C502AC"/>
    <w:pPr>
      <w:spacing w:before="320" w:after="0" w:line="360" w:lineRule="auto"/>
      <w:outlineLvl w:val="1"/>
    </w:pPr>
    <w:rPr>
      <w:rFonts w:ascii="Fira Sans" w:eastAsiaTheme="majorEastAsia" w:hAnsi="Fira Sans" w:cstheme="majorBidi"/>
      <w:b/>
      <w:bCs/>
      <w:i/>
      <w:iCs/>
      <w:sz w:val="28"/>
      <w:szCs w:val="28"/>
    </w:rPr>
  </w:style>
  <w:style w:type="paragraph" w:styleId="Heading3">
    <w:name w:val="heading 3"/>
    <w:basedOn w:val="Normal"/>
    <w:next w:val="Normal"/>
    <w:link w:val="Heading3Char"/>
    <w:uiPriority w:val="9"/>
    <w:unhideWhenUsed/>
    <w:qFormat/>
    <w:rsid w:val="00C502AC"/>
    <w:pPr>
      <w:spacing w:before="320" w:after="0" w:line="360" w:lineRule="auto"/>
      <w:outlineLvl w:val="2"/>
    </w:pPr>
    <w:rPr>
      <w:rFonts w:ascii="Fira Sans" w:eastAsiaTheme="majorEastAsia" w:hAnsi="Fira Sans" w:cstheme="majorBidi"/>
      <w:b/>
      <w:bCs/>
      <w:i/>
      <w:iCs/>
      <w:sz w:val="26"/>
      <w:szCs w:val="26"/>
    </w:rPr>
  </w:style>
  <w:style w:type="paragraph" w:styleId="Heading4">
    <w:name w:val="heading 4"/>
    <w:basedOn w:val="Normal"/>
    <w:next w:val="Normal"/>
    <w:link w:val="Heading4Char"/>
    <w:uiPriority w:val="9"/>
    <w:unhideWhenUsed/>
    <w:qFormat/>
    <w:rsid w:val="00C502AC"/>
    <w:pPr>
      <w:spacing w:before="280" w:after="0" w:line="360" w:lineRule="auto"/>
      <w:outlineLvl w:val="3"/>
    </w:pPr>
    <w:rPr>
      <w:rFonts w:ascii="Fira Sans" w:eastAsiaTheme="majorEastAsia" w:hAnsi="Fira Sans" w:cstheme="majorBidi"/>
      <w:b/>
      <w:bCs/>
      <w:i/>
      <w:iCs/>
      <w:sz w:val="24"/>
      <w:szCs w:val="24"/>
    </w:rPr>
  </w:style>
  <w:style w:type="paragraph" w:styleId="Heading5">
    <w:name w:val="heading 5"/>
    <w:basedOn w:val="Normal"/>
    <w:next w:val="Normal"/>
    <w:link w:val="Heading5Char"/>
    <w:uiPriority w:val="9"/>
    <w:unhideWhenUsed/>
    <w:qFormat/>
    <w:rsid w:val="00C502AC"/>
    <w:pPr>
      <w:spacing w:before="280" w:after="0" w:line="360" w:lineRule="auto"/>
      <w:outlineLvl w:val="4"/>
    </w:pPr>
    <w:rPr>
      <w:rFonts w:ascii="Fira Sans" w:eastAsiaTheme="majorEastAsia" w:hAnsi="Fira Sans" w:cstheme="majorBidi"/>
      <w:b/>
      <w:bCs/>
      <w:i/>
      <w:iCs/>
    </w:rPr>
  </w:style>
  <w:style w:type="paragraph" w:styleId="Heading6">
    <w:name w:val="heading 6"/>
    <w:basedOn w:val="Normal"/>
    <w:next w:val="Normal"/>
    <w:link w:val="Heading6Char"/>
    <w:uiPriority w:val="9"/>
    <w:unhideWhenUsed/>
    <w:qFormat/>
    <w:rsid w:val="00C502AC"/>
    <w:pPr>
      <w:spacing w:before="280" w:after="80" w:line="360" w:lineRule="auto"/>
      <w:outlineLvl w:val="5"/>
    </w:pPr>
    <w:rPr>
      <w:rFonts w:ascii="Fira Sans" w:eastAsiaTheme="majorEastAsia" w:hAnsi="Fira Sans" w:cstheme="majorBidi"/>
      <w:b/>
      <w:bCs/>
      <w:i/>
      <w:iCs/>
    </w:rPr>
  </w:style>
  <w:style w:type="paragraph" w:styleId="Heading7">
    <w:name w:val="heading 7"/>
    <w:basedOn w:val="Normal"/>
    <w:next w:val="Normal"/>
    <w:link w:val="Heading7Char"/>
    <w:uiPriority w:val="9"/>
    <w:semiHidden/>
    <w:unhideWhenUsed/>
    <w:qFormat/>
    <w:rsid w:val="00FB756A"/>
    <w:pPr>
      <w:spacing w:before="280" w:after="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FB756A"/>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FB756A"/>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ABB"/>
    <w:rPr>
      <w:rFonts w:ascii="Fira Sans" w:eastAsiaTheme="majorEastAsia" w:hAnsi="Fira Sans" w:cstheme="majorBidi"/>
      <w:b/>
      <w:bCs/>
      <w:i/>
      <w:iCs/>
      <w:sz w:val="32"/>
      <w:szCs w:val="32"/>
    </w:rPr>
  </w:style>
  <w:style w:type="character" w:customStyle="1" w:styleId="Heading2Char">
    <w:name w:val="Heading 2 Char"/>
    <w:basedOn w:val="DefaultParagraphFont"/>
    <w:link w:val="Heading2"/>
    <w:uiPriority w:val="9"/>
    <w:rsid w:val="00C502AC"/>
    <w:rPr>
      <w:rFonts w:ascii="Fira Sans" w:eastAsiaTheme="majorEastAsia" w:hAnsi="Fira Sans" w:cstheme="majorBidi"/>
      <w:b/>
      <w:bCs/>
      <w:i/>
      <w:iCs/>
      <w:sz w:val="28"/>
      <w:szCs w:val="28"/>
    </w:rPr>
  </w:style>
  <w:style w:type="character" w:customStyle="1" w:styleId="Heading3Char">
    <w:name w:val="Heading 3 Char"/>
    <w:basedOn w:val="DefaultParagraphFont"/>
    <w:link w:val="Heading3"/>
    <w:uiPriority w:val="9"/>
    <w:rsid w:val="00C502AC"/>
    <w:rPr>
      <w:rFonts w:ascii="Fira Sans" w:eastAsiaTheme="majorEastAsia" w:hAnsi="Fira Sans" w:cstheme="majorBidi"/>
      <w:b/>
      <w:bCs/>
      <w:i/>
      <w:iCs/>
      <w:sz w:val="26"/>
      <w:szCs w:val="26"/>
    </w:rPr>
  </w:style>
  <w:style w:type="character" w:customStyle="1" w:styleId="Heading4Char">
    <w:name w:val="Heading 4 Char"/>
    <w:basedOn w:val="DefaultParagraphFont"/>
    <w:link w:val="Heading4"/>
    <w:uiPriority w:val="9"/>
    <w:rsid w:val="00C502AC"/>
    <w:rPr>
      <w:rFonts w:ascii="Fira Sans" w:eastAsiaTheme="majorEastAsia" w:hAnsi="Fira Sans" w:cstheme="majorBidi"/>
      <w:b/>
      <w:bCs/>
      <w:i/>
      <w:iCs/>
      <w:sz w:val="24"/>
      <w:szCs w:val="24"/>
    </w:rPr>
  </w:style>
  <w:style w:type="character" w:customStyle="1" w:styleId="Heading5Char">
    <w:name w:val="Heading 5 Char"/>
    <w:basedOn w:val="DefaultParagraphFont"/>
    <w:link w:val="Heading5"/>
    <w:uiPriority w:val="9"/>
    <w:rsid w:val="00C502AC"/>
    <w:rPr>
      <w:rFonts w:ascii="Fira Sans" w:eastAsiaTheme="majorEastAsia" w:hAnsi="Fira Sans" w:cstheme="majorBidi"/>
      <w:b/>
      <w:bCs/>
      <w:i/>
      <w:iCs/>
    </w:rPr>
  </w:style>
  <w:style w:type="character" w:customStyle="1" w:styleId="Heading6Char">
    <w:name w:val="Heading 6 Char"/>
    <w:basedOn w:val="DefaultParagraphFont"/>
    <w:link w:val="Heading6"/>
    <w:uiPriority w:val="9"/>
    <w:rsid w:val="00C502AC"/>
    <w:rPr>
      <w:rFonts w:ascii="Fira Sans" w:eastAsiaTheme="majorEastAsia" w:hAnsi="Fira Sans" w:cstheme="majorBidi"/>
      <w:b/>
      <w:bCs/>
      <w:i/>
      <w:iCs/>
    </w:rPr>
  </w:style>
  <w:style w:type="character" w:customStyle="1" w:styleId="Heading7Char">
    <w:name w:val="Heading 7 Char"/>
    <w:basedOn w:val="DefaultParagraphFont"/>
    <w:link w:val="Heading7"/>
    <w:uiPriority w:val="9"/>
    <w:semiHidden/>
    <w:rsid w:val="00FB756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FB756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FB756A"/>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FB756A"/>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FB756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FB756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FB756A"/>
    <w:rPr>
      <w:i/>
      <w:iCs/>
      <w:color w:val="808080" w:themeColor="text1" w:themeTint="7F"/>
      <w:spacing w:val="10"/>
      <w:sz w:val="24"/>
      <w:szCs w:val="24"/>
    </w:rPr>
  </w:style>
  <w:style w:type="character" w:styleId="Strong">
    <w:name w:val="Strong"/>
    <w:basedOn w:val="DefaultParagraphFont"/>
    <w:uiPriority w:val="22"/>
    <w:qFormat/>
    <w:rsid w:val="00FB756A"/>
    <w:rPr>
      <w:b/>
      <w:bCs/>
      <w:spacing w:val="0"/>
    </w:rPr>
  </w:style>
  <w:style w:type="character" w:styleId="Emphasis">
    <w:name w:val="Emphasis"/>
    <w:uiPriority w:val="20"/>
    <w:qFormat/>
    <w:rsid w:val="00FB756A"/>
    <w:rPr>
      <w:b/>
      <w:bCs/>
      <w:i/>
      <w:iCs/>
      <w:color w:val="auto"/>
    </w:rPr>
  </w:style>
  <w:style w:type="paragraph" w:styleId="NoSpacing">
    <w:name w:val="No Spacing"/>
    <w:basedOn w:val="Normal"/>
    <w:link w:val="NoSpacingChar"/>
    <w:uiPriority w:val="1"/>
    <w:qFormat/>
    <w:rsid w:val="00FB756A"/>
    <w:pPr>
      <w:spacing w:after="0"/>
    </w:pPr>
  </w:style>
  <w:style w:type="character" w:customStyle="1" w:styleId="NoSpacingChar">
    <w:name w:val="No Spacing Char"/>
    <w:basedOn w:val="DefaultParagraphFont"/>
    <w:link w:val="NoSpacing"/>
    <w:uiPriority w:val="1"/>
    <w:rsid w:val="00FB756A"/>
  </w:style>
  <w:style w:type="paragraph" w:styleId="ListParagraph">
    <w:name w:val="List Paragraph"/>
    <w:basedOn w:val="Normal"/>
    <w:uiPriority w:val="34"/>
    <w:qFormat/>
    <w:rsid w:val="00FB5BDE"/>
    <w:pPr>
      <w:spacing w:after="0"/>
      <w:ind w:left="720"/>
      <w:contextualSpacing/>
    </w:pPr>
  </w:style>
  <w:style w:type="paragraph" w:styleId="Quote">
    <w:name w:val="Quote"/>
    <w:basedOn w:val="Normal"/>
    <w:next w:val="Normal"/>
    <w:link w:val="QuoteChar"/>
    <w:uiPriority w:val="29"/>
    <w:qFormat/>
    <w:rsid w:val="00FB756A"/>
    <w:rPr>
      <w:color w:val="5A5A5A" w:themeColor="text1" w:themeTint="A5"/>
    </w:rPr>
  </w:style>
  <w:style w:type="character" w:customStyle="1" w:styleId="QuoteChar">
    <w:name w:val="Quote Char"/>
    <w:basedOn w:val="DefaultParagraphFont"/>
    <w:link w:val="Quote"/>
    <w:uiPriority w:val="29"/>
    <w:rsid w:val="00FB756A"/>
    <w:rPr>
      <w:color w:val="5A5A5A" w:themeColor="text1" w:themeTint="A5"/>
    </w:rPr>
  </w:style>
  <w:style w:type="paragraph" w:styleId="IntenseQuote">
    <w:name w:val="Intense Quote"/>
    <w:basedOn w:val="Normal"/>
    <w:next w:val="Normal"/>
    <w:link w:val="IntenseQuoteChar"/>
    <w:uiPriority w:val="30"/>
    <w:qFormat/>
    <w:rsid w:val="00FB756A"/>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FB756A"/>
    <w:rPr>
      <w:rFonts w:asciiTheme="majorHAnsi" w:eastAsiaTheme="majorEastAsia" w:hAnsiTheme="majorHAnsi" w:cstheme="majorBidi"/>
      <w:i/>
      <w:iCs/>
      <w:sz w:val="20"/>
      <w:szCs w:val="20"/>
    </w:rPr>
  </w:style>
  <w:style w:type="character" w:styleId="SubtleEmphasis">
    <w:name w:val="Subtle Emphasis"/>
    <w:uiPriority w:val="19"/>
    <w:qFormat/>
    <w:rsid w:val="00FB756A"/>
    <w:rPr>
      <w:i/>
      <w:iCs/>
      <w:color w:val="5A5A5A" w:themeColor="text1" w:themeTint="A5"/>
    </w:rPr>
  </w:style>
  <w:style w:type="character" w:styleId="IntenseEmphasis">
    <w:name w:val="Intense Emphasis"/>
    <w:uiPriority w:val="21"/>
    <w:qFormat/>
    <w:rsid w:val="00FB756A"/>
    <w:rPr>
      <w:b/>
      <w:bCs/>
      <w:i/>
      <w:iCs/>
      <w:color w:val="auto"/>
      <w:u w:val="single"/>
    </w:rPr>
  </w:style>
  <w:style w:type="character" w:styleId="SubtleReference">
    <w:name w:val="Subtle Reference"/>
    <w:uiPriority w:val="31"/>
    <w:qFormat/>
    <w:rsid w:val="00FB756A"/>
    <w:rPr>
      <w:smallCaps/>
    </w:rPr>
  </w:style>
  <w:style w:type="character" w:styleId="IntenseReference">
    <w:name w:val="Intense Reference"/>
    <w:uiPriority w:val="32"/>
    <w:qFormat/>
    <w:rsid w:val="00FB756A"/>
    <w:rPr>
      <w:b/>
      <w:bCs/>
      <w:smallCaps/>
      <w:color w:val="auto"/>
    </w:rPr>
  </w:style>
  <w:style w:type="character" w:styleId="BookTitle">
    <w:name w:val="Book Title"/>
    <w:uiPriority w:val="33"/>
    <w:qFormat/>
    <w:rsid w:val="00FB756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FB756A"/>
    <w:pPr>
      <w:outlineLvl w:val="9"/>
    </w:pPr>
    <w:rPr>
      <w:lang w:bidi="en-US"/>
    </w:rPr>
  </w:style>
  <w:style w:type="paragraph" w:styleId="Caption">
    <w:name w:val="caption"/>
    <w:basedOn w:val="Normal"/>
    <w:next w:val="Normal"/>
    <w:uiPriority w:val="35"/>
    <w:semiHidden/>
    <w:unhideWhenUsed/>
    <w:qFormat/>
    <w:rsid w:val="00FB756A"/>
    <w:rPr>
      <w:b/>
      <w:bCs/>
      <w:sz w:val="18"/>
      <w:szCs w:val="18"/>
    </w:rPr>
  </w:style>
  <w:style w:type="paragraph" w:styleId="Header">
    <w:name w:val="header"/>
    <w:basedOn w:val="Normal"/>
    <w:link w:val="HeaderChar"/>
    <w:uiPriority w:val="99"/>
    <w:unhideWhenUsed/>
    <w:rsid w:val="007F6C8F"/>
    <w:pPr>
      <w:tabs>
        <w:tab w:val="center" w:pos="4320"/>
        <w:tab w:val="right" w:pos="8640"/>
      </w:tabs>
      <w:spacing w:after="0"/>
    </w:pPr>
  </w:style>
  <w:style w:type="character" w:customStyle="1" w:styleId="HeaderChar">
    <w:name w:val="Header Char"/>
    <w:basedOn w:val="DefaultParagraphFont"/>
    <w:link w:val="Header"/>
    <w:uiPriority w:val="99"/>
    <w:rsid w:val="007F6C8F"/>
    <w:rPr>
      <w:rFonts w:ascii="Charter" w:hAnsi="Charter"/>
    </w:rPr>
  </w:style>
  <w:style w:type="paragraph" w:styleId="Footer">
    <w:name w:val="footer"/>
    <w:basedOn w:val="Normal"/>
    <w:link w:val="FooterChar"/>
    <w:uiPriority w:val="99"/>
    <w:unhideWhenUsed/>
    <w:rsid w:val="007F6C8F"/>
    <w:pPr>
      <w:tabs>
        <w:tab w:val="center" w:pos="4320"/>
        <w:tab w:val="right" w:pos="8640"/>
      </w:tabs>
      <w:spacing w:after="0"/>
    </w:pPr>
  </w:style>
  <w:style w:type="character" w:customStyle="1" w:styleId="FooterChar">
    <w:name w:val="Footer Char"/>
    <w:basedOn w:val="DefaultParagraphFont"/>
    <w:link w:val="Footer"/>
    <w:uiPriority w:val="99"/>
    <w:rsid w:val="007F6C8F"/>
    <w:rPr>
      <w:rFonts w:ascii="Charter" w:hAnsi="Charter"/>
    </w:rPr>
  </w:style>
  <w:style w:type="character" w:styleId="PageNumber">
    <w:name w:val="page number"/>
    <w:basedOn w:val="DefaultParagraphFont"/>
    <w:uiPriority w:val="99"/>
    <w:semiHidden/>
    <w:unhideWhenUsed/>
    <w:rsid w:val="007F6C8F"/>
  </w:style>
  <w:style w:type="paragraph" w:customStyle="1" w:styleId="SourceCode">
    <w:name w:val="Source Code"/>
    <w:basedOn w:val="Normal"/>
    <w:rsid w:val="00F94755"/>
    <w:pPr>
      <w:wordWrap w:val="0"/>
    </w:pPr>
  </w:style>
  <w:style w:type="table" w:styleId="TableGrid">
    <w:name w:val="Table Grid"/>
    <w:basedOn w:val="TableNormal"/>
    <w:uiPriority w:val="59"/>
    <w:rsid w:val="00197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qFormat/>
    <w:rsid w:val="00C41766"/>
    <w:pPr>
      <w:spacing w:after="0"/>
    </w:pPr>
    <w:rPr>
      <w:rFonts w:ascii="Times New Roman" w:hAnsi="Times New Roman" w:cs="Times New Roman"/>
      <w:sz w:val="16"/>
      <w:szCs w:val="16"/>
    </w:rPr>
  </w:style>
  <w:style w:type="paragraph" w:styleId="BalloonText">
    <w:name w:val="Balloon Text"/>
    <w:basedOn w:val="Normal"/>
    <w:link w:val="BalloonTextChar"/>
    <w:uiPriority w:val="99"/>
    <w:semiHidden/>
    <w:unhideWhenUsed/>
    <w:rsid w:val="008C60F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0F2"/>
    <w:rPr>
      <w:rFonts w:ascii="Lucida Grande" w:hAnsi="Lucida Grande" w:cs="Lucida Grande"/>
      <w:sz w:val="18"/>
      <w:szCs w:val="18"/>
    </w:rPr>
  </w:style>
  <w:style w:type="paragraph" w:styleId="DocumentMap">
    <w:name w:val="Document Map"/>
    <w:basedOn w:val="Normal"/>
    <w:link w:val="DocumentMapChar"/>
    <w:uiPriority w:val="99"/>
    <w:semiHidden/>
    <w:unhideWhenUsed/>
    <w:rsid w:val="001C05A3"/>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1C05A3"/>
    <w:rPr>
      <w:rFonts w:ascii="Lucida Grande" w:hAnsi="Lucida Grande" w:cs="Lucida Grande"/>
      <w:sz w:val="24"/>
      <w:szCs w:val="24"/>
    </w:r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555">
      <w:bodyDiv w:val="1"/>
      <w:marLeft w:val="0"/>
      <w:marRight w:val="0"/>
      <w:marTop w:val="0"/>
      <w:marBottom w:val="0"/>
      <w:divBdr>
        <w:top w:val="none" w:sz="0" w:space="0" w:color="auto"/>
        <w:left w:val="none" w:sz="0" w:space="0" w:color="auto"/>
        <w:bottom w:val="none" w:sz="0" w:space="0" w:color="auto"/>
        <w:right w:val="none" w:sz="0" w:space="0" w:color="auto"/>
      </w:divBdr>
    </w:div>
    <w:div w:id="22168341">
      <w:bodyDiv w:val="1"/>
      <w:marLeft w:val="0"/>
      <w:marRight w:val="0"/>
      <w:marTop w:val="0"/>
      <w:marBottom w:val="0"/>
      <w:divBdr>
        <w:top w:val="none" w:sz="0" w:space="0" w:color="auto"/>
        <w:left w:val="none" w:sz="0" w:space="0" w:color="auto"/>
        <w:bottom w:val="none" w:sz="0" w:space="0" w:color="auto"/>
        <w:right w:val="none" w:sz="0" w:space="0" w:color="auto"/>
      </w:divBdr>
    </w:div>
    <w:div w:id="40441675">
      <w:bodyDiv w:val="1"/>
      <w:marLeft w:val="0"/>
      <w:marRight w:val="0"/>
      <w:marTop w:val="0"/>
      <w:marBottom w:val="0"/>
      <w:divBdr>
        <w:top w:val="none" w:sz="0" w:space="0" w:color="auto"/>
        <w:left w:val="none" w:sz="0" w:space="0" w:color="auto"/>
        <w:bottom w:val="none" w:sz="0" w:space="0" w:color="auto"/>
        <w:right w:val="none" w:sz="0" w:space="0" w:color="auto"/>
      </w:divBdr>
    </w:div>
    <w:div w:id="60828995">
      <w:bodyDiv w:val="1"/>
      <w:marLeft w:val="0"/>
      <w:marRight w:val="0"/>
      <w:marTop w:val="0"/>
      <w:marBottom w:val="0"/>
      <w:divBdr>
        <w:top w:val="none" w:sz="0" w:space="0" w:color="auto"/>
        <w:left w:val="none" w:sz="0" w:space="0" w:color="auto"/>
        <w:bottom w:val="none" w:sz="0" w:space="0" w:color="auto"/>
        <w:right w:val="none" w:sz="0" w:space="0" w:color="auto"/>
      </w:divBdr>
    </w:div>
    <w:div w:id="78865304">
      <w:bodyDiv w:val="1"/>
      <w:marLeft w:val="0"/>
      <w:marRight w:val="0"/>
      <w:marTop w:val="0"/>
      <w:marBottom w:val="0"/>
      <w:divBdr>
        <w:top w:val="none" w:sz="0" w:space="0" w:color="auto"/>
        <w:left w:val="none" w:sz="0" w:space="0" w:color="auto"/>
        <w:bottom w:val="none" w:sz="0" w:space="0" w:color="auto"/>
        <w:right w:val="none" w:sz="0" w:space="0" w:color="auto"/>
      </w:divBdr>
    </w:div>
    <w:div w:id="81145258">
      <w:bodyDiv w:val="1"/>
      <w:marLeft w:val="0"/>
      <w:marRight w:val="0"/>
      <w:marTop w:val="0"/>
      <w:marBottom w:val="0"/>
      <w:divBdr>
        <w:top w:val="none" w:sz="0" w:space="0" w:color="auto"/>
        <w:left w:val="none" w:sz="0" w:space="0" w:color="auto"/>
        <w:bottom w:val="none" w:sz="0" w:space="0" w:color="auto"/>
        <w:right w:val="none" w:sz="0" w:space="0" w:color="auto"/>
      </w:divBdr>
    </w:div>
    <w:div w:id="113718274">
      <w:bodyDiv w:val="1"/>
      <w:marLeft w:val="0"/>
      <w:marRight w:val="0"/>
      <w:marTop w:val="0"/>
      <w:marBottom w:val="0"/>
      <w:divBdr>
        <w:top w:val="none" w:sz="0" w:space="0" w:color="auto"/>
        <w:left w:val="none" w:sz="0" w:space="0" w:color="auto"/>
        <w:bottom w:val="none" w:sz="0" w:space="0" w:color="auto"/>
        <w:right w:val="none" w:sz="0" w:space="0" w:color="auto"/>
      </w:divBdr>
    </w:div>
    <w:div w:id="136724409">
      <w:bodyDiv w:val="1"/>
      <w:marLeft w:val="0"/>
      <w:marRight w:val="0"/>
      <w:marTop w:val="0"/>
      <w:marBottom w:val="0"/>
      <w:divBdr>
        <w:top w:val="none" w:sz="0" w:space="0" w:color="auto"/>
        <w:left w:val="none" w:sz="0" w:space="0" w:color="auto"/>
        <w:bottom w:val="none" w:sz="0" w:space="0" w:color="auto"/>
        <w:right w:val="none" w:sz="0" w:space="0" w:color="auto"/>
      </w:divBdr>
    </w:div>
    <w:div w:id="158229074">
      <w:bodyDiv w:val="1"/>
      <w:marLeft w:val="0"/>
      <w:marRight w:val="0"/>
      <w:marTop w:val="0"/>
      <w:marBottom w:val="0"/>
      <w:divBdr>
        <w:top w:val="none" w:sz="0" w:space="0" w:color="auto"/>
        <w:left w:val="none" w:sz="0" w:space="0" w:color="auto"/>
        <w:bottom w:val="none" w:sz="0" w:space="0" w:color="auto"/>
        <w:right w:val="none" w:sz="0" w:space="0" w:color="auto"/>
      </w:divBdr>
    </w:div>
    <w:div w:id="174811384">
      <w:bodyDiv w:val="1"/>
      <w:marLeft w:val="0"/>
      <w:marRight w:val="0"/>
      <w:marTop w:val="0"/>
      <w:marBottom w:val="0"/>
      <w:divBdr>
        <w:top w:val="none" w:sz="0" w:space="0" w:color="auto"/>
        <w:left w:val="none" w:sz="0" w:space="0" w:color="auto"/>
        <w:bottom w:val="none" w:sz="0" w:space="0" w:color="auto"/>
        <w:right w:val="none" w:sz="0" w:space="0" w:color="auto"/>
      </w:divBdr>
    </w:div>
    <w:div w:id="193079669">
      <w:bodyDiv w:val="1"/>
      <w:marLeft w:val="0"/>
      <w:marRight w:val="0"/>
      <w:marTop w:val="0"/>
      <w:marBottom w:val="0"/>
      <w:divBdr>
        <w:top w:val="none" w:sz="0" w:space="0" w:color="auto"/>
        <w:left w:val="none" w:sz="0" w:space="0" w:color="auto"/>
        <w:bottom w:val="none" w:sz="0" w:space="0" w:color="auto"/>
        <w:right w:val="none" w:sz="0" w:space="0" w:color="auto"/>
      </w:divBdr>
    </w:div>
    <w:div w:id="193084585">
      <w:bodyDiv w:val="1"/>
      <w:marLeft w:val="0"/>
      <w:marRight w:val="0"/>
      <w:marTop w:val="0"/>
      <w:marBottom w:val="0"/>
      <w:divBdr>
        <w:top w:val="none" w:sz="0" w:space="0" w:color="auto"/>
        <w:left w:val="none" w:sz="0" w:space="0" w:color="auto"/>
        <w:bottom w:val="none" w:sz="0" w:space="0" w:color="auto"/>
        <w:right w:val="none" w:sz="0" w:space="0" w:color="auto"/>
      </w:divBdr>
    </w:div>
    <w:div w:id="207305735">
      <w:bodyDiv w:val="1"/>
      <w:marLeft w:val="0"/>
      <w:marRight w:val="0"/>
      <w:marTop w:val="0"/>
      <w:marBottom w:val="0"/>
      <w:divBdr>
        <w:top w:val="none" w:sz="0" w:space="0" w:color="auto"/>
        <w:left w:val="none" w:sz="0" w:space="0" w:color="auto"/>
        <w:bottom w:val="none" w:sz="0" w:space="0" w:color="auto"/>
        <w:right w:val="none" w:sz="0" w:space="0" w:color="auto"/>
      </w:divBdr>
    </w:div>
    <w:div w:id="209997342">
      <w:bodyDiv w:val="1"/>
      <w:marLeft w:val="0"/>
      <w:marRight w:val="0"/>
      <w:marTop w:val="0"/>
      <w:marBottom w:val="0"/>
      <w:divBdr>
        <w:top w:val="none" w:sz="0" w:space="0" w:color="auto"/>
        <w:left w:val="none" w:sz="0" w:space="0" w:color="auto"/>
        <w:bottom w:val="none" w:sz="0" w:space="0" w:color="auto"/>
        <w:right w:val="none" w:sz="0" w:space="0" w:color="auto"/>
      </w:divBdr>
    </w:div>
    <w:div w:id="225184137">
      <w:bodyDiv w:val="1"/>
      <w:marLeft w:val="0"/>
      <w:marRight w:val="0"/>
      <w:marTop w:val="0"/>
      <w:marBottom w:val="0"/>
      <w:divBdr>
        <w:top w:val="none" w:sz="0" w:space="0" w:color="auto"/>
        <w:left w:val="none" w:sz="0" w:space="0" w:color="auto"/>
        <w:bottom w:val="none" w:sz="0" w:space="0" w:color="auto"/>
        <w:right w:val="none" w:sz="0" w:space="0" w:color="auto"/>
      </w:divBdr>
    </w:div>
    <w:div w:id="231234357">
      <w:bodyDiv w:val="1"/>
      <w:marLeft w:val="0"/>
      <w:marRight w:val="0"/>
      <w:marTop w:val="0"/>
      <w:marBottom w:val="0"/>
      <w:divBdr>
        <w:top w:val="none" w:sz="0" w:space="0" w:color="auto"/>
        <w:left w:val="none" w:sz="0" w:space="0" w:color="auto"/>
        <w:bottom w:val="none" w:sz="0" w:space="0" w:color="auto"/>
        <w:right w:val="none" w:sz="0" w:space="0" w:color="auto"/>
      </w:divBdr>
    </w:div>
    <w:div w:id="255872069">
      <w:bodyDiv w:val="1"/>
      <w:marLeft w:val="0"/>
      <w:marRight w:val="0"/>
      <w:marTop w:val="0"/>
      <w:marBottom w:val="0"/>
      <w:divBdr>
        <w:top w:val="none" w:sz="0" w:space="0" w:color="auto"/>
        <w:left w:val="none" w:sz="0" w:space="0" w:color="auto"/>
        <w:bottom w:val="none" w:sz="0" w:space="0" w:color="auto"/>
        <w:right w:val="none" w:sz="0" w:space="0" w:color="auto"/>
      </w:divBdr>
    </w:div>
    <w:div w:id="257374463">
      <w:bodyDiv w:val="1"/>
      <w:marLeft w:val="0"/>
      <w:marRight w:val="0"/>
      <w:marTop w:val="0"/>
      <w:marBottom w:val="0"/>
      <w:divBdr>
        <w:top w:val="none" w:sz="0" w:space="0" w:color="auto"/>
        <w:left w:val="none" w:sz="0" w:space="0" w:color="auto"/>
        <w:bottom w:val="none" w:sz="0" w:space="0" w:color="auto"/>
        <w:right w:val="none" w:sz="0" w:space="0" w:color="auto"/>
      </w:divBdr>
    </w:div>
    <w:div w:id="260577648">
      <w:bodyDiv w:val="1"/>
      <w:marLeft w:val="0"/>
      <w:marRight w:val="0"/>
      <w:marTop w:val="0"/>
      <w:marBottom w:val="0"/>
      <w:divBdr>
        <w:top w:val="none" w:sz="0" w:space="0" w:color="auto"/>
        <w:left w:val="none" w:sz="0" w:space="0" w:color="auto"/>
        <w:bottom w:val="none" w:sz="0" w:space="0" w:color="auto"/>
        <w:right w:val="none" w:sz="0" w:space="0" w:color="auto"/>
      </w:divBdr>
    </w:div>
    <w:div w:id="265237975">
      <w:bodyDiv w:val="1"/>
      <w:marLeft w:val="0"/>
      <w:marRight w:val="0"/>
      <w:marTop w:val="0"/>
      <w:marBottom w:val="0"/>
      <w:divBdr>
        <w:top w:val="none" w:sz="0" w:space="0" w:color="auto"/>
        <w:left w:val="none" w:sz="0" w:space="0" w:color="auto"/>
        <w:bottom w:val="none" w:sz="0" w:space="0" w:color="auto"/>
        <w:right w:val="none" w:sz="0" w:space="0" w:color="auto"/>
      </w:divBdr>
    </w:div>
    <w:div w:id="267352906">
      <w:bodyDiv w:val="1"/>
      <w:marLeft w:val="0"/>
      <w:marRight w:val="0"/>
      <w:marTop w:val="0"/>
      <w:marBottom w:val="0"/>
      <w:divBdr>
        <w:top w:val="none" w:sz="0" w:space="0" w:color="auto"/>
        <w:left w:val="none" w:sz="0" w:space="0" w:color="auto"/>
        <w:bottom w:val="none" w:sz="0" w:space="0" w:color="auto"/>
        <w:right w:val="none" w:sz="0" w:space="0" w:color="auto"/>
      </w:divBdr>
    </w:div>
    <w:div w:id="272369762">
      <w:bodyDiv w:val="1"/>
      <w:marLeft w:val="0"/>
      <w:marRight w:val="0"/>
      <w:marTop w:val="0"/>
      <w:marBottom w:val="0"/>
      <w:divBdr>
        <w:top w:val="none" w:sz="0" w:space="0" w:color="auto"/>
        <w:left w:val="none" w:sz="0" w:space="0" w:color="auto"/>
        <w:bottom w:val="none" w:sz="0" w:space="0" w:color="auto"/>
        <w:right w:val="none" w:sz="0" w:space="0" w:color="auto"/>
      </w:divBdr>
    </w:div>
    <w:div w:id="276332109">
      <w:bodyDiv w:val="1"/>
      <w:marLeft w:val="0"/>
      <w:marRight w:val="0"/>
      <w:marTop w:val="0"/>
      <w:marBottom w:val="0"/>
      <w:divBdr>
        <w:top w:val="none" w:sz="0" w:space="0" w:color="auto"/>
        <w:left w:val="none" w:sz="0" w:space="0" w:color="auto"/>
        <w:bottom w:val="none" w:sz="0" w:space="0" w:color="auto"/>
        <w:right w:val="none" w:sz="0" w:space="0" w:color="auto"/>
      </w:divBdr>
    </w:div>
    <w:div w:id="290986962">
      <w:bodyDiv w:val="1"/>
      <w:marLeft w:val="0"/>
      <w:marRight w:val="0"/>
      <w:marTop w:val="0"/>
      <w:marBottom w:val="0"/>
      <w:divBdr>
        <w:top w:val="none" w:sz="0" w:space="0" w:color="auto"/>
        <w:left w:val="none" w:sz="0" w:space="0" w:color="auto"/>
        <w:bottom w:val="none" w:sz="0" w:space="0" w:color="auto"/>
        <w:right w:val="none" w:sz="0" w:space="0" w:color="auto"/>
      </w:divBdr>
    </w:div>
    <w:div w:id="314267009">
      <w:bodyDiv w:val="1"/>
      <w:marLeft w:val="0"/>
      <w:marRight w:val="0"/>
      <w:marTop w:val="0"/>
      <w:marBottom w:val="0"/>
      <w:divBdr>
        <w:top w:val="none" w:sz="0" w:space="0" w:color="auto"/>
        <w:left w:val="none" w:sz="0" w:space="0" w:color="auto"/>
        <w:bottom w:val="none" w:sz="0" w:space="0" w:color="auto"/>
        <w:right w:val="none" w:sz="0" w:space="0" w:color="auto"/>
      </w:divBdr>
    </w:div>
    <w:div w:id="378096371">
      <w:bodyDiv w:val="1"/>
      <w:marLeft w:val="0"/>
      <w:marRight w:val="0"/>
      <w:marTop w:val="0"/>
      <w:marBottom w:val="0"/>
      <w:divBdr>
        <w:top w:val="none" w:sz="0" w:space="0" w:color="auto"/>
        <w:left w:val="none" w:sz="0" w:space="0" w:color="auto"/>
        <w:bottom w:val="none" w:sz="0" w:space="0" w:color="auto"/>
        <w:right w:val="none" w:sz="0" w:space="0" w:color="auto"/>
      </w:divBdr>
    </w:div>
    <w:div w:id="407920464">
      <w:bodyDiv w:val="1"/>
      <w:marLeft w:val="0"/>
      <w:marRight w:val="0"/>
      <w:marTop w:val="0"/>
      <w:marBottom w:val="0"/>
      <w:divBdr>
        <w:top w:val="none" w:sz="0" w:space="0" w:color="auto"/>
        <w:left w:val="none" w:sz="0" w:space="0" w:color="auto"/>
        <w:bottom w:val="none" w:sz="0" w:space="0" w:color="auto"/>
        <w:right w:val="none" w:sz="0" w:space="0" w:color="auto"/>
      </w:divBdr>
    </w:div>
    <w:div w:id="424152747">
      <w:bodyDiv w:val="1"/>
      <w:marLeft w:val="0"/>
      <w:marRight w:val="0"/>
      <w:marTop w:val="0"/>
      <w:marBottom w:val="0"/>
      <w:divBdr>
        <w:top w:val="none" w:sz="0" w:space="0" w:color="auto"/>
        <w:left w:val="none" w:sz="0" w:space="0" w:color="auto"/>
        <w:bottom w:val="none" w:sz="0" w:space="0" w:color="auto"/>
        <w:right w:val="none" w:sz="0" w:space="0" w:color="auto"/>
      </w:divBdr>
    </w:div>
    <w:div w:id="432671468">
      <w:bodyDiv w:val="1"/>
      <w:marLeft w:val="0"/>
      <w:marRight w:val="0"/>
      <w:marTop w:val="0"/>
      <w:marBottom w:val="0"/>
      <w:divBdr>
        <w:top w:val="none" w:sz="0" w:space="0" w:color="auto"/>
        <w:left w:val="none" w:sz="0" w:space="0" w:color="auto"/>
        <w:bottom w:val="none" w:sz="0" w:space="0" w:color="auto"/>
        <w:right w:val="none" w:sz="0" w:space="0" w:color="auto"/>
      </w:divBdr>
    </w:div>
    <w:div w:id="445389865">
      <w:bodyDiv w:val="1"/>
      <w:marLeft w:val="0"/>
      <w:marRight w:val="0"/>
      <w:marTop w:val="0"/>
      <w:marBottom w:val="0"/>
      <w:divBdr>
        <w:top w:val="none" w:sz="0" w:space="0" w:color="auto"/>
        <w:left w:val="none" w:sz="0" w:space="0" w:color="auto"/>
        <w:bottom w:val="none" w:sz="0" w:space="0" w:color="auto"/>
        <w:right w:val="none" w:sz="0" w:space="0" w:color="auto"/>
      </w:divBdr>
    </w:div>
    <w:div w:id="465006086">
      <w:bodyDiv w:val="1"/>
      <w:marLeft w:val="0"/>
      <w:marRight w:val="0"/>
      <w:marTop w:val="0"/>
      <w:marBottom w:val="0"/>
      <w:divBdr>
        <w:top w:val="none" w:sz="0" w:space="0" w:color="auto"/>
        <w:left w:val="none" w:sz="0" w:space="0" w:color="auto"/>
        <w:bottom w:val="none" w:sz="0" w:space="0" w:color="auto"/>
        <w:right w:val="none" w:sz="0" w:space="0" w:color="auto"/>
      </w:divBdr>
    </w:div>
    <w:div w:id="465634066">
      <w:bodyDiv w:val="1"/>
      <w:marLeft w:val="0"/>
      <w:marRight w:val="0"/>
      <w:marTop w:val="0"/>
      <w:marBottom w:val="0"/>
      <w:divBdr>
        <w:top w:val="none" w:sz="0" w:space="0" w:color="auto"/>
        <w:left w:val="none" w:sz="0" w:space="0" w:color="auto"/>
        <w:bottom w:val="none" w:sz="0" w:space="0" w:color="auto"/>
        <w:right w:val="none" w:sz="0" w:space="0" w:color="auto"/>
      </w:divBdr>
    </w:div>
    <w:div w:id="518785000">
      <w:bodyDiv w:val="1"/>
      <w:marLeft w:val="0"/>
      <w:marRight w:val="0"/>
      <w:marTop w:val="0"/>
      <w:marBottom w:val="0"/>
      <w:divBdr>
        <w:top w:val="none" w:sz="0" w:space="0" w:color="auto"/>
        <w:left w:val="none" w:sz="0" w:space="0" w:color="auto"/>
        <w:bottom w:val="none" w:sz="0" w:space="0" w:color="auto"/>
        <w:right w:val="none" w:sz="0" w:space="0" w:color="auto"/>
      </w:divBdr>
    </w:div>
    <w:div w:id="525292296">
      <w:bodyDiv w:val="1"/>
      <w:marLeft w:val="0"/>
      <w:marRight w:val="0"/>
      <w:marTop w:val="0"/>
      <w:marBottom w:val="0"/>
      <w:divBdr>
        <w:top w:val="none" w:sz="0" w:space="0" w:color="auto"/>
        <w:left w:val="none" w:sz="0" w:space="0" w:color="auto"/>
        <w:bottom w:val="none" w:sz="0" w:space="0" w:color="auto"/>
        <w:right w:val="none" w:sz="0" w:space="0" w:color="auto"/>
      </w:divBdr>
    </w:div>
    <w:div w:id="526018733">
      <w:bodyDiv w:val="1"/>
      <w:marLeft w:val="0"/>
      <w:marRight w:val="0"/>
      <w:marTop w:val="0"/>
      <w:marBottom w:val="0"/>
      <w:divBdr>
        <w:top w:val="none" w:sz="0" w:space="0" w:color="auto"/>
        <w:left w:val="none" w:sz="0" w:space="0" w:color="auto"/>
        <w:bottom w:val="none" w:sz="0" w:space="0" w:color="auto"/>
        <w:right w:val="none" w:sz="0" w:space="0" w:color="auto"/>
      </w:divBdr>
    </w:div>
    <w:div w:id="528186078">
      <w:bodyDiv w:val="1"/>
      <w:marLeft w:val="0"/>
      <w:marRight w:val="0"/>
      <w:marTop w:val="0"/>
      <w:marBottom w:val="0"/>
      <w:divBdr>
        <w:top w:val="none" w:sz="0" w:space="0" w:color="auto"/>
        <w:left w:val="none" w:sz="0" w:space="0" w:color="auto"/>
        <w:bottom w:val="none" w:sz="0" w:space="0" w:color="auto"/>
        <w:right w:val="none" w:sz="0" w:space="0" w:color="auto"/>
      </w:divBdr>
    </w:div>
    <w:div w:id="532620403">
      <w:bodyDiv w:val="1"/>
      <w:marLeft w:val="0"/>
      <w:marRight w:val="0"/>
      <w:marTop w:val="0"/>
      <w:marBottom w:val="0"/>
      <w:divBdr>
        <w:top w:val="none" w:sz="0" w:space="0" w:color="auto"/>
        <w:left w:val="none" w:sz="0" w:space="0" w:color="auto"/>
        <w:bottom w:val="none" w:sz="0" w:space="0" w:color="auto"/>
        <w:right w:val="none" w:sz="0" w:space="0" w:color="auto"/>
      </w:divBdr>
    </w:div>
    <w:div w:id="580411562">
      <w:bodyDiv w:val="1"/>
      <w:marLeft w:val="0"/>
      <w:marRight w:val="0"/>
      <w:marTop w:val="0"/>
      <w:marBottom w:val="0"/>
      <w:divBdr>
        <w:top w:val="none" w:sz="0" w:space="0" w:color="auto"/>
        <w:left w:val="none" w:sz="0" w:space="0" w:color="auto"/>
        <w:bottom w:val="none" w:sz="0" w:space="0" w:color="auto"/>
        <w:right w:val="none" w:sz="0" w:space="0" w:color="auto"/>
      </w:divBdr>
    </w:div>
    <w:div w:id="590435774">
      <w:bodyDiv w:val="1"/>
      <w:marLeft w:val="0"/>
      <w:marRight w:val="0"/>
      <w:marTop w:val="0"/>
      <w:marBottom w:val="0"/>
      <w:divBdr>
        <w:top w:val="none" w:sz="0" w:space="0" w:color="auto"/>
        <w:left w:val="none" w:sz="0" w:space="0" w:color="auto"/>
        <w:bottom w:val="none" w:sz="0" w:space="0" w:color="auto"/>
        <w:right w:val="none" w:sz="0" w:space="0" w:color="auto"/>
      </w:divBdr>
    </w:div>
    <w:div w:id="613905225">
      <w:bodyDiv w:val="1"/>
      <w:marLeft w:val="0"/>
      <w:marRight w:val="0"/>
      <w:marTop w:val="0"/>
      <w:marBottom w:val="0"/>
      <w:divBdr>
        <w:top w:val="none" w:sz="0" w:space="0" w:color="auto"/>
        <w:left w:val="none" w:sz="0" w:space="0" w:color="auto"/>
        <w:bottom w:val="none" w:sz="0" w:space="0" w:color="auto"/>
        <w:right w:val="none" w:sz="0" w:space="0" w:color="auto"/>
      </w:divBdr>
    </w:div>
    <w:div w:id="622272768">
      <w:bodyDiv w:val="1"/>
      <w:marLeft w:val="0"/>
      <w:marRight w:val="0"/>
      <w:marTop w:val="0"/>
      <w:marBottom w:val="0"/>
      <w:divBdr>
        <w:top w:val="none" w:sz="0" w:space="0" w:color="auto"/>
        <w:left w:val="none" w:sz="0" w:space="0" w:color="auto"/>
        <w:bottom w:val="none" w:sz="0" w:space="0" w:color="auto"/>
        <w:right w:val="none" w:sz="0" w:space="0" w:color="auto"/>
      </w:divBdr>
    </w:div>
    <w:div w:id="654723003">
      <w:bodyDiv w:val="1"/>
      <w:marLeft w:val="0"/>
      <w:marRight w:val="0"/>
      <w:marTop w:val="0"/>
      <w:marBottom w:val="0"/>
      <w:divBdr>
        <w:top w:val="none" w:sz="0" w:space="0" w:color="auto"/>
        <w:left w:val="none" w:sz="0" w:space="0" w:color="auto"/>
        <w:bottom w:val="none" w:sz="0" w:space="0" w:color="auto"/>
        <w:right w:val="none" w:sz="0" w:space="0" w:color="auto"/>
      </w:divBdr>
    </w:div>
    <w:div w:id="663624592">
      <w:bodyDiv w:val="1"/>
      <w:marLeft w:val="0"/>
      <w:marRight w:val="0"/>
      <w:marTop w:val="0"/>
      <w:marBottom w:val="0"/>
      <w:divBdr>
        <w:top w:val="none" w:sz="0" w:space="0" w:color="auto"/>
        <w:left w:val="none" w:sz="0" w:space="0" w:color="auto"/>
        <w:bottom w:val="none" w:sz="0" w:space="0" w:color="auto"/>
        <w:right w:val="none" w:sz="0" w:space="0" w:color="auto"/>
      </w:divBdr>
    </w:div>
    <w:div w:id="673731282">
      <w:bodyDiv w:val="1"/>
      <w:marLeft w:val="0"/>
      <w:marRight w:val="0"/>
      <w:marTop w:val="0"/>
      <w:marBottom w:val="0"/>
      <w:divBdr>
        <w:top w:val="none" w:sz="0" w:space="0" w:color="auto"/>
        <w:left w:val="none" w:sz="0" w:space="0" w:color="auto"/>
        <w:bottom w:val="none" w:sz="0" w:space="0" w:color="auto"/>
        <w:right w:val="none" w:sz="0" w:space="0" w:color="auto"/>
      </w:divBdr>
    </w:div>
    <w:div w:id="683089154">
      <w:bodyDiv w:val="1"/>
      <w:marLeft w:val="0"/>
      <w:marRight w:val="0"/>
      <w:marTop w:val="0"/>
      <w:marBottom w:val="0"/>
      <w:divBdr>
        <w:top w:val="none" w:sz="0" w:space="0" w:color="auto"/>
        <w:left w:val="none" w:sz="0" w:space="0" w:color="auto"/>
        <w:bottom w:val="none" w:sz="0" w:space="0" w:color="auto"/>
        <w:right w:val="none" w:sz="0" w:space="0" w:color="auto"/>
      </w:divBdr>
    </w:div>
    <w:div w:id="705368433">
      <w:bodyDiv w:val="1"/>
      <w:marLeft w:val="0"/>
      <w:marRight w:val="0"/>
      <w:marTop w:val="0"/>
      <w:marBottom w:val="0"/>
      <w:divBdr>
        <w:top w:val="none" w:sz="0" w:space="0" w:color="auto"/>
        <w:left w:val="none" w:sz="0" w:space="0" w:color="auto"/>
        <w:bottom w:val="none" w:sz="0" w:space="0" w:color="auto"/>
        <w:right w:val="none" w:sz="0" w:space="0" w:color="auto"/>
      </w:divBdr>
    </w:div>
    <w:div w:id="726031176">
      <w:bodyDiv w:val="1"/>
      <w:marLeft w:val="0"/>
      <w:marRight w:val="0"/>
      <w:marTop w:val="0"/>
      <w:marBottom w:val="0"/>
      <w:divBdr>
        <w:top w:val="none" w:sz="0" w:space="0" w:color="auto"/>
        <w:left w:val="none" w:sz="0" w:space="0" w:color="auto"/>
        <w:bottom w:val="none" w:sz="0" w:space="0" w:color="auto"/>
        <w:right w:val="none" w:sz="0" w:space="0" w:color="auto"/>
      </w:divBdr>
    </w:div>
    <w:div w:id="730735498">
      <w:bodyDiv w:val="1"/>
      <w:marLeft w:val="0"/>
      <w:marRight w:val="0"/>
      <w:marTop w:val="0"/>
      <w:marBottom w:val="0"/>
      <w:divBdr>
        <w:top w:val="none" w:sz="0" w:space="0" w:color="auto"/>
        <w:left w:val="none" w:sz="0" w:space="0" w:color="auto"/>
        <w:bottom w:val="none" w:sz="0" w:space="0" w:color="auto"/>
        <w:right w:val="none" w:sz="0" w:space="0" w:color="auto"/>
      </w:divBdr>
    </w:div>
    <w:div w:id="737482077">
      <w:bodyDiv w:val="1"/>
      <w:marLeft w:val="0"/>
      <w:marRight w:val="0"/>
      <w:marTop w:val="0"/>
      <w:marBottom w:val="0"/>
      <w:divBdr>
        <w:top w:val="none" w:sz="0" w:space="0" w:color="auto"/>
        <w:left w:val="none" w:sz="0" w:space="0" w:color="auto"/>
        <w:bottom w:val="none" w:sz="0" w:space="0" w:color="auto"/>
        <w:right w:val="none" w:sz="0" w:space="0" w:color="auto"/>
      </w:divBdr>
    </w:div>
    <w:div w:id="747267634">
      <w:bodyDiv w:val="1"/>
      <w:marLeft w:val="0"/>
      <w:marRight w:val="0"/>
      <w:marTop w:val="0"/>
      <w:marBottom w:val="0"/>
      <w:divBdr>
        <w:top w:val="none" w:sz="0" w:space="0" w:color="auto"/>
        <w:left w:val="none" w:sz="0" w:space="0" w:color="auto"/>
        <w:bottom w:val="none" w:sz="0" w:space="0" w:color="auto"/>
        <w:right w:val="none" w:sz="0" w:space="0" w:color="auto"/>
      </w:divBdr>
    </w:div>
    <w:div w:id="777215087">
      <w:bodyDiv w:val="1"/>
      <w:marLeft w:val="0"/>
      <w:marRight w:val="0"/>
      <w:marTop w:val="0"/>
      <w:marBottom w:val="0"/>
      <w:divBdr>
        <w:top w:val="none" w:sz="0" w:space="0" w:color="auto"/>
        <w:left w:val="none" w:sz="0" w:space="0" w:color="auto"/>
        <w:bottom w:val="none" w:sz="0" w:space="0" w:color="auto"/>
        <w:right w:val="none" w:sz="0" w:space="0" w:color="auto"/>
      </w:divBdr>
    </w:div>
    <w:div w:id="817460052">
      <w:bodyDiv w:val="1"/>
      <w:marLeft w:val="0"/>
      <w:marRight w:val="0"/>
      <w:marTop w:val="0"/>
      <w:marBottom w:val="0"/>
      <w:divBdr>
        <w:top w:val="none" w:sz="0" w:space="0" w:color="auto"/>
        <w:left w:val="none" w:sz="0" w:space="0" w:color="auto"/>
        <w:bottom w:val="none" w:sz="0" w:space="0" w:color="auto"/>
        <w:right w:val="none" w:sz="0" w:space="0" w:color="auto"/>
      </w:divBdr>
    </w:div>
    <w:div w:id="819805252">
      <w:bodyDiv w:val="1"/>
      <w:marLeft w:val="0"/>
      <w:marRight w:val="0"/>
      <w:marTop w:val="0"/>
      <w:marBottom w:val="0"/>
      <w:divBdr>
        <w:top w:val="none" w:sz="0" w:space="0" w:color="auto"/>
        <w:left w:val="none" w:sz="0" w:space="0" w:color="auto"/>
        <w:bottom w:val="none" w:sz="0" w:space="0" w:color="auto"/>
        <w:right w:val="none" w:sz="0" w:space="0" w:color="auto"/>
      </w:divBdr>
    </w:div>
    <w:div w:id="849759732">
      <w:bodyDiv w:val="1"/>
      <w:marLeft w:val="0"/>
      <w:marRight w:val="0"/>
      <w:marTop w:val="0"/>
      <w:marBottom w:val="0"/>
      <w:divBdr>
        <w:top w:val="none" w:sz="0" w:space="0" w:color="auto"/>
        <w:left w:val="none" w:sz="0" w:space="0" w:color="auto"/>
        <w:bottom w:val="none" w:sz="0" w:space="0" w:color="auto"/>
        <w:right w:val="none" w:sz="0" w:space="0" w:color="auto"/>
      </w:divBdr>
    </w:div>
    <w:div w:id="868683025">
      <w:bodyDiv w:val="1"/>
      <w:marLeft w:val="0"/>
      <w:marRight w:val="0"/>
      <w:marTop w:val="0"/>
      <w:marBottom w:val="0"/>
      <w:divBdr>
        <w:top w:val="none" w:sz="0" w:space="0" w:color="auto"/>
        <w:left w:val="none" w:sz="0" w:space="0" w:color="auto"/>
        <w:bottom w:val="none" w:sz="0" w:space="0" w:color="auto"/>
        <w:right w:val="none" w:sz="0" w:space="0" w:color="auto"/>
      </w:divBdr>
    </w:div>
    <w:div w:id="870415086">
      <w:bodyDiv w:val="1"/>
      <w:marLeft w:val="0"/>
      <w:marRight w:val="0"/>
      <w:marTop w:val="0"/>
      <w:marBottom w:val="0"/>
      <w:divBdr>
        <w:top w:val="none" w:sz="0" w:space="0" w:color="auto"/>
        <w:left w:val="none" w:sz="0" w:space="0" w:color="auto"/>
        <w:bottom w:val="none" w:sz="0" w:space="0" w:color="auto"/>
        <w:right w:val="none" w:sz="0" w:space="0" w:color="auto"/>
      </w:divBdr>
    </w:div>
    <w:div w:id="880170260">
      <w:bodyDiv w:val="1"/>
      <w:marLeft w:val="0"/>
      <w:marRight w:val="0"/>
      <w:marTop w:val="0"/>
      <w:marBottom w:val="0"/>
      <w:divBdr>
        <w:top w:val="none" w:sz="0" w:space="0" w:color="auto"/>
        <w:left w:val="none" w:sz="0" w:space="0" w:color="auto"/>
        <w:bottom w:val="none" w:sz="0" w:space="0" w:color="auto"/>
        <w:right w:val="none" w:sz="0" w:space="0" w:color="auto"/>
      </w:divBdr>
    </w:div>
    <w:div w:id="892928016">
      <w:bodyDiv w:val="1"/>
      <w:marLeft w:val="0"/>
      <w:marRight w:val="0"/>
      <w:marTop w:val="0"/>
      <w:marBottom w:val="0"/>
      <w:divBdr>
        <w:top w:val="none" w:sz="0" w:space="0" w:color="auto"/>
        <w:left w:val="none" w:sz="0" w:space="0" w:color="auto"/>
        <w:bottom w:val="none" w:sz="0" w:space="0" w:color="auto"/>
        <w:right w:val="none" w:sz="0" w:space="0" w:color="auto"/>
      </w:divBdr>
    </w:div>
    <w:div w:id="905536147">
      <w:bodyDiv w:val="1"/>
      <w:marLeft w:val="0"/>
      <w:marRight w:val="0"/>
      <w:marTop w:val="0"/>
      <w:marBottom w:val="0"/>
      <w:divBdr>
        <w:top w:val="none" w:sz="0" w:space="0" w:color="auto"/>
        <w:left w:val="none" w:sz="0" w:space="0" w:color="auto"/>
        <w:bottom w:val="none" w:sz="0" w:space="0" w:color="auto"/>
        <w:right w:val="none" w:sz="0" w:space="0" w:color="auto"/>
      </w:divBdr>
    </w:div>
    <w:div w:id="916670873">
      <w:bodyDiv w:val="1"/>
      <w:marLeft w:val="0"/>
      <w:marRight w:val="0"/>
      <w:marTop w:val="0"/>
      <w:marBottom w:val="0"/>
      <w:divBdr>
        <w:top w:val="none" w:sz="0" w:space="0" w:color="auto"/>
        <w:left w:val="none" w:sz="0" w:space="0" w:color="auto"/>
        <w:bottom w:val="none" w:sz="0" w:space="0" w:color="auto"/>
        <w:right w:val="none" w:sz="0" w:space="0" w:color="auto"/>
      </w:divBdr>
    </w:div>
    <w:div w:id="920454788">
      <w:bodyDiv w:val="1"/>
      <w:marLeft w:val="0"/>
      <w:marRight w:val="0"/>
      <w:marTop w:val="0"/>
      <w:marBottom w:val="0"/>
      <w:divBdr>
        <w:top w:val="none" w:sz="0" w:space="0" w:color="auto"/>
        <w:left w:val="none" w:sz="0" w:space="0" w:color="auto"/>
        <w:bottom w:val="none" w:sz="0" w:space="0" w:color="auto"/>
        <w:right w:val="none" w:sz="0" w:space="0" w:color="auto"/>
      </w:divBdr>
    </w:div>
    <w:div w:id="931007638">
      <w:bodyDiv w:val="1"/>
      <w:marLeft w:val="0"/>
      <w:marRight w:val="0"/>
      <w:marTop w:val="0"/>
      <w:marBottom w:val="0"/>
      <w:divBdr>
        <w:top w:val="none" w:sz="0" w:space="0" w:color="auto"/>
        <w:left w:val="none" w:sz="0" w:space="0" w:color="auto"/>
        <w:bottom w:val="none" w:sz="0" w:space="0" w:color="auto"/>
        <w:right w:val="none" w:sz="0" w:space="0" w:color="auto"/>
      </w:divBdr>
    </w:div>
    <w:div w:id="936013654">
      <w:bodyDiv w:val="1"/>
      <w:marLeft w:val="0"/>
      <w:marRight w:val="0"/>
      <w:marTop w:val="0"/>
      <w:marBottom w:val="0"/>
      <w:divBdr>
        <w:top w:val="none" w:sz="0" w:space="0" w:color="auto"/>
        <w:left w:val="none" w:sz="0" w:space="0" w:color="auto"/>
        <w:bottom w:val="none" w:sz="0" w:space="0" w:color="auto"/>
        <w:right w:val="none" w:sz="0" w:space="0" w:color="auto"/>
      </w:divBdr>
    </w:div>
    <w:div w:id="945387051">
      <w:bodyDiv w:val="1"/>
      <w:marLeft w:val="0"/>
      <w:marRight w:val="0"/>
      <w:marTop w:val="0"/>
      <w:marBottom w:val="0"/>
      <w:divBdr>
        <w:top w:val="none" w:sz="0" w:space="0" w:color="auto"/>
        <w:left w:val="none" w:sz="0" w:space="0" w:color="auto"/>
        <w:bottom w:val="none" w:sz="0" w:space="0" w:color="auto"/>
        <w:right w:val="none" w:sz="0" w:space="0" w:color="auto"/>
      </w:divBdr>
    </w:div>
    <w:div w:id="969242636">
      <w:bodyDiv w:val="1"/>
      <w:marLeft w:val="0"/>
      <w:marRight w:val="0"/>
      <w:marTop w:val="0"/>
      <w:marBottom w:val="0"/>
      <w:divBdr>
        <w:top w:val="none" w:sz="0" w:space="0" w:color="auto"/>
        <w:left w:val="none" w:sz="0" w:space="0" w:color="auto"/>
        <w:bottom w:val="none" w:sz="0" w:space="0" w:color="auto"/>
        <w:right w:val="none" w:sz="0" w:space="0" w:color="auto"/>
      </w:divBdr>
    </w:div>
    <w:div w:id="987825131">
      <w:bodyDiv w:val="1"/>
      <w:marLeft w:val="0"/>
      <w:marRight w:val="0"/>
      <w:marTop w:val="0"/>
      <w:marBottom w:val="0"/>
      <w:divBdr>
        <w:top w:val="none" w:sz="0" w:space="0" w:color="auto"/>
        <w:left w:val="none" w:sz="0" w:space="0" w:color="auto"/>
        <w:bottom w:val="none" w:sz="0" w:space="0" w:color="auto"/>
        <w:right w:val="none" w:sz="0" w:space="0" w:color="auto"/>
      </w:divBdr>
    </w:div>
    <w:div w:id="1009483450">
      <w:bodyDiv w:val="1"/>
      <w:marLeft w:val="0"/>
      <w:marRight w:val="0"/>
      <w:marTop w:val="0"/>
      <w:marBottom w:val="0"/>
      <w:divBdr>
        <w:top w:val="none" w:sz="0" w:space="0" w:color="auto"/>
        <w:left w:val="none" w:sz="0" w:space="0" w:color="auto"/>
        <w:bottom w:val="none" w:sz="0" w:space="0" w:color="auto"/>
        <w:right w:val="none" w:sz="0" w:space="0" w:color="auto"/>
      </w:divBdr>
    </w:div>
    <w:div w:id="1012495729">
      <w:bodyDiv w:val="1"/>
      <w:marLeft w:val="0"/>
      <w:marRight w:val="0"/>
      <w:marTop w:val="0"/>
      <w:marBottom w:val="0"/>
      <w:divBdr>
        <w:top w:val="none" w:sz="0" w:space="0" w:color="auto"/>
        <w:left w:val="none" w:sz="0" w:space="0" w:color="auto"/>
        <w:bottom w:val="none" w:sz="0" w:space="0" w:color="auto"/>
        <w:right w:val="none" w:sz="0" w:space="0" w:color="auto"/>
      </w:divBdr>
    </w:div>
    <w:div w:id="1048603562">
      <w:bodyDiv w:val="1"/>
      <w:marLeft w:val="0"/>
      <w:marRight w:val="0"/>
      <w:marTop w:val="0"/>
      <w:marBottom w:val="0"/>
      <w:divBdr>
        <w:top w:val="none" w:sz="0" w:space="0" w:color="auto"/>
        <w:left w:val="none" w:sz="0" w:space="0" w:color="auto"/>
        <w:bottom w:val="none" w:sz="0" w:space="0" w:color="auto"/>
        <w:right w:val="none" w:sz="0" w:space="0" w:color="auto"/>
      </w:divBdr>
    </w:div>
    <w:div w:id="1089886786">
      <w:bodyDiv w:val="1"/>
      <w:marLeft w:val="0"/>
      <w:marRight w:val="0"/>
      <w:marTop w:val="0"/>
      <w:marBottom w:val="0"/>
      <w:divBdr>
        <w:top w:val="none" w:sz="0" w:space="0" w:color="auto"/>
        <w:left w:val="none" w:sz="0" w:space="0" w:color="auto"/>
        <w:bottom w:val="none" w:sz="0" w:space="0" w:color="auto"/>
        <w:right w:val="none" w:sz="0" w:space="0" w:color="auto"/>
      </w:divBdr>
    </w:div>
    <w:div w:id="1117019074">
      <w:bodyDiv w:val="1"/>
      <w:marLeft w:val="0"/>
      <w:marRight w:val="0"/>
      <w:marTop w:val="0"/>
      <w:marBottom w:val="0"/>
      <w:divBdr>
        <w:top w:val="none" w:sz="0" w:space="0" w:color="auto"/>
        <w:left w:val="none" w:sz="0" w:space="0" w:color="auto"/>
        <w:bottom w:val="none" w:sz="0" w:space="0" w:color="auto"/>
        <w:right w:val="none" w:sz="0" w:space="0" w:color="auto"/>
      </w:divBdr>
    </w:div>
    <w:div w:id="1138693520">
      <w:bodyDiv w:val="1"/>
      <w:marLeft w:val="0"/>
      <w:marRight w:val="0"/>
      <w:marTop w:val="0"/>
      <w:marBottom w:val="0"/>
      <w:divBdr>
        <w:top w:val="none" w:sz="0" w:space="0" w:color="auto"/>
        <w:left w:val="none" w:sz="0" w:space="0" w:color="auto"/>
        <w:bottom w:val="none" w:sz="0" w:space="0" w:color="auto"/>
        <w:right w:val="none" w:sz="0" w:space="0" w:color="auto"/>
      </w:divBdr>
    </w:div>
    <w:div w:id="1191146020">
      <w:bodyDiv w:val="1"/>
      <w:marLeft w:val="0"/>
      <w:marRight w:val="0"/>
      <w:marTop w:val="0"/>
      <w:marBottom w:val="0"/>
      <w:divBdr>
        <w:top w:val="none" w:sz="0" w:space="0" w:color="auto"/>
        <w:left w:val="none" w:sz="0" w:space="0" w:color="auto"/>
        <w:bottom w:val="none" w:sz="0" w:space="0" w:color="auto"/>
        <w:right w:val="none" w:sz="0" w:space="0" w:color="auto"/>
      </w:divBdr>
    </w:div>
    <w:div w:id="1219979239">
      <w:bodyDiv w:val="1"/>
      <w:marLeft w:val="0"/>
      <w:marRight w:val="0"/>
      <w:marTop w:val="0"/>
      <w:marBottom w:val="0"/>
      <w:divBdr>
        <w:top w:val="none" w:sz="0" w:space="0" w:color="auto"/>
        <w:left w:val="none" w:sz="0" w:space="0" w:color="auto"/>
        <w:bottom w:val="none" w:sz="0" w:space="0" w:color="auto"/>
        <w:right w:val="none" w:sz="0" w:space="0" w:color="auto"/>
      </w:divBdr>
    </w:div>
    <w:div w:id="1223371640">
      <w:bodyDiv w:val="1"/>
      <w:marLeft w:val="0"/>
      <w:marRight w:val="0"/>
      <w:marTop w:val="0"/>
      <w:marBottom w:val="0"/>
      <w:divBdr>
        <w:top w:val="none" w:sz="0" w:space="0" w:color="auto"/>
        <w:left w:val="none" w:sz="0" w:space="0" w:color="auto"/>
        <w:bottom w:val="none" w:sz="0" w:space="0" w:color="auto"/>
        <w:right w:val="none" w:sz="0" w:space="0" w:color="auto"/>
      </w:divBdr>
    </w:div>
    <w:div w:id="1244215865">
      <w:bodyDiv w:val="1"/>
      <w:marLeft w:val="0"/>
      <w:marRight w:val="0"/>
      <w:marTop w:val="0"/>
      <w:marBottom w:val="0"/>
      <w:divBdr>
        <w:top w:val="none" w:sz="0" w:space="0" w:color="auto"/>
        <w:left w:val="none" w:sz="0" w:space="0" w:color="auto"/>
        <w:bottom w:val="none" w:sz="0" w:space="0" w:color="auto"/>
        <w:right w:val="none" w:sz="0" w:space="0" w:color="auto"/>
      </w:divBdr>
    </w:div>
    <w:div w:id="1251351700">
      <w:bodyDiv w:val="1"/>
      <w:marLeft w:val="0"/>
      <w:marRight w:val="0"/>
      <w:marTop w:val="0"/>
      <w:marBottom w:val="0"/>
      <w:divBdr>
        <w:top w:val="none" w:sz="0" w:space="0" w:color="auto"/>
        <w:left w:val="none" w:sz="0" w:space="0" w:color="auto"/>
        <w:bottom w:val="none" w:sz="0" w:space="0" w:color="auto"/>
        <w:right w:val="none" w:sz="0" w:space="0" w:color="auto"/>
      </w:divBdr>
    </w:div>
    <w:div w:id="1256477865">
      <w:bodyDiv w:val="1"/>
      <w:marLeft w:val="0"/>
      <w:marRight w:val="0"/>
      <w:marTop w:val="0"/>
      <w:marBottom w:val="0"/>
      <w:divBdr>
        <w:top w:val="none" w:sz="0" w:space="0" w:color="auto"/>
        <w:left w:val="none" w:sz="0" w:space="0" w:color="auto"/>
        <w:bottom w:val="none" w:sz="0" w:space="0" w:color="auto"/>
        <w:right w:val="none" w:sz="0" w:space="0" w:color="auto"/>
      </w:divBdr>
    </w:div>
    <w:div w:id="1262490995">
      <w:bodyDiv w:val="1"/>
      <w:marLeft w:val="0"/>
      <w:marRight w:val="0"/>
      <w:marTop w:val="0"/>
      <w:marBottom w:val="0"/>
      <w:divBdr>
        <w:top w:val="none" w:sz="0" w:space="0" w:color="auto"/>
        <w:left w:val="none" w:sz="0" w:space="0" w:color="auto"/>
        <w:bottom w:val="none" w:sz="0" w:space="0" w:color="auto"/>
        <w:right w:val="none" w:sz="0" w:space="0" w:color="auto"/>
      </w:divBdr>
    </w:div>
    <w:div w:id="1263026156">
      <w:bodyDiv w:val="1"/>
      <w:marLeft w:val="0"/>
      <w:marRight w:val="0"/>
      <w:marTop w:val="0"/>
      <w:marBottom w:val="0"/>
      <w:divBdr>
        <w:top w:val="none" w:sz="0" w:space="0" w:color="auto"/>
        <w:left w:val="none" w:sz="0" w:space="0" w:color="auto"/>
        <w:bottom w:val="none" w:sz="0" w:space="0" w:color="auto"/>
        <w:right w:val="none" w:sz="0" w:space="0" w:color="auto"/>
      </w:divBdr>
    </w:div>
    <w:div w:id="1272006222">
      <w:bodyDiv w:val="1"/>
      <w:marLeft w:val="0"/>
      <w:marRight w:val="0"/>
      <w:marTop w:val="0"/>
      <w:marBottom w:val="0"/>
      <w:divBdr>
        <w:top w:val="none" w:sz="0" w:space="0" w:color="auto"/>
        <w:left w:val="none" w:sz="0" w:space="0" w:color="auto"/>
        <w:bottom w:val="none" w:sz="0" w:space="0" w:color="auto"/>
        <w:right w:val="none" w:sz="0" w:space="0" w:color="auto"/>
      </w:divBdr>
    </w:div>
    <w:div w:id="1287353217">
      <w:bodyDiv w:val="1"/>
      <w:marLeft w:val="0"/>
      <w:marRight w:val="0"/>
      <w:marTop w:val="0"/>
      <w:marBottom w:val="0"/>
      <w:divBdr>
        <w:top w:val="none" w:sz="0" w:space="0" w:color="auto"/>
        <w:left w:val="none" w:sz="0" w:space="0" w:color="auto"/>
        <w:bottom w:val="none" w:sz="0" w:space="0" w:color="auto"/>
        <w:right w:val="none" w:sz="0" w:space="0" w:color="auto"/>
      </w:divBdr>
    </w:div>
    <w:div w:id="1297375378">
      <w:bodyDiv w:val="1"/>
      <w:marLeft w:val="0"/>
      <w:marRight w:val="0"/>
      <w:marTop w:val="0"/>
      <w:marBottom w:val="0"/>
      <w:divBdr>
        <w:top w:val="none" w:sz="0" w:space="0" w:color="auto"/>
        <w:left w:val="none" w:sz="0" w:space="0" w:color="auto"/>
        <w:bottom w:val="none" w:sz="0" w:space="0" w:color="auto"/>
        <w:right w:val="none" w:sz="0" w:space="0" w:color="auto"/>
      </w:divBdr>
    </w:div>
    <w:div w:id="1307005495">
      <w:bodyDiv w:val="1"/>
      <w:marLeft w:val="0"/>
      <w:marRight w:val="0"/>
      <w:marTop w:val="0"/>
      <w:marBottom w:val="0"/>
      <w:divBdr>
        <w:top w:val="none" w:sz="0" w:space="0" w:color="auto"/>
        <w:left w:val="none" w:sz="0" w:space="0" w:color="auto"/>
        <w:bottom w:val="none" w:sz="0" w:space="0" w:color="auto"/>
        <w:right w:val="none" w:sz="0" w:space="0" w:color="auto"/>
      </w:divBdr>
    </w:div>
    <w:div w:id="1309096477">
      <w:bodyDiv w:val="1"/>
      <w:marLeft w:val="0"/>
      <w:marRight w:val="0"/>
      <w:marTop w:val="0"/>
      <w:marBottom w:val="0"/>
      <w:divBdr>
        <w:top w:val="none" w:sz="0" w:space="0" w:color="auto"/>
        <w:left w:val="none" w:sz="0" w:space="0" w:color="auto"/>
        <w:bottom w:val="none" w:sz="0" w:space="0" w:color="auto"/>
        <w:right w:val="none" w:sz="0" w:space="0" w:color="auto"/>
      </w:divBdr>
    </w:div>
    <w:div w:id="1312566142">
      <w:bodyDiv w:val="1"/>
      <w:marLeft w:val="0"/>
      <w:marRight w:val="0"/>
      <w:marTop w:val="0"/>
      <w:marBottom w:val="0"/>
      <w:divBdr>
        <w:top w:val="none" w:sz="0" w:space="0" w:color="auto"/>
        <w:left w:val="none" w:sz="0" w:space="0" w:color="auto"/>
        <w:bottom w:val="none" w:sz="0" w:space="0" w:color="auto"/>
        <w:right w:val="none" w:sz="0" w:space="0" w:color="auto"/>
      </w:divBdr>
    </w:div>
    <w:div w:id="1313945917">
      <w:bodyDiv w:val="1"/>
      <w:marLeft w:val="0"/>
      <w:marRight w:val="0"/>
      <w:marTop w:val="0"/>
      <w:marBottom w:val="0"/>
      <w:divBdr>
        <w:top w:val="none" w:sz="0" w:space="0" w:color="auto"/>
        <w:left w:val="none" w:sz="0" w:space="0" w:color="auto"/>
        <w:bottom w:val="none" w:sz="0" w:space="0" w:color="auto"/>
        <w:right w:val="none" w:sz="0" w:space="0" w:color="auto"/>
      </w:divBdr>
    </w:div>
    <w:div w:id="1318996352">
      <w:bodyDiv w:val="1"/>
      <w:marLeft w:val="0"/>
      <w:marRight w:val="0"/>
      <w:marTop w:val="0"/>
      <w:marBottom w:val="0"/>
      <w:divBdr>
        <w:top w:val="none" w:sz="0" w:space="0" w:color="auto"/>
        <w:left w:val="none" w:sz="0" w:space="0" w:color="auto"/>
        <w:bottom w:val="none" w:sz="0" w:space="0" w:color="auto"/>
        <w:right w:val="none" w:sz="0" w:space="0" w:color="auto"/>
      </w:divBdr>
    </w:div>
    <w:div w:id="1321618490">
      <w:bodyDiv w:val="1"/>
      <w:marLeft w:val="0"/>
      <w:marRight w:val="0"/>
      <w:marTop w:val="0"/>
      <w:marBottom w:val="0"/>
      <w:divBdr>
        <w:top w:val="none" w:sz="0" w:space="0" w:color="auto"/>
        <w:left w:val="none" w:sz="0" w:space="0" w:color="auto"/>
        <w:bottom w:val="none" w:sz="0" w:space="0" w:color="auto"/>
        <w:right w:val="none" w:sz="0" w:space="0" w:color="auto"/>
      </w:divBdr>
    </w:div>
    <w:div w:id="1322389369">
      <w:bodyDiv w:val="1"/>
      <w:marLeft w:val="0"/>
      <w:marRight w:val="0"/>
      <w:marTop w:val="0"/>
      <w:marBottom w:val="0"/>
      <w:divBdr>
        <w:top w:val="none" w:sz="0" w:space="0" w:color="auto"/>
        <w:left w:val="none" w:sz="0" w:space="0" w:color="auto"/>
        <w:bottom w:val="none" w:sz="0" w:space="0" w:color="auto"/>
        <w:right w:val="none" w:sz="0" w:space="0" w:color="auto"/>
      </w:divBdr>
    </w:div>
    <w:div w:id="1353531230">
      <w:bodyDiv w:val="1"/>
      <w:marLeft w:val="0"/>
      <w:marRight w:val="0"/>
      <w:marTop w:val="0"/>
      <w:marBottom w:val="0"/>
      <w:divBdr>
        <w:top w:val="none" w:sz="0" w:space="0" w:color="auto"/>
        <w:left w:val="none" w:sz="0" w:space="0" w:color="auto"/>
        <w:bottom w:val="none" w:sz="0" w:space="0" w:color="auto"/>
        <w:right w:val="none" w:sz="0" w:space="0" w:color="auto"/>
      </w:divBdr>
    </w:div>
    <w:div w:id="1382897054">
      <w:bodyDiv w:val="1"/>
      <w:marLeft w:val="0"/>
      <w:marRight w:val="0"/>
      <w:marTop w:val="0"/>
      <w:marBottom w:val="0"/>
      <w:divBdr>
        <w:top w:val="none" w:sz="0" w:space="0" w:color="auto"/>
        <w:left w:val="none" w:sz="0" w:space="0" w:color="auto"/>
        <w:bottom w:val="none" w:sz="0" w:space="0" w:color="auto"/>
        <w:right w:val="none" w:sz="0" w:space="0" w:color="auto"/>
      </w:divBdr>
    </w:div>
    <w:div w:id="1383401289">
      <w:bodyDiv w:val="1"/>
      <w:marLeft w:val="0"/>
      <w:marRight w:val="0"/>
      <w:marTop w:val="0"/>
      <w:marBottom w:val="0"/>
      <w:divBdr>
        <w:top w:val="none" w:sz="0" w:space="0" w:color="auto"/>
        <w:left w:val="none" w:sz="0" w:space="0" w:color="auto"/>
        <w:bottom w:val="none" w:sz="0" w:space="0" w:color="auto"/>
        <w:right w:val="none" w:sz="0" w:space="0" w:color="auto"/>
      </w:divBdr>
    </w:div>
    <w:div w:id="1403790282">
      <w:bodyDiv w:val="1"/>
      <w:marLeft w:val="0"/>
      <w:marRight w:val="0"/>
      <w:marTop w:val="0"/>
      <w:marBottom w:val="0"/>
      <w:divBdr>
        <w:top w:val="none" w:sz="0" w:space="0" w:color="auto"/>
        <w:left w:val="none" w:sz="0" w:space="0" w:color="auto"/>
        <w:bottom w:val="none" w:sz="0" w:space="0" w:color="auto"/>
        <w:right w:val="none" w:sz="0" w:space="0" w:color="auto"/>
      </w:divBdr>
    </w:div>
    <w:div w:id="1415250089">
      <w:bodyDiv w:val="1"/>
      <w:marLeft w:val="0"/>
      <w:marRight w:val="0"/>
      <w:marTop w:val="0"/>
      <w:marBottom w:val="0"/>
      <w:divBdr>
        <w:top w:val="none" w:sz="0" w:space="0" w:color="auto"/>
        <w:left w:val="none" w:sz="0" w:space="0" w:color="auto"/>
        <w:bottom w:val="none" w:sz="0" w:space="0" w:color="auto"/>
        <w:right w:val="none" w:sz="0" w:space="0" w:color="auto"/>
      </w:divBdr>
    </w:div>
    <w:div w:id="1418135495">
      <w:bodyDiv w:val="1"/>
      <w:marLeft w:val="0"/>
      <w:marRight w:val="0"/>
      <w:marTop w:val="0"/>
      <w:marBottom w:val="0"/>
      <w:divBdr>
        <w:top w:val="none" w:sz="0" w:space="0" w:color="auto"/>
        <w:left w:val="none" w:sz="0" w:space="0" w:color="auto"/>
        <w:bottom w:val="none" w:sz="0" w:space="0" w:color="auto"/>
        <w:right w:val="none" w:sz="0" w:space="0" w:color="auto"/>
      </w:divBdr>
    </w:div>
    <w:div w:id="1420366274">
      <w:bodyDiv w:val="1"/>
      <w:marLeft w:val="0"/>
      <w:marRight w:val="0"/>
      <w:marTop w:val="0"/>
      <w:marBottom w:val="0"/>
      <w:divBdr>
        <w:top w:val="none" w:sz="0" w:space="0" w:color="auto"/>
        <w:left w:val="none" w:sz="0" w:space="0" w:color="auto"/>
        <w:bottom w:val="none" w:sz="0" w:space="0" w:color="auto"/>
        <w:right w:val="none" w:sz="0" w:space="0" w:color="auto"/>
      </w:divBdr>
    </w:div>
    <w:div w:id="1422333171">
      <w:bodyDiv w:val="1"/>
      <w:marLeft w:val="0"/>
      <w:marRight w:val="0"/>
      <w:marTop w:val="0"/>
      <w:marBottom w:val="0"/>
      <w:divBdr>
        <w:top w:val="none" w:sz="0" w:space="0" w:color="auto"/>
        <w:left w:val="none" w:sz="0" w:space="0" w:color="auto"/>
        <w:bottom w:val="none" w:sz="0" w:space="0" w:color="auto"/>
        <w:right w:val="none" w:sz="0" w:space="0" w:color="auto"/>
      </w:divBdr>
    </w:div>
    <w:div w:id="1458378220">
      <w:bodyDiv w:val="1"/>
      <w:marLeft w:val="0"/>
      <w:marRight w:val="0"/>
      <w:marTop w:val="0"/>
      <w:marBottom w:val="0"/>
      <w:divBdr>
        <w:top w:val="none" w:sz="0" w:space="0" w:color="auto"/>
        <w:left w:val="none" w:sz="0" w:space="0" w:color="auto"/>
        <w:bottom w:val="none" w:sz="0" w:space="0" w:color="auto"/>
        <w:right w:val="none" w:sz="0" w:space="0" w:color="auto"/>
      </w:divBdr>
    </w:div>
    <w:div w:id="1485000538">
      <w:bodyDiv w:val="1"/>
      <w:marLeft w:val="0"/>
      <w:marRight w:val="0"/>
      <w:marTop w:val="0"/>
      <w:marBottom w:val="0"/>
      <w:divBdr>
        <w:top w:val="none" w:sz="0" w:space="0" w:color="auto"/>
        <w:left w:val="none" w:sz="0" w:space="0" w:color="auto"/>
        <w:bottom w:val="none" w:sz="0" w:space="0" w:color="auto"/>
        <w:right w:val="none" w:sz="0" w:space="0" w:color="auto"/>
      </w:divBdr>
    </w:div>
    <w:div w:id="1493839246">
      <w:bodyDiv w:val="1"/>
      <w:marLeft w:val="0"/>
      <w:marRight w:val="0"/>
      <w:marTop w:val="0"/>
      <w:marBottom w:val="0"/>
      <w:divBdr>
        <w:top w:val="none" w:sz="0" w:space="0" w:color="auto"/>
        <w:left w:val="none" w:sz="0" w:space="0" w:color="auto"/>
        <w:bottom w:val="none" w:sz="0" w:space="0" w:color="auto"/>
        <w:right w:val="none" w:sz="0" w:space="0" w:color="auto"/>
      </w:divBdr>
    </w:div>
    <w:div w:id="1513646374">
      <w:bodyDiv w:val="1"/>
      <w:marLeft w:val="0"/>
      <w:marRight w:val="0"/>
      <w:marTop w:val="0"/>
      <w:marBottom w:val="0"/>
      <w:divBdr>
        <w:top w:val="none" w:sz="0" w:space="0" w:color="auto"/>
        <w:left w:val="none" w:sz="0" w:space="0" w:color="auto"/>
        <w:bottom w:val="none" w:sz="0" w:space="0" w:color="auto"/>
        <w:right w:val="none" w:sz="0" w:space="0" w:color="auto"/>
      </w:divBdr>
    </w:div>
    <w:div w:id="1537428704">
      <w:bodyDiv w:val="1"/>
      <w:marLeft w:val="0"/>
      <w:marRight w:val="0"/>
      <w:marTop w:val="0"/>
      <w:marBottom w:val="0"/>
      <w:divBdr>
        <w:top w:val="none" w:sz="0" w:space="0" w:color="auto"/>
        <w:left w:val="none" w:sz="0" w:space="0" w:color="auto"/>
        <w:bottom w:val="none" w:sz="0" w:space="0" w:color="auto"/>
        <w:right w:val="none" w:sz="0" w:space="0" w:color="auto"/>
      </w:divBdr>
    </w:div>
    <w:div w:id="1549223654">
      <w:bodyDiv w:val="1"/>
      <w:marLeft w:val="0"/>
      <w:marRight w:val="0"/>
      <w:marTop w:val="0"/>
      <w:marBottom w:val="0"/>
      <w:divBdr>
        <w:top w:val="none" w:sz="0" w:space="0" w:color="auto"/>
        <w:left w:val="none" w:sz="0" w:space="0" w:color="auto"/>
        <w:bottom w:val="none" w:sz="0" w:space="0" w:color="auto"/>
        <w:right w:val="none" w:sz="0" w:space="0" w:color="auto"/>
      </w:divBdr>
    </w:div>
    <w:div w:id="1569458068">
      <w:bodyDiv w:val="1"/>
      <w:marLeft w:val="0"/>
      <w:marRight w:val="0"/>
      <w:marTop w:val="0"/>
      <w:marBottom w:val="0"/>
      <w:divBdr>
        <w:top w:val="none" w:sz="0" w:space="0" w:color="auto"/>
        <w:left w:val="none" w:sz="0" w:space="0" w:color="auto"/>
        <w:bottom w:val="none" w:sz="0" w:space="0" w:color="auto"/>
        <w:right w:val="none" w:sz="0" w:space="0" w:color="auto"/>
      </w:divBdr>
    </w:div>
    <w:div w:id="1579897651">
      <w:bodyDiv w:val="1"/>
      <w:marLeft w:val="0"/>
      <w:marRight w:val="0"/>
      <w:marTop w:val="0"/>
      <w:marBottom w:val="0"/>
      <w:divBdr>
        <w:top w:val="none" w:sz="0" w:space="0" w:color="auto"/>
        <w:left w:val="none" w:sz="0" w:space="0" w:color="auto"/>
        <w:bottom w:val="none" w:sz="0" w:space="0" w:color="auto"/>
        <w:right w:val="none" w:sz="0" w:space="0" w:color="auto"/>
      </w:divBdr>
    </w:div>
    <w:div w:id="1584413256">
      <w:bodyDiv w:val="1"/>
      <w:marLeft w:val="0"/>
      <w:marRight w:val="0"/>
      <w:marTop w:val="0"/>
      <w:marBottom w:val="0"/>
      <w:divBdr>
        <w:top w:val="none" w:sz="0" w:space="0" w:color="auto"/>
        <w:left w:val="none" w:sz="0" w:space="0" w:color="auto"/>
        <w:bottom w:val="none" w:sz="0" w:space="0" w:color="auto"/>
        <w:right w:val="none" w:sz="0" w:space="0" w:color="auto"/>
      </w:divBdr>
    </w:div>
    <w:div w:id="1649819885">
      <w:bodyDiv w:val="1"/>
      <w:marLeft w:val="0"/>
      <w:marRight w:val="0"/>
      <w:marTop w:val="0"/>
      <w:marBottom w:val="0"/>
      <w:divBdr>
        <w:top w:val="none" w:sz="0" w:space="0" w:color="auto"/>
        <w:left w:val="none" w:sz="0" w:space="0" w:color="auto"/>
        <w:bottom w:val="none" w:sz="0" w:space="0" w:color="auto"/>
        <w:right w:val="none" w:sz="0" w:space="0" w:color="auto"/>
      </w:divBdr>
    </w:div>
    <w:div w:id="1660042042">
      <w:bodyDiv w:val="1"/>
      <w:marLeft w:val="0"/>
      <w:marRight w:val="0"/>
      <w:marTop w:val="0"/>
      <w:marBottom w:val="0"/>
      <w:divBdr>
        <w:top w:val="none" w:sz="0" w:space="0" w:color="auto"/>
        <w:left w:val="none" w:sz="0" w:space="0" w:color="auto"/>
        <w:bottom w:val="none" w:sz="0" w:space="0" w:color="auto"/>
        <w:right w:val="none" w:sz="0" w:space="0" w:color="auto"/>
      </w:divBdr>
    </w:div>
    <w:div w:id="1704788844">
      <w:bodyDiv w:val="1"/>
      <w:marLeft w:val="0"/>
      <w:marRight w:val="0"/>
      <w:marTop w:val="0"/>
      <w:marBottom w:val="0"/>
      <w:divBdr>
        <w:top w:val="none" w:sz="0" w:space="0" w:color="auto"/>
        <w:left w:val="none" w:sz="0" w:space="0" w:color="auto"/>
        <w:bottom w:val="none" w:sz="0" w:space="0" w:color="auto"/>
        <w:right w:val="none" w:sz="0" w:space="0" w:color="auto"/>
      </w:divBdr>
    </w:div>
    <w:div w:id="1724600136">
      <w:bodyDiv w:val="1"/>
      <w:marLeft w:val="0"/>
      <w:marRight w:val="0"/>
      <w:marTop w:val="0"/>
      <w:marBottom w:val="0"/>
      <w:divBdr>
        <w:top w:val="none" w:sz="0" w:space="0" w:color="auto"/>
        <w:left w:val="none" w:sz="0" w:space="0" w:color="auto"/>
        <w:bottom w:val="none" w:sz="0" w:space="0" w:color="auto"/>
        <w:right w:val="none" w:sz="0" w:space="0" w:color="auto"/>
      </w:divBdr>
    </w:div>
    <w:div w:id="1743678912">
      <w:bodyDiv w:val="1"/>
      <w:marLeft w:val="0"/>
      <w:marRight w:val="0"/>
      <w:marTop w:val="0"/>
      <w:marBottom w:val="0"/>
      <w:divBdr>
        <w:top w:val="none" w:sz="0" w:space="0" w:color="auto"/>
        <w:left w:val="none" w:sz="0" w:space="0" w:color="auto"/>
        <w:bottom w:val="none" w:sz="0" w:space="0" w:color="auto"/>
        <w:right w:val="none" w:sz="0" w:space="0" w:color="auto"/>
      </w:divBdr>
    </w:div>
    <w:div w:id="1744595891">
      <w:bodyDiv w:val="1"/>
      <w:marLeft w:val="0"/>
      <w:marRight w:val="0"/>
      <w:marTop w:val="0"/>
      <w:marBottom w:val="0"/>
      <w:divBdr>
        <w:top w:val="none" w:sz="0" w:space="0" w:color="auto"/>
        <w:left w:val="none" w:sz="0" w:space="0" w:color="auto"/>
        <w:bottom w:val="none" w:sz="0" w:space="0" w:color="auto"/>
        <w:right w:val="none" w:sz="0" w:space="0" w:color="auto"/>
      </w:divBdr>
    </w:div>
    <w:div w:id="1770616006">
      <w:bodyDiv w:val="1"/>
      <w:marLeft w:val="0"/>
      <w:marRight w:val="0"/>
      <w:marTop w:val="0"/>
      <w:marBottom w:val="0"/>
      <w:divBdr>
        <w:top w:val="none" w:sz="0" w:space="0" w:color="auto"/>
        <w:left w:val="none" w:sz="0" w:space="0" w:color="auto"/>
        <w:bottom w:val="none" w:sz="0" w:space="0" w:color="auto"/>
        <w:right w:val="none" w:sz="0" w:space="0" w:color="auto"/>
      </w:divBdr>
    </w:div>
    <w:div w:id="1778406912">
      <w:bodyDiv w:val="1"/>
      <w:marLeft w:val="0"/>
      <w:marRight w:val="0"/>
      <w:marTop w:val="0"/>
      <w:marBottom w:val="0"/>
      <w:divBdr>
        <w:top w:val="none" w:sz="0" w:space="0" w:color="auto"/>
        <w:left w:val="none" w:sz="0" w:space="0" w:color="auto"/>
        <w:bottom w:val="none" w:sz="0" w:space="0" w:color="auto"/>
        <w:right w:val="none" w:sz="0" w:space="0" w:color="auto"/>
      </w:divBdr>
    </w:div>
    <w:div w:id="1809088132">
      <w:bodyDiv w:val="1"/>
      <w:marLeft w:val="0"/>
      <w:marRight w:val="0"/>
      <w:marTop w:val="0"/>
      <w:marBottom w:val="0"/>
      <w:divBdr>
        <w:top w:val="none" w:sz="0" w:space="0" w:color="auto"/>
        <w:left w:val="none" w:sz="0" w:space="0" w:color="auto"/>
        <w:bottom w:val="none" w:sz="0" w:space="0" w:color="auto"/>
        <w:right w:val="none" w:sz="0" w:space="0" w:color="auto"/>
      </w:divBdr>
    </w:div>
    <w:div w:id="1836605868">
      <w:bodyDiv w:val="1"/>
      <w:marLeft w:val="0"/>
      <w:marRight w:val="0"/>
      <w:marTop w:val="0"/>
      <w:marBottom w:val="0"/>
      <w:divBdr>
        <w:top w:val="none" w:sz="0" w:space="0" w:color="auto"/>
        <w:left w:val="none" w:sz="0" w:space="0" w:color="auto"/>
        <w:bottom w:val="none" w:sz="0" w:space="0" w:color="auto"/>
        <w:right w:val="none" w:sz="0" w:space="0" w:color="auto"/>
      </w:divBdr>
    </w:div>
    <w:div w:id="1838111024">
      <w:bodyDiv w:val="1"/>
      <w:marLeft w:val="0"/>
      <w:marRight w:val="0"/>
      <w:marTop w:val="0"/>
      <w:marBottom w:val="0"/>
      <w:divBdr>
        <w:top w:val="none" w:sz="0" w:space="0" w:color="auto"/>
        <w:left w:val="none" w:sz="0" w:space="0" w:color="auto"/>
        <w:bottom w:val="none" w:sz="0" w:space="0" w:color="auto"/>
        <w:right w:val="none" w:sz="0" w:space="0" w:color="auto"/>
      </w:divBdr>
    </w:div>
    <w:div w:id="1855607298">
      <w:bodyDiv w:val="1"/>
      <w:marLeft w:val="0"/>
      <w:marRight w:val="0"/>
      <w:marTop w:val="0"/>
      <w:marBottom w:val="0"/>
      <w:divBdr>
        <w:top w:val="none" w:sz="0" w:space="0" w:color="auto"/>
        <w:left w:val="none" w:sz="0" w:space="0" w:color="auto"/>
        <w:bottom w:val="none" w:sz="0" w:space="0" w:color="auto"/>
        <w:right w:val="none" w:sz="0" w:space="0" w:color="auto"/>
      </w:divBdr>
    </w:div>
    <w:div w:id="1869834420">
      <w:bodyDiv w:val="1"/>
      <w:marLeft w:val="0"/>
      <w:marRight w:val="0"/>
      <w:marTop w:val="0"/>
      <w:marBottom w:val="0"/>
      <w:divBdr>
        <w:top w:val="none" w:sz="0" w:space="0" w:color="auto"/>
        <w:left w:val="none" w:sz="0" w:space="0" w:color="auto"/>
        <w:bottom w:val="none" w:sz="0" w:space="0" w:color="auto"/>
        <w:right w:val="none" w:sz="0" w:space="0" w:color="auto"/>
      </w:divBdr>
    </w:div>
    <w:div w:id="1902985548">
      <w:bodyDiv w:val="1"/>
      <w:marLeft w:val="0"/>
      <w:marRight w:val="0"/>
      <w:marTop w:val="0"/>
      <w:marBottom w:val="0"/>
      <w:divBdr>
        <w:top w:val="none" w:sz="0" w:space="0" w:color="auto"/>
        <w:left w:val="none" w:sz="0" w:space="0" w:color="auto"/>
        <w:bottom w:val="none" w:sz="0" w:space="0" w:color="auto"/>
        <w:right w:val="none" w:sz="0" w:space="0" w:color="auto"/>
      </w:divBdr>
    </w:div>
    <w:div w:id="1903562681">
      <w:bodyDiv w:val="1"/>
      <w:marLeft w:val="0"/>
      <w:marRight w:val="0"/>
      <w:marTop w:val="0"/>
      <w:marBottom w:val="0"/>
      <w:divBdr>
        <w:top w:val="none" w:sz="0" w:space="0" w:color="auto"/>
        <w:left w:val="none" w:sz="0" w:space="0" w:color="auto"/>
        <w:bottom w:val="none" w:sz="0" w:space="0" w:color="auto"/>
        <w:right w:val="none" w:sz="0" w:space="0" w:color="auto"/>
      </w:divBdr>
    </w:div>
    <w:div w:id="1939024234">
      <w:bodyDiv w:val="1"/>
      <w:marLeft w:val="0"/>
      <w:marRight w:val="0"/>
      <w:marTop w:val="0"/>
      <w:marBottom w:val="0"/>
      <w:divBdr>
        <w:top w:val="none" w:sz="0" w:space="0" w:color="auto"/>
        <w:left w:val="none" w:sz="0" w:space="0" w:color="auto"/>
        <w:bottom w:val="none" w:sz="0" w:space="0" w:color="auto"/>
        <w:right w:val="none" w:sz="0" w:space="0" w:color="auto"/>
      </w:divBdr>
    </w:div>
    <w:div w:id="1939368167">
      <w:bodyDiv w:val="1"/>
      <w:marLeft w:val="0"/>
      <w:marRight w:val="0"/>
      <w:marTop w:val="0"/>
      <w:marBottom w:val="0"/>
      <w:divBdr>
        <w:top w:val="none" w:sz="0" w:space="0" w:color="auto"/>
        <w:left w:val="none" w:sz="0" w:space="0" w:color="auto"/>
        <w:bottom w:val="none" w:sz="0" w:space="0" w:color="auto"/>
        <w:right w:val="none" w:sz="0" w:space="0" w:color="auto"/>
      </w:divBdr>
    </w:div>
    <w:div w:id="1942184466">
      <w:bodyDiv w:val="1"/>
      <w:marLeft w:val="0"/>
      <w:marRight w:val="0"/>
      <w:marTop w:val="0"/>
      <w:marBottom w:val="0"/>
      <w:divBdr>
        <w:top w:val="none" w:sz="0" w:space="0" w:color="auto"/>
        <w:left w:val="none" w:sz="0" w:space="0" w:color="auto"/>
        <w:bottom w:val="none" w:sz="0" w:space="0" w:color="auto"/>
        <w:right w:val="none" w:sz="0" w:space="0" w:color="auto"/>
      </w:divBdr>
    </w:div>
    <w:div w:id="1952515547">
      <w:bodyDiv w:val="1"/>
      <w:marLeft w:val="0"/>
      <w:marRight w:val="0"/>
      <w:marTop w:val="0"/>
      <w:marBottom w:val="0"/>
      <w:divBdr>
        <w:top w:val="none" w:sz="0" w:space="0" w:color="auto"/>
        <w:left w:val="none" w:sz="0" w:space="0" w:color="auto"/>
        <w:bottom w:val="none" w:sz="0" w:space="0" w:color="auto"/>
        <w:right w:val="none" w:sz="0" w:space="0" w:color="auto"/>
      </w:divBdr>
    </w:div>
    <w:div w:id="1961449351">
      <w:bodyDiv w:val="1"/>
      <w:marLeft w:val="0"/>
      <w:marRight w:val="0"/>
      <w:marTop w:val="0"/>
      <w:marBottom w:val="0"/>
      <w:divBdr>
        <w:top w:val="none" w:sz="0" w:space="0" w:color="auto"/>
        <w:left w:val="none" w:sz="0" w:space="0" w:color="auto"/>
        <w:bottom w:val="none" w:sz="0" w:space="0" w:color="auto"/>
        <w:right w:val="none" w:sz="0" w:space="0" w:color="auto"/>
      </w:divBdr>
    </w:div>
    <w:div w:id="1968268707">
      <w:bodyDiv w:val="1"/>
      <w:marLeft w:val="0"/>
      <w:marRight w:val="0"/>
      <w:marTop w:val="0"/>
      <w:marBottom w:val="0"/>
      <w:divBdr>
        <w:top w:val="none" w:sz="0" w:space="0" w:color="auto"/>
        <w:left w:val="none" w:sz="0" w:space="0" w:color="auto"/>
        <w:bottom w:val="none" w:sz="0" w:space="0" w:color="auto"/>
        <w:right w:val="none" w:sz="0" w:space="0" w:color="auto"/>
      </w:divBdr>
    </w:div>
    <w:div w:id="1980722013">
      <w:bodyDiv w:val="1"/>
      <w:marLeft w:val="0"/>
      <w:marRight w:val="0"/>
      <w:marTop w:val="0"/>
      <w:marBottom w:val="0"/>
      <w:divBdr>
        <w:top w:val="none" w:sz="0" w:space="0" w:color="auto"/>
        <w:left w:val="none" w:sz="0" w:space="0" w:color="auto"/>
        <w:bottom w:val="none" w:sz="0" w:space="0" w:color="auto"/>
        <w:right w:val="none" w:sz="0" w:space="0" w:color="auto"/>
      </w:divBdr>
    </w:div>
    <w:div w:id="1991859746">
      <w:bodyDiv w:val="1"/>
      <w:marLeft w:val="0"/>
      <w:marRight w:val="0"/>
      <w:marTop w:val="0"/>
      <w:marBottom w:val="0"/>
      <w:divBdr>
        <w:top w:val="none" w:sz="0" w:space="0" w:color="auto"/>
        <w:left w:val="none" w:sz="0" w:space="0" w:color="auto"/>
        <w:bottom w:val="none" w:sz="0" w:space="0" w:color="auto"/>
        <w:right w:val="none" w:sz="0" w:space="0" w:color="auto"/>
      </w:divBdr>
    </w:div>
    <w:div w:id="2000423674">
      <w:bodyDiv w:val="1"/>
      <w:marLeft w:val="0"/>
      <w:marRight w:val="0"/>
      <w:marTop w:val="0"/>
      <w:marBottom w:val="0"/>
      <w:divBdr>
        <w:top w:val="none" w:sz="0" w:space="0" w:color="auto"/>
        <w:left w:val="none" w:sz="0" w:space="0" w:color="auto"/>
        <w:bottom w:val="none" w:sz="0" w:space="0" w:color="auto"/>
        <w:right w:val="none" w:sz="0" w:space="0" w:color="auto"/>
      </w:divBdr>
    </w:div>
    <w:div w:id="2004429088">
      <w:bodyDiv w:val="1"/>
      <w:marLeft w:val="0"/>
      <w:marRight w:val="0"/>
      <w:marTop w:val="0"/>
      <w:marBottom w:val="0"/>
      <w:divBdr>
        <w:top w:val="none" w:sz="0" w:space="0" w:color="auto"/>
        <w:left w:val="none" w:sz="0" w:space="0" w:color="auto"/>
        <w:bottom w:val="none" w:sz="0" w:space="0" w:color="auto"/>
        <w:right w:val="none" w:sz="0" w:space="0" w:color="auto"/>
      </w:divBdr>
    </w:div>
    <w:div w:id="2052998127">
      <w:bodyDiv w:val="1"/>
      <w:marLeft w:val="0"/>
      <w:marRight w:val="0"/>
      <w:marTop w:val="0"/>
      <w:marBottom w:val="0"/>
      <w:divBdr>
        <w:top w:val="none" w:sz="0" w:space="0" w:color="auto"/>
        <w:left w:val="none" w:sz="0" w:space="0" w:color="auto"/>
        <w:bottom w:val="none" w:sz="0" w:space="0" w:color="auto"/>
        <w:right w:val="none" w:sz="0" w:space="0" w:color="auto"/>
      </w:divBdr>
    </w:div>
    <w:div w:id="2057003653">
      <w:bodyDiv w:val="1"/>
      <w:marLeft w:val="0"/>
      <w:marRight w:val="0"/>
      <w:marTop w:val="0"/>
      <w:marBottom w:val="0"/>
      <w:divBdr>
        <w:top w:val="none" w:sz="0" w:space="0" w:color="auto"/>
        <w:left w:val="none" w:sz="0" w:space="0" w:color="auto"/>
        <w:bottom w:val="none" w:sz="0" w:space="0" w:color="auto"/>
        <w:right w:val="none" w:sz="0" w:space="0" w:color="auto"/>
      </w:divBdr>
    </w:div>
    <w:div w:id="2098557894">
      <w:bodyDiv w:val="1"/>
      <w:marLeft w:val="0"/>
      <w:marRight w:val="0"/>
      <w:marTop w:val="0"/>
      <w:marBottom w:val="0"/>
      <w:divBdr>
        <w:top w:val="none" w:sz="0" w:space="0" w:color="auto"/>
        <w:left w:val="none" w:sz="0" w:space="0" w:color="auto"/>
        <w:bottom w:val="none" w:sz="0" w:space="0" w:color="auto"/>
        <w:right w:val="none" w:sz="0" w:space="0" w:color="auto"/>
      </w:divBdr>
    </w:div>
    <w:div w:id="2109694415">
      <w:bodyDiv w:val="1"/>
      <w:marLeft w:val="0"/>
      <w:marRight w:val="0"/>
      <w:marTop w:val="0"/>
      <w:marBottom w:val="0"/>
      <w:divBdr>
        <w:top w:val="none" w:sz="0" w:space="0" w:color="auto"/>
        <w:left w:val="none" w:sz="0" w:space="0" w:color="auto"/>
        <w:bottom w:val="none" w:sz="0" w:space="0" w:color="auto"/>
        <w:right w:val="none" w:sz="0" w:space="0" w:color="auto"/>
      </w:divBdr>
    </w:div>
    <w:div w:id="2110471068">
      <w:bodyDiv w:val="1"/>
      <w:marLeft w:val="0"/>
      <w:marRight w:val="0"/>
      <w:marTop w:val="0"/>
      <w:marBottom w:val="0"/>
      <w:divBdr>
        <w:top w:val="none" w:sz="0" w:space="0" w:color="auto"/>
        <w:left w:val="none" w:sz="0" w:space="0" w:color="auto"/>
        <w:bottom w:val="none" w:sz="0" w:space="0" w:color="auto"/>
        <w:right w:val="none" w:sz="0" w:space="0" w:color="auto"/>
      </w:divBdr>
    </w:div>
    <w:div w:id="21228703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13820</Words>
  <Characters>78780</Characters>
  <Application>Microsoft Macintosh Word</Application>
  <DocSecurity>0</DocSecurity>
  <Lines>656</Lines>
  <Paragraphs>184</Paragraphs>
  <ScaleCrop>false</ScaleCrop>
  <Company>UCL</Company>
  <LinksUpToDate>false</LinksUpToDate>
  <CharactersWithSpaces>92416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 Harris</dc:creator>
  <cp:lastModifiedBy>Steve Harris</cp:lastModifiedBy>
  <cp:revision>2</cp:revision>
  <dcterms:created xsi:type="dcterms:W3CDTF">2016-06-03T23:52:00Z</dcterms:created>
  <dcterms:modified xsi:type="dcterms:W3CDTF">2016-06-03T23:52:00Z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id="http://www.zotero.org/styles/bmj"/&gt;&lt;format class="21"/&gt;&lt;count citations="21" publications="26"/&gt;&lt;/info&gt;PAPERS2_INFO_END</vt:lpwstr>
  </property>
</Properties>
</file>