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Никита Поломошнов</w:t>
      </w:r>
    </w:p>
    <w:p>
      <w:pPr>
        <w:spacing w:after="18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ML / вычислительный drug design  ·  Москва  ·  nikitapol@fbb.msu.ru  ·  orcid.org/0009-0001-4342-8539  ·  github.com/doctawho42  ·  doctawho42.github.io  ·  MetaTox: way2drug.com</w:t>
      </w:r>
    </w:p>
    <w:p>
      <w:pPr>
        <w:spacing w:after="40"/>
      </w:pPr>
      <w:r>
        <w:rPr>
          <w:rFonts w:ascii="Calibri" w:cs="Calibri" w:eastAsia="Calibri" w:hAnsi="Calibri"/>
          <w:sz w:val="17"/>
          <w:szCs w:val="17"/>
        </w:rPr>
        <w:t xml:space="preserve">Студент 4 курса ФББ МГУ. Четыре работы первым автором, одна вышла препринтом, развёрнутый веб-сервис, стажировка в Яндексе, работа в лаборатории ИИ в геномике МГУ.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Специализация: ML внутри физически обоснованных пайплайнов, то есть считать то, что определяется физикой или геометрией, и учить только остаток. </w:t>
      </w:r>
      <w:r>
        <w:rPr>
          <w:rFonts w:ascii="Calibri" w:cs="Calibri" w:eastAsia="Calibri" w:hAnsi="Calibri"/>
          <w:sz w:val="17"/>
          <w:szCs w:val="17"/>
        </w:rPr>
        <w:t xml:space="preserve">Отдельная сильная сторона: находить, где пайплайн молча врёт. Неидентифицируемые величины, неоткалиброванная неопределённость, метрики, меняющие победителя при смене соглашения.</w:t>
      </w:r>
    </w:p>
    <w:p>
      <w:pPr>
        <w:pBdr>
          <w:bottom w:val="single" w:color="BFBFB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ОПЫТ</w:t>
      </w:r>
    </w:p>
    <w:p>
      <w:pPr>
        <w:tabs>
          <w:tab w:val="right" w:pos="9640"/>
        </w:tabs>
        <w:spacing w:after="14" w:before="6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Лаборатория ИИ в геномике и инженерной биологии МГУ — исследователь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сентябрь 2026 – н. в.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Совместный генеративный дизайн белка и гидовой РНК в семействе TnpB/TranC/Cas12: генерация нуклеазы под заданный гид и обратная задача.</w:t>
      </w:r>
    </w:p>
    <w:p>
      <w:pPr>
        <w:tabs>
          <w:tab w:val="right" w:pos="9640"/>
        </w:tabs>
        <w:spacing w:after="14" w:before="6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Яндекс — стажёр, ML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октябрь 2025 – февраль 2026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Оценка качества изображений: модели ранжирования и классификации качества.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Предложение тегов и подготовка данных на SQL.</w:t>
      </w:r>
    </w:p>
    <w:p>
      <w:pPr>
        <w:tabs>
          <w:tab w:val="right" w:pos="9640"/>
        </w:tabs>
        <w:spacing w:after="14" w:before="6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ИБМХ им. В. Н. Ореховича — исследователь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2023 – н. в.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MetaTox на платформе way2drug: метод предсказания метаболитов внедряется в продакшн-сервис. Мой вклад: новая модель предсказания и новый банк правил трансформации; открытая версия банка и код выложены (github.com/doctawho42/GRAIL).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Скрининговая кампания по энантиомерам молекулярных клеток совместно с Новосибирским институтом органической химии (НИОХ СО РАН): докинг и оценка по мишеням, операционный отчёт с разделением энантиомеров на одной мишени.</w:t>
      </w:r>
    </w:p>
    <w:p>
      <w:pPr>
        <w:pBdr>
          <w:bottom w:val="single" w:color="BFBFB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ИССЛЕДОВАТЕЛЬСКИЕ РАБОТЫ</w:t>
      </w:r>
    </w:p>
    <w:p>
      <w:pPr>
        <w:tabs>
          <w:tab w:val="right" w:pos="9640"/>
        </w:tabs>
        <w:spacing w:after="14" w:before="6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Свободные энергии связывания: что видит и чего не видит замыкание циклов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препринт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Единственный автор · ChemRxiv 10.26434/chemrxiv.15007931/v3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Калиброванный тест замыкания термодинамических циклов на 1145 реальных рёбрах связывания OpenFE: помечены 6 сетей систематической ошибки из 48, с валидацией по трём независимым репликам.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Дисперсия оценки снимается с физики в замкнутой дифференцируемой форме с O(1) обратным проходом, а не выучивается: обученная голова остаётся переуверенной в ~7 раз при реалистичном бюджете.</w:t>
      </w:r>
    </w:p>
    <w:p>
      <w:pPr>
        <w:tabs>
          <w:tab w:val="right" w:pos="9640"/>
        </w:tabs>
        <w:spacing w:after="14" w:before="6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Методология оценки в машинном обучении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подана на ICLR 2027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Единственный автор · название и детали не раскрываются на время слепого рецензирования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Пересчёт 24 опубликованных лидербордов в четырёх областях по объявленной сетке решений: из 298 систем и 1932 пар при строгом чтении остаются 99 порядков, причём большая часть потерь приходится не на выбор критерия, а на разрешающую способность, которой у бенчмарка никогда не было.</w:t>
      </w:r>
    </w:p>
    <w:p>
      <w:pPr>
        <w:tabs>
          <w:tab w:val="right" w:pos="9640"/>
        </w:tabs>
        <w:spacing w:after="14" w:before="6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Предсказание метаболитов: GRAIL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рукопись, готовится к подаче в JCIM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Первый автор, в соавторстве с А. В. Рудиком (ИБМХ) · код и банк правил выложены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Точная факторизация recall@k = coverage × selection × ranking: на сравнительном наборе потолок банка 0.8105, система берёт 0.7023 (86.7% достижимого), а оставшиеся 0.1895 недостижимы никаким ранжированием: банк этих структур не производит.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Сравнение с четырьмя предикторами отчитано сеткой, а не одним числом: смена критерия совпадения меняет вердикт на 6 бюджетах из 9. Единственное преимущество, пережившее и поправку на множественность, и контроль длины списка, это +0.1820 [+0.1446, +0.2208] над SyGMa.</w:t>
      </w:r>
    </w:p>
    <w:p>
      <w:pPr>
        <w:tabs>
          <w:tab w:val="right" w:pos="9640"/>
        </w:tabs>
        <w:spacing w:after="14" w:before="6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Растворимость: когда референсные σ-профили вредят COSMO-SAC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подана в JCIM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Первый автор, в соавторстве с А. В. Рудиком (ИБМХ)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COSMO-SAC реализован как дифференцируемый слой, чтобы графовая сеть обучалась сквозь фиксированную термодинамическую модель.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Результат: подстановка референсного профиля на инференсе ухудшает предсказание на каждом сиде, тогда как супервизия им же на обучении устойчивого знака не имеет.</w:t>
      </w:r>
    </w:p>
    <w:p>
      <w:pPr>
        <w:pBdr>
          <w:bottom w:val="single" w:color="BFBFB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НАВЫКИ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ML: </w:t>
      </w:r>
      <w:r>
        <w:rPr>
          <w:rFonts w:ascii="Calibri" w:cs="Calibri" w:eastAsia="Calibri" w:hAnsi="Calibri"/>
          <w:sz w:val="17"/>
          <w:szCs w:val="17"/>
        </w:rPr>
        <w:t xml:space="preserve">PyTorch, графовые нейросети, E(3)-эквивариантные архитектуры, генеративные модели на графах (GAN, диффузия), GFlowNets, глубокие ансамбли, калибровка и оценка неопределённости, conformal prediction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Химинформатика: </w:t>
      </w:r>
      <w:r>
        <w:rPr>
          <w:rFonts w:ascii="Calibri" w:cs="Calibri" w:eastAsia="Calibri" w:hAnsi="Calibri"/>
          <w:sz w:val="17"/>
          <w:szCs w:val="17"/>
        </w:rPr>
        <w:t xml:space="preserve">RDKit, SMILES/InChI/таутомеры, реакционные шаблоны, докинг, COSMO-SAC/COSMO-RS, MBAR/BAR (pymbar), OpenFE/OpenFF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Биоинформатика: </w:t>
      </w:r>
      <w:r>
        <w:rPr>
          <w:rFonts w:ascii="Calibri" w:cs="Calibri" w:eastAsia="Calibri" w:hAnsi="Calibri"/>
          <w:sz w:val="17"/>
          <w:szCs w:val="17"/>
        </w:rPr>
        <w:t xml:space="preserve">BLAST и поиск гомологов, базы последовательностей и структур, обработка данных NGS, PDB, PyMOL, GROMACS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Инженерия: </w:t>
      </w:r>
      <w:r>
        <w:rPr>
          <w:rFonts w:ascii="Calibri" w:cs="Calibri" w:eastAsia="Calibri" w:hAnsi="Calibri"/>
          <w:sz w:val="17"/>
          <w:szCs w:val="17"/>
        </w:rPr>
        <w:t xml:space="preserve">Python, воспроизводимые пайплайны, релиз артефактов, Git, Docker,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Статистика: </w:t>
      </w:r>
      <w:r>
        <w:rPr>
          <w:rFonts w:ascii="Calibri" w:cs="Calibri" w:eastAsia="Calibri" w:hAnsi="Calibri"/>
          <w:sz w:val="17"/>
          <w:szCs w:val="17"/>
        </w:rPr>
        <w:t xml:space="preserve">bootstrap (парный, кластерный), поправки на множественность, предрегистрация гипотез, дизайн эксперимента с отрицательным контролем</w:t>
      </w:r>
    </w:p>
    <w:p>
      <w:pPr>
        <w:pBdr>
          <w:bottom w:val="single" w:color="BFBFBF" w:sz="6" w:space="2"/>
        </w:pBdr>
        <w:spacing w:after="46" w:before="108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ОБРАЗОВАНИЕ</w:t>
      </w:r>
    </w:p>
    <w:p>
      <w:pPr>
        <w:tabs>
          <w:tab w:val="right" w:pos="9640"/>
        </w:tabs>
        <w:spacing w:after="14" w:before="6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МГУ им. М. В. Ломоносова — биоинженерия и биоинформатика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специалитет (6 лет), выпуск 2029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Средний балл 3.8/4.0. Квалификация по рецензированию и переводу научных текстов на английском языке.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Дипломы II степени на XI и XII Международной биологической универсиаде МГУ (2023 и 2024).</w:t>
      </w:r>
    </w:p>
    <w:p>
      <w:pPr>
        <w:tabs>
          <w:tab w:val="right" w:pos="9640"/>
        </w:tabs>
        <w:spacing w:after="14" w:before="6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Летняя школа AIRI, трек машинного обучения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sz w:val="17"/>
          <w:szCs w:val="17"/>
        </w:rPr>
        <w:t xml:space="preserve">R3-MolGAN: рецепт R3GAN (NeurIPS 2024) на молекулярных графах QM9 и в латентном пространстве MOSES. </w:t>
      </w:r>
      <w:hyperlink w:history="1" r:id="rIdjzep9tb_coqfjcfsq0ap1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Репозиторий</w:t>
        </w:r>
      </w:hyperlink>
      <w:r>
        <w:rPr>
          <w:rFonts w:ascii="Calibri" w:cs="Calibri" w:eastAsia="Calibri" w:hAnsi="Calibri"/>
          <w:sz w:val="17"/>
          <w:szCs w:val="17"/>
        </w:rPr>
        <w:t xml:space="preserve">.</w:t>
      </w:r>
    </w:p>
    <w:sectPr>
      <w:pgSz w:w="11906" w:h="16838" w:orient="portrait"/>
      <w:pgMar w:top="470" w:right="800" w:bottom="3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zep9tb_coqfjcfsq0ap1" Type="http://schemas.openxmlformats.org/officeDocument/2006/relationships/hyperlink" Target="https://github.com/g42alaxy/AIRI-Summer-School-Molecular-R3-GAN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2026-09-13T12:35:33.051Z</dcterms:created>
  <dcterms:modified xsi:type="dcterms:W3CDTF">2026-09-13T12:35:33.051Z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