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tbi-dnn-interactive-dag-visualizer"/>
    <w:p>
      <w:pPr>
        <w:pStyle w:val="Heading1"/>
      </w:pPr>
      <w:r>
        <w:t xml:space="preserve">TBI-DNN Interactive DAG Visualizer</w:t>
      </w:r>
    </w:p>
    <w:p>
      <w:pPr>
        <w:pStyle w:val="FirstParagraph"/>
      </w:pPr>
      <w:r>
        <w:rPr>
          <w:bCs/>
          <w:b/>
        </w:rPr>
        <w:t xml:space="preserve">Disease Network Knowledge Library &amp; Pathway Browser</w:t>
      </w:r>
      <w:r>
        <w:br/>
      </w:r>
      <w:r>
        <w:rPr>
          <w:iCs/>
          <w:i/>
        </w:rPr>
        <w:t xml:space="preserve">Supplementary Software for the TBI-to-Neurodegenerative Dementias (TBI-DNN) Study</w:t>
      </w:r>
    </w:p>
    <w:p>
      <w:r>
        <w:pict>
          <v:rect style="width:0;height:1.5pt" o:hralign="center" o:hrstd="t" o:hr="t"/>
        </w:pict>
      </w:r>
    </w:p>
    <w:bookmarkStart w:id="20" w:name="overview"/>
    <w:p>
      <w:pPr>
        <w:pStyle w:val="Heading2"/>
      </w:pPr>
      <w:r>
        <w:t xml:space="preserve">Overview</w:t>
      </w:r>
    </w:p>
    <w:p>
      <w:pPr>
        <w:pStyle w:val="FirstParagraph"/>
      </w:pPr>
      <w:r>
        <w:t xml:space="preserve">The</w:t>
      </w:r>
      <w:r>
        <w:t xml:space="preserve"> </w:t>
      </w:r>
      <w:r>
        <w:rPr>
          <w:bCs/>
          <w:b/>
        </w:rPr>
        <w:t xml:space="preserve">TBI-DNN Interactive DAG Visualizer</w:t>
      </w:r>
      <w:r>
        <w:t xml:space="preserve"> </w:t>
      </w:r>
      <w:r>
        <w:t xml:space="preserve">is a lightweight, publication-grade web application developed to explore, inspect, and analyze directed acyclic graph (DAG) models generated from the biomedical literature. It reconstructs the multiscale causal cascades linking Traumatic Brain Injury (TBI) to chronic neurodegenerative dementias (Alzheimer’s Disease, Chronic Traumatic Encephalopathy, Lewy Body Disease, Frontotemporal Dementia, and Vascular Dementia).</w:t>
      </w:r>
    </w:p>
    <w:p>
      <w:pPr>
        <w:pStyle w:val="BodyText"/>
      </w:pPr>
      <w:r>
        <w:t xml:space="preserve">The visualizer provides complete traceability across:</w:t>
      </w:r>
      <w:r>
        <w:t xml:space="preserve"> </w:t>
      </w:r>
      <w:r>
        <w:t xml:space="preserve">-</w:t>
      </w:r>
      <w:r>
        <w:t xml:space="preserve"> </w:t>
      </w:r>
      <w:r>
        <w:rPr>
          <w:bCs/>
          <w:b/>
        </w:rPr>
        <w:t xml:space="preserve">68 Clinical Evidence Clusters</w:t>
      </w:r>
      <w:r>
        <w:t xml:space="preserve"> </w:t>
      </w:r>
      <w:r>
        <w:t xml:space="preserve">(SapBERT + HDBSCAN + causal triple DAGs)</w:t>
      </w:r>
      <w:r>
        <w:t xml:space="preserve"> </w:t>
      </w:r>
      <w:r>
        <w:t xml:space="preserve">-</w:t>
      </w:r>
      <w:r>
        <w:t xml:space="preserve"> </w:t>
      </w:r>
      <w:r>
        <w:rPr>
          <w:bCs/>
          <w:b/>
        </w:rPr>
        <w:t xml:space="preserve">60 Preclinical Evidence Clusters</w:t>
      </w:r>
      <w:r>
        <w:t xml:space="preserve"> </w:t>
      </w:r>
      <w:r>
        <w:t xml:space="preserve">(Animal models, molecular cascades, cellular mechanisms)</w:t>
      </w:r>
      <w:r>
        <w:t xml:space="preserve"> </w:t>
      </w:r>
      <w:r>
        <w:t xml:space="preserve">-</w:t>
      </w:r>
      <w:r>
        <w:t xml:space="preserve"> </w:t>
      </w:r>
      <w:r>
        <w:rPr>
          <w:bCs/>
          <w:b/>
        </w:rPr>
        <w:t xml:space="preserve">Traceable Evidence References</w:t>
      </w:r>
      <w:r>
        <w:t xml:space="preserve"> </w:t>
      </w:r>
      <w:r>
        <w:t xml:space="preserve">linked directly to PubMed / DOI identifiers.</w:t>
      </w:r>
    </w:p>
    <w:p>
      <w:r>
        <w:pict>
          <v:rect style="width:0;height:1.5pt" o:hralign="center" o:hrstd="t" o:hr="t"/>
        </w:pict>
      </w:r>
    </w:p>
    <w:bookmarkEnd w:id="20"/>
    <w:bookmarkStart w:id="23" w:name="quick-start-guide"/>
    <w:p>
      <w:pPr>
        <w:pStyle w:val="Heading2"/>
      </w:pPr>
      <w:r>
        <w:t xml:space="preserve">Quick Start Guide</w:t>
      </w:r>
    </w:p>
    <w:bookmarkStart w:id="21" w:name="option-1-instant-local-launch-zero-setup"/>
    <w:p>
      <w:pPr>
        <w:pStyle w:val="Heading3"/>
      </w:pPr>
      <w:r>
        <w:t xml:space="preserve">Option 1: Instant Local Launch (Zero Setup)</w:t>
      </w:r>
    </w:p>
    <w:p>
      <w:pPr>
        <w:pStyle w:val="FirstParagraph"/>
      </w:pPr>
      <w:r>
        <w:t xml:space="preserve">No web server or dependencies are required.</w:t>
      </w:r>
      <w:r>
        <w:t xml:space="preserve"> </w:t>
      </w:r>
      <w:r>
        <w:t xml:space="preserve">1. Navigate to the</w:t>
      </w:r>
      <w:r>
        <w:t xml:space="preserve"> </w:t>
      </w:r>
      <w:r>
        <w:rPr>
          <w:rStyle w:val="VerbatimChar"/>
        </w:rPr>
        <w:t xml:space="preserve">DAG visualizer/</w:t>
      </w:r>
      <w:r>
        <w:t xml:space="preserve"> </w:t>
      </w:r>
      <w:r>
        <w:t xml:space="preserve">folder.</w:t>
      </w:r>
      <w:r>
        <w:t xml:space="preserve"> </w:t>
      </w:r>
      <w:r>
        <w:t xml:space="preserve">2. Double-click</w:t>
      </w:r>
      <w:r>
        <w:t xml:space="preserve"> </w:t>
      </w:r>
      <w:r>
        <w:rPr>
          <w:rStyle w:val="VerbatimChar"/>
          <w:bCs/>
          <w:b/>
        </w:rPr>
        <w:t xml:space="preserve">index.html</w:t>
      </w:r>
      <w:r>
        <w:t xml:space="preserve"> </w:t>
      </w:r>
      <w:r>
        <w:t xml:space="preserve">to open it in any modern browser (Chrome, Safari, Firefox, Edge).</w:t>
      </w:r>
      <w:r>
        <w:t xml:space="preserve"> </w:t>
      </w:r>
      <w:r>
        <w:t xml:space="preserve">3. The visualizer loads completely offline with the pre-bundled</w:t>
      </w:r>
      <w:r>
        <w:t xml:space="preserve"> </w:t>
      </w:r>
      <w:r>
        <w:rPr>
          <w:rStyle w:val="VerbatimChar"/>
        </w:rPr>
        <w:t xml:space="preserve">dag_data.js</w:t>
      </w:r>
      <w:r>
        <w:t xml:space="preserve"> </w:t>
      </w:r>
      <w:r>
        <w:t xml:space="preserve">database.</w:t>
      </w:r>
    </w:p>
    <w:bookmarkEnd w:id="21"/>
    <w:bookmarkStart w:id="22" w:name="option-2-run-via-local-http-server"/>
    <w:p>
      <w:pPr>
        <w:pStyle w:val="Heading3"/>
      </w:pPr>
      <w:r>
        <w:t xml:space="preserve">Option 2: Run via Local HTTP Server</w:t>
      </w:r>
    </w:p>
    <w:p>
      <w:pPr>
        <w:pStyle w:val="FirstParagraph"/>
      </w:pPr>
      <w:r>
        <w:t xml:space="preserve">If you prefer running a local server:</w:t>
      </w:r>
    </w:p>
    <w:p>
      <w:pPr>
        <w:pStyle w:val="SourceCode"/>
      </w:pPr>
      <w:r>
        <w:rPr>
          <w:rStyle w:val="CommentTok"/>
        </w:rPr>
        <w:t xml:space="preserve"># From within the "DAG visualizer" folder:</w:t>
      </w:r>
      <w:r>
        <w:br/>
      </w:r>
      <w:r>
        <w:rPr>
          <w:rStyle w:val="ExtensionTok"/>
        </w:rPr>
        <w:t xml:space="preserve">python3</w:t>
      </w:r>
      <w:r>
        <w:rPr>
          <w:rStyle w:val="NormalTok"/>
        </w:rPr>
        <w:t xml:space="preserve"> </w:t>
      </w:r>
      <w:r>
        <w:rPr>
          <w:rStyle w:val="AttributeTok"/>
        </w:rPr>
        <w:t xml:space="preserve">-m</w:t>
      </w:r>
      <w:r>
        <w:rPr>
          <w:rStyle w:val="NormalTok"/>
        </w:rPr>
        <w:t xml:space="preserve"> http.server 8080</w:t>
      </w:r>
      <w:r>
        <w:br/>
      </w:r>
      <w:r>
        <w:br/>
      </w:r>
      <w:r>
        <w:rPr>
          <w:rStyle w:val="CommentTok"/>
        </w:rPr>
        <w:t xml:space="preserve"># Then open in your browser:</w:t>
      </w:r>
      <w:r>
        <w:br/>
      </w:r>
      <w:r>
        <w:rPr>
          <w:rStyle w:val="CommentTok"/>
        </w:rPr>
        <w:t xml:space="preserve"># http://localhost:8080</w:t>
      </w:r>
    </w:p>
    <w:p>
      <w:r>
        <w:pict>
          <v:rect style="width:0;height:1.5pt" o:hralign="center" o:hrstd="t" o:hr="t"/>
        </w:pict>
      </w:r>
    </w:p>
    <w:bookmarkEnd w:id="22"/>
    <w:bookmarkEnd w:id="23"/>
    <w:bookmarkStart w:id="30" w:name="key-features-how-to-use"/>
    <w:p>
      <w:pPr>
        <w:pStyle w:val="Heading2"/>
      </w:pPr>
      <w:r>
        <w:t xml:space="preserve">Key Features &amp; How to Use</w:t>
      </w:r>
    </w:p>
    <w:bookmarkStart w:id="24" w:name="dataset-selection"/>
    <w:p>
      <w:pPr>
        <w:pStyle w:val="Heading3"/>
      </w:pPr>
      <w:r>
        <w:t xml:space="preserve">1. Dataset Selection</w:t>
      </w:r>
    </w:p>
    <w:p>
      <w:pPr>
        <w:pStyle w:val="FirstParagraph"/>
      </w:pPr>
      <w:r>
        <w:t xml:space="preserve">At the top of the screen, toggle between:</w:t>
      </w:r>
      <w:r>
        <w:t xml:space="preserve"> </w:t>
      </w:r>
      <w:r>
        <w:t xml:space="preserve">-</w:t>
      </w:r>
      <w:r>
        <w:t xml:space="preserve"> </w:t>
      </w:r>
      <w:r>
        <w:rPr>
          <w:bCs/>
          <w:b/>
        </w:rPr>
        <w:t xml:space="preserve">Clinical Evidence</w:t>
      </w:r>
      <w:r>
        <w:t xml:space="preserve">: 68 semantic clusters synthesizing human clinical observations, biomarkers (e.g., NfL, tau, amyloid), imaging (DTI, PET), and epidemiological cohorts.</w:t>
      </w:r>
      <w:r>
        <w:t xml:space="preserve"> </w:t>
      </w:r>
      <w:r>
        <w:t xml:space="preserve">-</w:t>
      </w:r>
      <w:r>
        <w:t xml:space="preserve"> </w:t>
      </w:r>
      <w:r>
        <w:rPr>
          <w:bCs/>
          <w:b/>
        </w:rPr>
        <w:t xml:space="preserve">Preclinical Evidence</w:t>
      </w:r>
      <w:r>
        <w:t xml:space="preserve">: 60 semantic clusters detailing cellular pathways, blood-brain barrier disruption, neuroinflammation, microglial activation, and synaptic loss.</w:t>
      </w:r>
    </w:p>
    <w:bookmarkEnd w:id="24"/>
    <w:bookmarkStart w:id="25" w:name="exploring-clusters"/>
    <w:p>
      <w:pPr>
        <w:pStyle w:val="Heading3"/>
      </w:pPr>
      <w:r>
        <w:t xml:space="preserve">2. Exploring Clusters</w:t>
      </w:r>
    </w:p>
    <w:p>
      <w:pPr>
        <w:numPr>
          <w:ilvl w:val="0"/>
          <w:numId w:val="1001"/>
        </w:numPr>
        <w:pStyle w:val="Compact"/>
      </w:pPr>
      <w:r>
        <w:rPr>
          <w:bCs/>
          <w:b/>
        </w:rPr>
        <w:t xml:space="preserve">Sidebar</w:t>
      </w:r>
      <w:r>
        <w:t xml:space="preserve">: Browse all clusters sorted by ID. Each card displays the cluster number, title, node count, edge count, and a mechanistic summary definition.</w:t>
      </w:r>
    </w:p>
    <w:p>
      <w:pPr>
        <w:numPr>
          <w:ilvl w:val="0"/>
          <w:numId w:val="1001"/>
        </w:numPr>
        <w:pStyle w:val="Compact"/>
      </w:pPr>
      <w:r>
        <w:rPr>
          <w:bCs/>
          <w:b/>
        </w:rPr>
        <w:t xml:space="preserve">Search</w:t>
      </w:r>
      <w:r>
        <w:t xml:space="preserve">: Use the search bar at the top of the sidebar to filter clusters by keywords (e.g.,</w:t>
      </w:r>
      <w:r>
        <w:t xml:space="preserve"> </w:t>
      </w:r>
      <w:r>
        <w:rPr>
          <w:rStyle w:val="VerbatimChar"/>
        </w:rPr>
        <w:t xml:space="preserve">tau</w:t>
      </w:r>
      <w:r>
        <w:t xml:space="preserve">,</w:t>
      </w:r>
      <w:r>
        <w:t xml:space="preserve"> </w:t>
      </w:r>
      <w:r>
        <w:rPr>
          <w:rStyle w:val="VerbatimChar"/>
        </w:rPr>
        <w:t xml:space="preserve">microglia</w:t>
      </w:r>
      <w:r>
        <w:t xml:space="preserve">,</w:t>
      </w:r>
      <w:r>
        <w:t xml:space="preserve"> </w:t>
      </w:r>
      <w:r>
        <w:rPr>
          <w:rStyle w:val="VerbatimChar"/>
        </w:rPr>
        <w:t xml:space="preserve">BBB</w:t>
      </w:r>
      <w:r>
        <w:t xml:space="preserve">,</w:t>
      </w:r>
      <w:r>
        <w:t xml:space="preserve"> </w:t>
      </w:r>
      <w:r>
        <w:rPr>
          <w:rStyle w:val="VerbatimChar"/>
        </w:rPr>
        <w:t xml:space="preserve">inflammation</w:t>
      </w:r>
      <w:r>
        <w:t xml:space="preserve">,</w:t>
      </w:r>
      <w:r>
        <w:t xml:space="preserve"> </w:t>
      </w:r>
      <w:r>
        <w:rPr>
          <w:rStyle w:val="VerbatimChar"/>
        </w:rPr>
        <w:t xml:space="preserve">biomarker</w:t>
      </w:r>
      <w:r>
        <w:t xml:space="preserve">).</w:t>
      </w:r>
    </w:p>
    <w:p>
      <w:pPr>
        <w:numPr>
          <w:ilvl w:val="0"/>
          <w:numId w:val="1001"/>
        </w:numPr>
        <w:pStyle w:val="Compact"/>
      </w:pPr>
      <w:r>
        <w:rPr>
          <w:bCs/>
          <w:b/>
        </w:rPr>
        <w:t xml:space="preserve">Confidence Filter</w:t>
      </w:r>
      <w:r>
        <w:t xml:space="preserve">: Filter edges by confidence ratings (</w:t>
      </w:r>
      <w:r>
        <w:rPr>
          <w:rStyle w:val="VerbatimChar"/>
        </w:rPr>
        <w:t xml:space="preserve">High</w:t>
      </w:r>
      <w:r>
        <w:t xml:space="preserve">,</w:t>
      </w:r>
      <w:r>
        <w:t xml:space="preserve"> </w:t>
      </w:r>
      <w:r>
        <w:rPr>
          <w:rStyle w:val="VerbatimChar"/>
        </w:rPr>
        <w:t xml:space="preserve">Medium</w:t>
      </w:r>
      <w:r>
        <w:t xml:space="preserve">, or</w:t>
      </w:r>
      <w:r>
        <w:t xml:space="preserve"> </w:t>
      </w:r>
      <w:r>
        <w:rPr>
          <w:rStyle w:val="VerbatimChar"/>
        </w:rPr>
        <w:t xml:space="preserve">All</w:t>
      </w:r>
      <w:r>
        <w:t xml:space="preserve">).</w:t>
      </w:r>
    </w:p>
    <w:bookmarkEnd w:id="25"/>
    <w:bookmarkStart w:id="26" w:name="collapsible-sidebars-canvas-workspace"/>
    <w:p>
      <w:pPr>
        <w:pStyle w:val="Heading3"/>
      </w:pPr>
      <w:r>
        <w:t xml:space="preserve">3. Collapsible Sidebars &amp; Canvas Workspace</w:t>
      </w:r>
    </w:p>
    <w:p>
      <w:pPr>
        <w:pStyle w:val="FirstParagraph"/>
      </w:pPr>
      <w:r>
        <w:t xml:space="preserve">To provide a clean, unobstructed view of complex DAG networks:</w:t>
      </w:r>
      <w:r>
        <w:t xml:space="preserve"> </w:t>
      </w:r>
      <w:r>
        <w:t xml:space="preserve">-</w:t>
      </w:r>
      <w:r>
        <w:t xml:space="preserve"> </w:t>
      </w:r>
      <w:r>
        <w:rPr>
          <w:bCs/>
          <w:b/>
        </w:rPr>
        <w:t xml:space="preserve">Collapsible Clusters Explorer (Left)</w:t>
      </w:r>
      <w:r>
        <w:t xml:space="preserve">: Click the</w:t>
      </w:r>
      <w:r>
        <w:t xml:space="preserve"> </w:t>
      </w:r>
      <w:r>
        <w:rPr>
          <w:rStyle w:val="VerbatimChar"/>
          <w:bCs/>
          <w:b/>
        </w:rPr>
        <w:t xml:space="preserve">&lt;</w:t>
      </w:r>
      <w:r>
        <w:t xml:space="preserve"> </w:t>
      </w:r>
      <w:r>
        <w:t xml:space="preserve">icon in the sidebar header, the</w:t>
      </w:r>
      <w:r>
        <w:t xml:space="preserve"> </w:t>
      </w:r>
      <w:r>
        <w:rPr>
          <w:rStyle w:val="VerbatimChar"/>
          <w:bCs/>
          <w:b/>
        </w:rPr>
        <w:t xml:space="preserve">Clusters</w:t>
      </w:r>
      <w:r>
        <w:t xml:space="preserve"> </w:t>
      </w:r>
      <w:r>
        <w:t xml:space="preserve">button in the top navigation, or press</w:t>
      </w:r>
      <w:r>
        <w:t xml:space="preserve"> </w:t>
      </w:r>
      <w:r>
        <w:rPr>
          <w:rStyle w:val="VerbatimChar"/>
          <w:bCs/>
          <w:b/>
        </w:rPr>
        <w:t xml:space="preserve">[</w:t>
      </w:r>
      <w:r>
        <w:t xml:space="preserve"> </w:t>
      </w:r>
      <w:r>
        <w:t xml:space="preserve">on your keyboard. When collapsed, a floating</w:t>
      </w:r>
      <w:r>
        <w:t xml:space="preserve"> </w:t>
      </w:r>
      <w:r>
        <w:rPr>
          <w:rStyle w:val="VerbatimChar"/>
          <w:bCs/>
          <w:b/>
        </w:rPr>
        <w:t xml:space="preserve">Clusters</w:t>
      </w:r>
      <w:r>
        <w:t xml:space="preserve"> </w:t>
      </w:r>
      <w:r>
        <w:t xml:space="preserve">tab on the left lets you re-open it instantly.</w:t>
      </w:r>
      <w:r>
        <w:t xml:space="preserve"> </w:t>
      </w:r>
      <w:r>
        <w:t xml:space="preserve">-</w:t>
      </w:r>
      <w:r>
        <w:t xml:space="preserve"> </w:t>
      </w:r>
      <w:r>
        <w:rPr>
          <w:bCs/>
          <w:b/>
        </w:rPr>
        <w:t xml:space="preserve">Collapsible Element Inspector (Right)</w:t>
      </w:r>
      <w:r>
        <w:t xml:space="preserve">: Click the</w:t>
      </w:r>
      <w:r>
        <w:t xml:space="preserve"> </w:t>
      </w:r>
      <w:r>
        <w:rPr>
          <w:rStyle w:val="VerbatimChar"/>
          <w:bCs/>
          <w:b/>
        </w:rPr>
        <w:t xml:space="preserve">&gt;</w:t>
      </w:r>
      <w:r>
        <w:t xml:space="preserve"> </w:t>
      </w:r>
      <w:r>
        <w:t xml:space="preserve">icon in the inspector header, the</w:t>
      </w:r>
      <w:r>
        <w:t xml:space="preserve"> </w:t>
      </w:r>
      <w:r>
        <w:rPr>
          <w:rStyle w:val="VerbatimChar"/>
          <w:bCs/>
          <w:b/>
        </w:rPr>
        <w:t xml:space="preserve">Inspector</w:t>
      </w:r>
      <w:r>
        <w:t xml:space="preserve"> </w:t>
      </w:r>
      <w:r>
        <w:t xml:space="preserve">button in the top navigation, or press</w:t>
      </w:r>
      <w:r>
        <w:t xml:space="preserve"> </w:t>
      </w:r>
      <w:r>
        <w:rPr>
          <w:rStyle w:val="VerbatimChar"/>
          <w:bCs/>
          <w:b/>
        </w:rPr>
        <w:t xml:space="preserve">]</w:t>
      </w:r>
      <w:r>
        <w:t xml:space="preserve"> </w:t>
      </w:r>
      <w:r>
        <w:t xml:space="preserve">on your keyboard. When collapsed, a floating</w:t>
      </w:r>
      <w:r>
        <w:t xml:space="preserve"> </w:t>
      </w:r>
      <w:r>
        <w:rPr>
          <w:rStyle w:val="VerbatimChar"/>
          <w:bCs/>
          <w:b/>
        </w:rPr>
        <w:t xml:space="preserve">Inspector</w:t>
      </w:r>
      <w:r>
        <w:t xml:space="preserve"> </w:t>
      </w:r>
      <w:r>
        <w:t xml:space="preserve">tab on the right allows quick restoration.</w:t>
      </w:r>
      <w:r>
        <w:t xml:space="preserve"> </w:t>
      </w:r>
      <w:r>
        <w:t xml:space="preserve">-</w:t>
      </w:r>
      <w:r>
        <w:t xml:space="preserve"> </w:t>
      </w:r>
      <w:r>
        <w:rPr>
          <w:bCs/>
          <w:b/>
        </w:rPr>
        <w:t xml:space="preserve">Auto-Expand on Selection</w:t>
      </w:r>
      <w:r>
        <w:t xml:space="preserve">: Clicking any node or causal edge automatically expands the inspector if it was collapsed.</w:t>
      </w:r>
      <w:r>
        <w:t xml:space="preserve"> </w:t>
      </w:r>
      <w:r>
        <w:t xml:space="preserve">-</w:t>
      </w:r>
      <w:r>
        <w:t xml:space="preserve"> </w:t>
      </w:r>
      <w:r>
        <w:rPr>
          <w:bCs/>
          <w:b/>
        </w:rPr>
        <w:t xml:space="preserve">Minimizable Cluster Banner</w:t>
      </w:r>
      <w:r>
        <w:t xml:space="preserve">: Click the</w:t>
      </w:r>
      <w:r>
        <w:t xml:space="preserve"> </w:t>
      </w:r>
      <w:r>
        <w:rPr>
          <w:rStyle w:val="VerbatimChar"/>
          <w:bCs/>
          <w:b/>
        </w:rPr>
        <w:t xml:space="preserve">−</w:t>
      </w:r>
      <w:r>
        <w:t xml:space="preserve"> </w:t>
      </w:r>
      <w:r>
        <w:t xml:space="preserve">button on the floating cluster summary banner to minimize it into a compact pill.</w:t>
      </w:r>
      <w:r>
        <w:t xml:space="preserve"> </w:t>
      </w:r>
      <w:r>
        <w:t xml:space="preserve">-</w:t>
      </w:r>
      <w:r>
        <w:t xml:space="preserve"> </w:t>
      </w:r>
      <w:r>
        <w:rPr>
          <w:bCs/>
          <w:b/>
        </w:rPr>
        <w:t xml:space="preserve">Zen View (Maximize Canvas)</w:t>
      </w:r>
      <w:r>
        <w:t xml:space="preserve">: Click</w:t>
      </w:r>
      <w:r>
        <w:t xml:space="preserve"> </w:t>
      </w:r>
      <w:r>
        <w:rPr>
          <w:rStyle w:val="VerbatimChar"/>
          <w:bCs/>
          <w:b/>
        </w:rPr>
        <w:t xml:space="preserve">Zen View</w:t>
      </w:r>
      <w:r>
        <w:t xml:space="preserve"> </w:t>
      </w:r>
      <w:r>
        <w:t xml:space="preserve">in the header or press</w:t>
      </w:r>
      <w:r>
        <w:t xml:space="preserve"> </w:t>
      </w:r>
      <w:r>
        <w:rPr>
          <w:rStyle w:val="VerbatimChar"/>
          <w:bCs/>
          <w:b/>
        </w:rPr>
        <w:t xml:space="preserve">z</w:t>
      </w:r>
      <w:r>
        <w:t xml:space="preserve"> </w:t>
      </w:r>
      <w:r>
        <w:t xml:space="preserve">on your keyboard to instantly collapse both sidebars for full-screen graph analysis and presentation.</w:t>
      </w:r>
      <w:r>
        <w:t xml:space="preserve"> </w:t>
      </w:r>
      <w:r>
        <w:t xml:space="preserve">-</w:t>
      </w:r>
      <w:r>
        <w:t xml:space="preserve"> </w:t>
      </w:r>
      <w:r>
        <w:rPr>
          <w:bCs/>
          <w:b/>
        </w:rPr>
        <w:t xml:space="preserve">Keyboard Shortcuts</w:t>
      </w:r>
      <w:r>
        <w:t xml:space="preserve">:</w:t>
      </w:r>
      <w:r>
        <w:t xml:space="preserve"> </w:t>
      </w:r>
      <w:r>
        <w:t xml:space="preserve">-</w:t>
      </w:r>
      <w:r>
        <w:t xml:space="preserve"> </w:t>
      </w:r>
      <w:r>
        <w:rPr>
          <w:rStyle w:val="VerbatimChar"/>
          <w:bCs/>
          <w:b/>
        </w:rPr>
        <w:t xml:space="preserve">[</w:t>
      </w:r>
      <w:r>
        <w:t xml:space="preserve"> </w:t>
      </w:r>
      <w:r>
        <w:t xml:space="preserve">: Toggle Left Clusters Explorer</w:t>
      </w:r>
      <w:r>
        <w:t xml:space="preserve"> </w:t>
      </w:r>
      <w:r>
        <w:t xml:space="preserve">-</w:t>
      </w:r>
      <w:r>
        <w:t xml:space="preserve"> </w:t>
      </w:r>
      <w:r>
        <w:rPr>
          <w:rStyle w:val="VerbatimChar"/>
          <w:bCs/>
          <w:b/>
        </w:rPr>
        <w:t xml:space="preserve">]</w:t>
      </w:r>
      <w:r>
        <w:t xml:space="preserve"> </w:t>
      </w:r>
      <w:r>
        <w:t xml:space="preserve">: Toggle Right Element Inspector</w:t>
      </w:r>
      <w:r>
        <w:t xml:space="preserve"> </w:t>
      </w:r>
      <w:r>
        <w:t xml:space="preserve">-</w:t>
      </w:r>
      <w:r>
        <w:t xml:space="preserve"> </w:t>
      </w:r>
      <w:r>
        <w:rPr>
          <w:rStyle w:val="VerbatimChar"/>
          <w:bCs/>
          <w:b/>
        </w:rPr>
        <w:t xml:space="preserve">z</w:t>
      </w:r>
      <w:r>
        <w:t xml:space="preserve"> </w:t>
      </w:r>
      <w:r>
        <w:t xml:space="preserve">: Toggle Zen View (Full Canvas)</w:t>
      </w:r>
      <w:r>
        <w:t xml:space="preserve"> </w:t>
      </w:r>
      <w:r>
        <w:t xml:space="preserve">-</w:t>
      </w:r>
      <w:r>
        <w:t xml:space="preserve"> </w:t>
      </w:r>
      <w:r>
        <w:rPr>
          <w:rStyle w:val="VerbatimChar"/>
          <w:bCs/>
          <w:b/>
        </w:rPr>
        <w:t xml:space="preserve">f</w:t>
      </w:r>
      <w:r>
        <w:t xml:space="preserve"> </w:t>
      </w:r>
      <w:r>
        <w:t xml:space="preserve">: Fit Graph to Screen</w:t>
      </w:r>
      <w:r>
        <w:t xml:space="preserve"> </w:t>
      </w:r>
      <w:r>
        <w:t xml:space="preserve">-</w:t>
      </w:r>
      <w:r>
        <w:t xml:space="preserve"> </w:t>
      </w:r>
      <w:r>
        <w:rPr>
          <w:rStyle w:val="VerbatimChar"/>
          <w:bCs/>
          <w:b/>
        </w:rPr>
        <w:t xml:space="preserve">Esc</w:t>
      </w:r>
      <w:r>
        <w:t xml:space="preserve"> </w:t>
      </w:r>
      <w:r>
        <w:t xml:space="preserve">: Clear selection and reset view</w:t>
      </w:r>
    </w:p>
    <w:bookmarkEnd w:id="26"/>
    <w:bookmarkStart w:id="27" w:name="interactive-dag-canvas"/>
    <w:p>
      <w:pPr>
        <w:pStyle w:val="Heading3"/>
      </w:pPr>
      <w:r>
        <w:t xml:space="preserve">4. Interactive DAG Canvas</w:t>
      </w:r>
    </w:p>
    <w:p>
      <w:pPr>
        <w:numPr>
          <w:ilvl w:val="0"/>
          <w:numId w:val="1002"/>
        </w:numPr>
        <w:pStyle w:val="Compact"/>
      </w:pPr>
      <w:r>
        <w:rPr>
          <w:bCs/>
          <w:b/>
        </w:rPr>
        <w:t xml:space="preserve">Zoom &amp; Pan</w:t>
      </w:r>
      <w:r>
        <w:t xml:space="preserve">: Use the mouse scroll wheel or trackpad pinch to zoom. Click and drag empty space to pan.</w:t>
      </w:r>
    </w:p>
    <w:p>
      <w:pPr>
        <w:numPr>
          <w:ilvl w:val="0"/>
          <w:numId w:val="1002"/>
        </w:numPr>
        <w:pStyle w:val="Compact"/>
      </w:pPr>
      <w:r>
        <w:rPr>
          <w:bCs/>
          <w:b/>
        </w:rPr>
        <w:t xml:space="preserve">Fit View</w:t>
      </w:r>
      <w:r>
        <w:t xml:space="preserve">: Click the</w:t>
      </w:r>
      <w:r>
        <w:t xml:space="preserve"> </w:t>
      </w:r>
      <w:r>
        <w:rPr>
          <w:bCs/>
          <w:b/>
        </w:rPr>
        <w:t xml:space="preserve">Fit to Screen</w:t>
      </w:r>
      <w:r>
        <w:t xml:space="preserve"> </w:t>
      </w:r>
      <w:r>
        <w:t xml:space="preserve">icon in the floating toolbar to re-center the graph.</w:t>
      </w:r>
    </w:p>
    <w:p>
      <w:pPr>
        <w:numPr>
          <w:ilvl w:val="0"/>
          <w:numId w:val="1002"/>
        </w:numPr>
        <w:pStyle w:val="Compact"/>
      </w:pPr>
      <w:r>
        <w:rPr>
          <w:bCs/>
          <w:b/>
        </w:rPr>
        <w:t xml:space="preserve">Layout Modes</w:t>
      </w:r>
      <w:r>
        <w:t xml:space="preserve">:</w:t>
      </w:r>
    </w:p>
    <w:p>
      <w:pPr>
        <w:numPr>
          <w:ilvl w:val="1"/>
          <w:numId w:val="1003"/>
        </w:numPr>
        <w:pStyle w:val="Compact"/>
      </w:pPr>
      <w:r>
        <w:rPr>
          <w:bCs/>
          <w:b/>
        </w:rPr>
        <w:t xml:space="preserve">Hierarchical Left-to-Right (LR)</w:t>
      </w:r>
      <w:r>
        <w:t xml:space="preserve"> </w:t>
      </w:r>
      <w:r>
        <w:rPr>
          <w:iCs/>
          <w:i/>
        </w:rPr>
        <w:t xml:space="preserve">(Default)</w:t>
      </w:r>
      <w:r>
        <w:t xml:space="preserve">: Aligns upstream injury triggers on the left progressing to downstream pathological outcomes on the right.</w:t>
      </w:r>
    </w:p>
    <w:p>
      <w:pPr>
        <w:numPr>
          <w:ilvl w:val="1"/>
          <w:numId w:val="1003"/>
        </w:numPr>
        <w:pStyle w:val="Compact"/>
      </w:pPr>
      <w:r>
        <w:rPr>
          <w:bCs/>
          <w:b/>
        </w:rPr>
        <w:t xml:space="preserve">Hierarchical Top-to-Bottom (UD)</w:t>
      </w:r>
      <w:r>
        <w:t xml:space="preserve">: Vertical cascade representation.</w:t>
      </w:r>
    </w:p>
    <w:p>
      <w:pPr>
        <w:numPr>
          <w:ilvl w:val="1"/>
          <w:numId w:val="1003"/>
        </w:numPr>
        <w:pStyle w:val="Compact"/>
      </w:pPr>
      <w:r>
        <w:rPr>
          <w:bCs/>
          <w:b/>
        </w:rPr>
        <w:t xml:space="preserve">Free Physics (Force-Directed)</w:t>
      </w:r>
      <w:r>
        <w:t xml:space="preserve">: Organic spring-embedded layout with draggable nodes.</w:t>
      </w:r>
    </w:p>
    <w:p>
      <w:pPr>
        <w:numPr>
          <w:ilvl w:val="0"/>
          <w:numId w:val="1002"/>
        </w:numPr>
        <w:pStyle w:val="Compact"/>
      </w:pPr>
      <w:r>
        <w:rPr>
          <w:bCs/>
          <w:b/>
        </w:rPr>
        <w:t xml:space="preserve">Biological Location Color Coding</w:t>
      </w:r>
      <w:r>
        <w:t xml:space="preserve">: Nodes are automatically colored based on cellular and anatomical compartments (Brain Tissue, Blood, CSF, Synapse, Mitochondria, Astrocyte, Microglia, etc.). Click the</w:t>
      </w:r>
      <w:r>
        <w:t xml:space="preserve"> </w:t>
      </w:r>
      <w:r>
        <w:rPr>
          <w:bCs/>
          <w:b/>
        </w:rPr>
        <w:t xml:space="preserve">Info</w:t>
      </w:r>
      <w:r>
        <w:t xml:space="preserve"> </w:t>
      </w:r>
      <w:r>
        <w:t xml:space="preserve">button on the toolbar to toggle the color legend.</w:t>
      </w:r>
    </w:p>
    <w:bookmarkEnd w:id="27"/>
    <w:bookmarkStart w:id="28" w:name="element-inspection-evidence-traceability"/>
    <w:p>
      <w:pPr>
        <w:pStyle w:val="Heading3"/>
      </w:pPr>
      <w:r>
        <w:t xml:space="preserve">5. Element Inspection &amp; Evidence Traceability</w:t>
      </w:r>
    </w:p>
    <w:p>
      <w:pPr>
        <w:pStyle w:val="FirstParagraph"/>
      </w:pPr>
      <w:r>
        <w:t xml:space="preserve">Click on any element in the graph to inspect its details in the right sidebar:</w:t>
      </w:r>
      <w:r>
        <w:t xml:space="preserve"> </w:t>
      </w:r>
      <w:r>
        <w:t xml:space="preserve">-</w:t>
      </w:r>
      <w:r>
        <w:t xml:space="preserve"> </w:t>
      </w:r>
      <w:r>
        <w:rPr>
          <w:bCs/>
          <w:b/>
        </w:rPr>
        <w:t xml:space="preserve">Clicking a Node</w:t>
      </w:r>
      <w:r>
        <w:t xml:space="preserve">:</w:t>
      </w:r>
      <w:r>
        <w:t xml:space="preserve"> </w:t>
      </w:r>
      <w:r>
        <w:t xml:space="preserve">- Displays the canonical label and ID.</w:t>
      </w:r>
      <w:r>
        <w:t xml:space="preserve"> </w:t>
      </w:r>
      <w:r>
        <w:t xml:space="preserve">- Biological entity classification (Disease, Biomarker, Protein, Process, etc.).</w:t>
      </w:r>
      <w:r>
        <w:t xml:space="preserve"> </w:t>
      </w:r>
      <w:r>
        <w:t xml:space="preserve">- Cellular/Tissue location compartment.</w:t>
      </w:r>
      <w:r>
        <w:t xml:space="preserve"> </w:t>
      </w:r>
      <w:r>
        <w:t xml:space="preserve">-</w:t>
      </w:r>
      <w:r>
        <w:t xml:space="preserve"> </w:t>
      </w:r>
      <w:r>
        <w:rPr>
          <w:bCs/>
          <w:b/>
        </w:rPr>
        <w:t xml:space="preserve">UMLS Metathesaurus CUI</w:t>
      </w:r>
      <w:r>
        <w:t xml:space="preserve"> </w:t>
      </w:r>
      <w:r>
        <w:t xml:space="preserve">with a direct link to the NCI/NIH Metathesaurus browser.</w:t>
      </w:r>
      <w:r>
        <w:t xml:space="preserve"> </w:t>
      </w:r>
      <w:r>
        <w:t xml:space="preserve">- Recorded synonyms and aliases.</w:t>
      </w:r>
      <w:r>
        <w:t xml:space="preserve"> </w:t>
      </w:r>
      <w:r>
        <w:t xml:space="preserve">-</w:t>
      </w:r>
      <w:r>
        <w:t xml:space="preserve"> </w:t>
      </w:r>
      <w:r>
        <w:rPr>
          <w:bCs/>
          <w:b/>
        </w:rPr>
        <w:t xml:space="preserve">Clicking a Causal Edge</w:t>
      </w:r>
      <w:r>
        <w:t xml:space="preserve">:</w:t>
      </w:r>
      <w:r>
        <w:t xml:space="preserve"> </w:t>
      </w:r>
      <w:r>
        <w:t xml:space="preserve">- Source and Target entities with causal arrow.</w:t>
      </w:r>
      <w:r>
        <w:t xml:space="preserve"> </w:t>
      </w:r>
      <w:r>
        <w:t xml:space="preserve">- Causal Mechanism (e.g.,</w:t>
      </w:r>
      <w:r>
        <w:t xml:space="preserve"> </w:t>
      </w:r>
      <w:r>
        <w:rPr>
          <w:rStyle w:val="VerbatimChar"/>
        </w:rPr>
        <w:t xml:space="preserve">predisposes_to</w:t>
      </w:r>
      <w:r>
        <w:t xml:space="preserve">,</w:t>
      </w:r>
      <w:r>
        <w:t xml:space="preserve"> </w:t>
      </w:r>
      <w:r>
        <w:rPr>
          <w:rStyle w:val="VerbatimChar"/>
        </w:rPr>
        <w:t xml:space="preserve">activates</w:t>
      </w:r>
      <w:r>
        <w:t xml:space="preserve">,</w:t>
      </w:r>
      <w:r>
        <w:t xml:space="preserve"> </w:t>
      </w:r>
      <w:r>
        <w:rPr>
          <w:rStyle w:val="VerbatimChar"/>
        </w:rPr>
        <w:t xml:space="preserve">disrupts</w:t>
      </w:r>
      <w:r>
        <w:t xml:space="preserve">,</w:t>
      </w:r>
      <w:r>
        <w:t xml:space="preserve"> </w:t>
      </w:r>
      <w:r>
        <w:rPr>
          <w:rStyle w:val="VerbatimChar"/>
        </w:rPr>
        <w:t xml:space="preserve">impairs</w:t>
      </w:r>
      <w:r>
        <w:t xml:space="preserve">).</w:t>
      </w:r>
      <w:r>
        <w:t xml:space="preserve"> </w:t>
      </w:r>
      <w:r>
        <w:t xml:space="preserve">- Confidence rating badge (</w:t>
      </w:r>
      <w:r>
        <w:rPr>
          <w:rStyle w:val="VerbatimChar"/>
        </w:rPr>
        <w:t xml:space="preserve">High</w:t>
      </w:r>
      <w:r>
        <w:t xml:space="preserve">,</w:t>
      </w:r>
      <w:r>
        <w:t xml:space="preserve"> </w:t>
      </w:r>
      <w:r>
        <w:rPr>
          <w:rStyle w:val="VerbatimChar"/>
        </w:rPr>
        <w:t xml:space="preserve">Medium</w:t>
      </w:r>
      <w:r>
        <w:t xml:space="preserve">,</w:t>
      </w:r>
      <w:r>
        <w:t xml:space="preserve"> </w:t>
      </w:r>
      <w:r>
        <w:rPr>
          <w:rStyle w:val="VerbatimChar"/>
        </w:rPr>
        <w:t xml:space="preserve">Low</w:t>
      </w:r>
      <w:r>
        <w:t xml:space="preserve">).</w:t>
      </w:r>
      <w:r>
        <w:t xml:space="preserve"> </w:t>
      </w:r>
      <w:r>
        <w:t xml:space="preserve">- Detailed contextual explanation and contradictory evidence annotations.</w:t>
      </w:r>
      <w:r>
        <w:t xml:space="preserve"> </w:t>
      </w:r>
      <w:r>
        <w:t xml:space="preserve">-</w:t>
      </w:r>
      <w:r>
        <w:t xml:space="preserve"> </w:t>
      </w:r>
      <w:r>
        <w:rPr>
          <w:bCs/>
          <w:b/>
        </w:rPr>
        <w:t xml:space="preserve">Traceable Evidence References</w:t>
      </w:r>
      <w:r>
        <w:t xml:space="preserve">: Full citations of the primary literature supporting that specific relationship, complete with clickable</w:t>
      </w:r>
      <w:r>
        <w:t xml:space="preserve"> </w:t>
      </w:r>
      <w:r>
        <w:rPr>
          <w:bCs/>
          <w:b/>
        </w:rPr>
        <w:t xml:space="preserve">[PubMed ↗]</w:t>
      </w:r>
      <w:r>
        <w:t xml:space="preserve"> </w:t>
      </w:r>
      <w:r>
        <w:t xml:space="preserve">and</w:t>
      </w:r>
      <w:r>
        <w:t xml:space="preserve"> </w:t>
      </w:r>
      <w:r>
        <w:rPr>
          <w:bCs/>
          <w:b/>
        </w:rPr>
        <w:t xml:space="preserve">[DOI ↗]</w:t>
      </w:r>
      <w:r>
        <w:t xml:space="preserve"> </w:t>
      </w:r>
      <w:r>
        <w:t xml:space="preserve">links.</w:t>
      </w:r>
    </w:p>
    <w:bookmarkEnd w:id="28"/>
    <w:bookmarkStart w:id="29" w:name="exporting-figures-data"/>
    <w:p>
      <w:pPr>
        <w:pStyle w:val="Heading3"/>
      </w:pPr>
      <w:r>
        <w:t xml:space="preserve">5. Exporting Figures &amp; Data</w:t>
      </w:r>
    </w:p>
    <w:p>
      <w:pPr>
        <w:numPr>
          <w:ilvl w:val="0"/>
          <w:numId w:val="1004"/>
        </w:numPr>
        <w:pStyle w:val="Compact"/>
      </w:pPr>
      <w:r>
        <w:rPr>
          <w:bCs/>
          <w:b/>
        </w:rPr>
        <w:t xml:space="preserve">Export PNG</w:t>
      </w:r>
      <w:r>
        <w:t xml:space="preserve">: Captures the current graph view as a high-resolution PNG image suitable for figures and presentations.</w:t>
      </w:r>
    </w:p>
    <w:p>
      <w:pPr>
        <w:numPr>
          <w:ilvl w:val="0"/>
          <w:numId w:val="1004"/>
        </w:numPr>
        <w:pStyle w:val="Compact"/>
      </w:pPr>
      <w:r>
        <w:rPr>
          <w:bCs/>
          <w:b/>
        </w:rPr>
        <w:t xml:space="preserve">Export JSON</w:t>
      </w:r>
      <w:r>
        <w:t xml:space="preserve">: Downloads the standardized JSON DAG specification for the currently active cluster.</w:t>
      </w:r>
    </w:p>
    <w:p>
      <w:pPr>
        <w:numPr>
          <w:ilvl w:val="0"/>
          <w:numId w:val="1004"/>
        </w:numPr>
        <w:pStyle w:val="Compact"/>
      </w:pPr>
      <w:r>
        <w:rPr>
          <w:bCs/>
          <w:b/>
        </w:rPr>
        <w:t xml:space="preserve">Load Custom JSON</w:t>
      </w:r>
      <w:r>
        <w:t xml:space="preserve">: Click</w:t>
      </w:r>
      <w:r>
        <w:t xml:space="preserve"> </w:t>
      </w:r>
      <w:r>
        <w:rPr>
          <w:bCs/>
          <w:b/>
        </w:rPr>
        <w:t xml:space="preserve">Load Custom JSON DAG File…</w:t>
      </w:r>
      <w:r>
        <w:t xml:space="preserve"> </w:t>
      </w:r>
      <w:r>
        <w:t xml:space="preserve">at the bottom of the left sidebar to drag and drop or browse any custom DAG JSON file.</w:t>
      </w:r>
    </w:p>
    <w:p>
      <w:r>
        <w:pict>
          <v:rect style="width:0;height:1.5pt" o:hralign="center" o:hrstd="t" o:hr="t"/>
        </w:pict>
      </w:r>
    </w:p>
    <w:bookmarkEnd w:id="29"/>
    <w:bookmarkEnd w:id="30"/>
    <w:bookmarkStart w:id="32" w:name="technical-architecture-file-structure"/>
    <w:p>
      <w:pPr>
        <w:pStyle w:val="Heading2"/>
      </w:pPr>
      <w:r>
        <w:t xml:space="preserve">Technical Architecture &amp; File Structure</w:t>
      </w:r>
    </w:p>
    <w:p>
      <w:pPr>
        <w:pStyle w:val="SourceCode"/>
      </w:pPr>
      <w:r>
        <w:rPr>
          <w:rStyle w:val="VerbatimChar"/>
        </w:rPr>
        <w:t xml:space="preserve">DAG visualizer/</w:t>
      </w:r>
      <w:r>
        <w:br/>
      </w:r>
      <w:r>
        <w:rPr>
          <w:rStyle w:val="VerbatimChar"/>
        </w:rPr>
        <w:t xml:space="preserve">├── index.html              # Core standalone single-page application</w:t>
      </w:r>
      <w:r>
        <w:br/>
      </w:r>
      <w:r>
        <w:rPr>
          <w:rStyle w:val="VerbatimChar"/>
        </w:rPr>
        <w:t xml:space="preserve">├── dag_data.js             # Pre-bundled database containing all 128 DAGs, descriptions &amp; references</w:t>
      </w:r>
      <w:r>
        <w:br/>
      </w:r>
      <w:r>
        <w:rPr>
          <w:rStyle w:val="VerbatimChar"/>
        </w:rPr>
        <w:t xml:space="preserve">├── vis-network.min.js      # Offline Vis.js graph visualization engine</w:t>
      </w:r>
      <w:r>
        <w:br/>
      </w:r>
      <w:r>
        <w:rPr>
          <w:rStyle w:val="VerbatimChar"/>
        </w:rPr>
        <w:t xml:space="preserve">├── README.md               # Visualizer documentation and guide</w:t>
      </w:r>
      <w:r>
        <w:br/>
      </w:r>
      <w:r>
        <w:rPr>
          <w:rStyle w:val="VerbatimChar"/>
        </w:rPr>
        <w:t xml:space="preserve">└── Light Weight Visualizer.docx # Word-format documentation for journal supplementary submission</w:t>
      </w:r>
    </w:p>
    <w:bookmarkStart w:id="31" w:name="json-dag-schema-specification"/>
    <w:p>
      <w:pPr>
        <w:pStyle w:val="Heading3"/>
      </w:pPr>
      <w:r>
        <w:t xml:space="preserve">JSON DAG Schema Specification</w:t>
      </w:r>
    </w:p>
    <w:p>
      <w:pPr>
        <w:pStyle w:val="FirstParagraph"/>
      </w:pPr>
      <w:r>
        <w:t xml:space="preserve">Each DAG file complies with the project’s standardized schema:</w:t>
      </w:r>
    </w:p>
    <w:p>
      <w:pPr>
        <w:pStyle w:val="SourceCode"/>
      </w:pP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"3.0"</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"Unified_Strict"</w:t>
      </w:r>
      <w:r>
        <w:rPr>
          <w:rStyle w:val="FunctionTok"/>
        </w:rPr>
        <w:t xml:space="preserve">,</w:t>
      </w:r>
      <w:r>
        <w:br/>
      </w:r>
      <w:r>
        <w:rPr>
          <w:rStyle w:val="NormalTok"/>
        </w:rPr>
        <w:t xml:space="preserve">    </w:t>
      </w:r>
      <w:r>
        <w:rPr>
          <w:rStyle w:val="DataTypeTok"/>
        </w:rPr>
        <w:t xml:space="preserve">"node_count"</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"edge_count"</w:t>
      </w:r>
      <w:r>
        <w:rPr>
          <w:rStyle w:val="FunctionTok"/>
        </w:rPr>
        <w:t xml:space="preserve">:</w:t>
      </w:r>
      <w:r>
        <w:rPr>
          <w:rStyle w:val="NormalTok"/>
        </w:rPr>
        <w:t xml:space="preserve"> </w:t>
      </w:r>
      <w:r>
        <w:rPr>
          <w:rStyle w:val="DecValTok"/>
        </w:rPr>
        <w:t xml:space="preserve">6</w:t>
      </w:r>
      <w:r>
        <w:br/>
      </w:r>
      <w:r>
        <w:rPr>
          <w:rStyle w:val="NormalTok"/>
        </w:rPr>
        <w:t xml:space="preserve">  </w:t>
      </w:r>
      <w:r>
        <w:rPr>
          <w:rStyle w:val="FunctionTok"/>
        </w:rPr>
        <w:t xml:space="preserve">},</w:t>
      </w:r>
      <w:r>
        <w:br/>
      </w:r>
      <w:r>
        <w:rPr>
          <w:rStyle w:val="NormalTok"/>
        </w:rPr>
        <w:t xml:space="preserve">  </w:t>
      </w:r>
      <w:r>
        <w:rPr>
          <w:rStyle w:val="DataTypeTok"/>
        </w:rPr>
        <w:t xml:space="preserve">"nodes"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"TraumaticBrainInjury"</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"Traumatic Brain Injury"</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"Disease"</w:t>
      </w:r>
      <w:r>
        <w:rPr>
          <w:rStyle w:val="FunctionTok"/>
        </w:rPr>
        <w:t xml:space="preserve">,</w:t>
      </w:r>
      <w:r>
        <w:br/>
      </w:r>
      <w:r>
        <w:rPr>
          <w:rStyle w:val="NormalTok"/>
        </w:rPr>
        <w:t xml:space="preserve">      </w:t>
      </w:r>
      <w:r>
        <w:rPr>
          <w:rStyle w:val="DataTypeTok"/>
        </w:rPr>
        <w:t xml:space="preserve">"location"</w:t>
      </w:r>
      <w:r>
        <w:rPr>
          <w:rStyle w:val="FunctionTok"/>
        </w:rPr>
        <w:t xml:space="preserve">:</w:t>
      </w:r>
      <w:r>
        <w:rPr>
          <w:rStyle w:val="NormalTok"/>
        </w:rPr>
        <w:t xml:space="preserve"> </w:t>
      </w:r>
      <w:r>
        <w:rPr>
          <w:rStyle w:val="StringTok"/>
        </w:rPr>
        <w:t xml:space="preserve">"Brain_Tissue"</w:t>
      </w:r>
      <w:r>
        <w:rPr>
          <w:rStyle w:val="FunctionTok"/>
        </w:rPr>
        <w:t xml:space="preserve">,</w:t>
      </w:r>
      <w:r>
        <w:br/>
      </w:r>
      <w:r>
        <w:rPr>
          <w:rStyle w:val="NormalTok"/>
        </w:rPr>
        <w:t xml:space="preserve">      </w:t>
      </w:r>
      <w:r>
        <w:rPr>
          <w:rStyle w:val="DataTypeTok"/>
        </w:rPr>
        <w:t xml:space="preserve">"identifiers"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"UMLS_CUI"</w:t>
      </w:r>
      <w:r>
        <w:rPr>
          <w:rStyle w:val="FunctionTok"/>
        </w:rPr>
        <w:t xml:space="preserve">:</w:t>
      </w:r>
      <w:r>
        <w:rPr>
          <w:rStyle w:val="NormalTok"/>
        </w:rPr>
        <w:t xml:space="preserve"> </w:t>
      </w:r>
      <w:r>
        <w:rPr>
          <w:rStyle w:val="StringTok"/>
        </w:rPr>
        <w:t xml:space="preserve">"C0006111"</w:t>
      </w:r>
      <w:r>
        <w:rPr>
          <w:rStyle w:val="NormalTok"/>
        </w:rPr>
        <w:t xml:space="preserve"> </w:t>
      </w:r>
      <w:r>
        <w:rPr>
          <w:rStyle w:val="FunctionTok"/>
        </w:rPr>
        <w:t xml:space="preserve">},</w:t>
      </w:r>
      <w:r>
        <w:br/>
      </w:r>
      <w:r>
        <w:rPr>
          <w:rStyle w:val="NormalTok"/>
        </w:rPr>
        <w:t xml:space="preserve">      </w:t>
      </w:r>
      <w:r>
        <w:rPr>
          <w:rStyle w:val="DataTypeTok"/>
        </w:rPr>
        <w:t xml:space="preserve">"synonyms"</w:t>
      </w:r>
      <w:r>
        <w:rPr>
          <w:rStyle w:val="FunctionTok"/>
        </w:rPr>
        <w:t xml:space="preserve">:</w:t>
      </w:r>
      <w:r>
        <w:rPr>
          <w:rStyle w:val="NormalTok"/>
        </w:rPr>
        <w:t xml:space="preserve"> </w:t>
      </w:r>
      <w:r>
        <w:rPr>
          <w:rStyle w:val="OtherTok"/>
        </w:rPr>
        <w:t xml:space="preserve">[</w:t>
      </w:r>
      <w:r>
        <w:rPr>
          <w:rStyle w:val="StringTok"/>
        </w:rPr>
        <w:t xml:space="preserve">"TBI"</w:t>
      </w:r>
      <w:r>
        <w:rPr>
          <w:rStyle w:val="OtherTok"/>
        </w:rPr>
        <w:t xml:space="preserve">,</w:t>
      </w:r>
      <w:r>
        <w:rPr>
          <w:rStyle w:val="NormalTok"/>
        </w:rPr>
        <w:t xml:space="preserve"> </w:t>
      </w:r>
      <w:r>
        <w:rPr>
          <w:rStyle w:val="StringTok"/>
        </w:rPr>
        <w:t xml:space="preserve">"Head Injury"</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"edges"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"TraumaticBrainInjury"</w:t>
      </w:r>
      <w:r>
        <w:rPr>
          <w:rStyle w:val="FunctionTok"/>
        </w:rPr>
        <w:t xml:space="preserve">,</w:t>
      </w:r>
      <w:r>
        <w:br/>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"Dementia"</w:t>
      </w:r>
      <w:r>
        <w:rPr>
          <w:rStyle w:val="FunctionTok"/>
        </w:rPr>
        <w:t xml:space="preserve">,</w:t>
      </w:r>
      <w:r>
        <w:br/>
      </w:r>
      <w:r>
        <w:rPr>
          <w:rStyle w:val="NormalTok"/>
        </w:rPr>
        <w:t xml:space="preserve">      </w:t>
      </w:r>
      <w:r>
        <w:rPr>
          <w:rStyle w:val="DataTypeTok"/>
        </w:rPr>
        <w:t xml:space="preserve">"mechanism"</w:t>
      </w:r>
      <w:r>
        <w:rPr>
          <w:rStyle w:val="FunctionTok"/>
        </w:rPr>
        <w:t xml:space="preserve">:</w:t>
      </w:r>
      <w:r>
        <w:rPr>
          <w:rStyle w:val="NormalTok"/>
        </w:rPr>
        <w:t xml:space="preserve"> </w:t>
      </w:r>
      <w:r>
        <w:rPr>
          <w:rStyle w:val="StringTok"/>
        </w:rPr>
        <w:t xml:space="preserve">"predisposes_to"</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"evidence_ref"</w:t>
      </w:r>
      <w:r>
        <w:rPr>
          <w:rStyle w:val="FunctionTok"/>
        </w:rPr>
        <w:t xml:space="preserve">:</w:t>
      </w:r>
      <w:r>
        <w:rPr>
          <w:rStyle w:val="NormalTok"/>
        </w:rPr>
        <w:t xml:space="preserve"> </w:t>
      </w:r>
      <w:r>
        <w:rPr>
          <w:rStyle w:val="OtherTok"/>
        </w:rPr>
        <w:t xml:space="preserve">[</w:t>
      </w:r>
      <w:r>
        <w:rPr>
          <w:rStyle w:val="DecValTok"/>
        </w:rPr>
        <w:t xml:space="preserve">18</w:t>
      </w:r>
      <w:r>
        <w:rPr>
          <w:rStyle w:val="OtherTok"/>
        </w:rPr>
        <w:t xml:space="preserve">,</w:t>
      </w:r>
      <w:r>
        <w:rPr>
          <w:rStyle w:val="NormalTok"/>
        </w:rPr>
        <w:t xml:space="preserve"> </w:t>
      </w:r>
      <w:r>
        <w:rPr>
          <w:rStyle w:val="DecValTok"/>
        </w:rPr>
        <w:t xml:space="preserve">61</w:t>
      </w:r>
      <w:r>
        <w:rPr>
          <w:rStyle w:val="OtherTok"/>
        </w:rPr>
        <w:t xml:space="preserve">]</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StringTok"/>
        </w:rPr>
        <w:t xml:space="preserve">"Contextual description of causal mechanism..."</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r>
        <w:pict>
          <v:rect style="width:0;height:1.5pt" o:hralign="center" o:hrstd="t" o:hr="t"/>
        </w:pict>
      </w:r>
    </w:p>
    <w:bookmarkEnd w:id="31"/>
    <w:bookmarkEnd w:id="32"/>
    <w:bookmarkStart w:id="33" w:name="browser-compatibility"/>
    <w:p>
      <w:pPr>
        <w:pStyle w:val="Heading2"/>
      </w:pPr>
      <w:r>
        <w:t xml:space="preserve">Browser Compatibility</w:t>
      </w:r>
    </w:p>
    <w:p>
      <w:pPr>
        <w:pStyle w:val="FirstParagraph"/>
      </w:pPr>
      <w:r>
        <w:t xml:space="preserve">Tested and compatible with:</w:t>
      </w:r>
      <w:r>
        <w:t xml:space="preserve"> </w:t>
      </w:r>
      <w:r>
        <w:t xml:space="preserve">- Google Chrome 90+</w:t>
      </w:r>
      <w:r>
        <w:t xml:space="preserve"> </w:t>
      </w:r>
      <w:r>
        <w:t xml:space="preserve">- Apple Safari 14+</w:t>
      </w:r>
      <w:r>
        <w:t xml:space="preserve"> </w:t>
      </w:r>
      <w:r>
        <w:t xml:space="preserve">- Mozilla Firefox 88+</w:t>
      </w:r>
      <w:r>
        <w:t xml:space="preserve"> </w:t>
      </w:r>
      <w:r>
        <w:t xml:space="preserve">- Microsoft Edge 90+</w:t>
      </w:r>
    </w:p>
    <w:p>
      <w:pPr>
        <w:pStyle w:val="BodyText"/>
      </w:pPr>
      <w:r>
        <w:t xml:space="preserve">No plugins, extensions, or internet connection required for core offline usage.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2026-10-20T16:41:52Z</dcterms:created>
  <dcterms:modified xsi:type="dcterms:W3CDTF">2026-10-20T16:41:52Z</dcterms:modified>
</cp:coreProperties>
</file>

<file path=docProps/custom.xml><?xml version="1.0" encoding="utf-8"?>
<Properties xmlns="http://schemas.openxmlformats.org/officeDocument/2006/custom-properties" xmlns:vt="http://schemas.openxmlformats.org/officeDocument/2006/docPropsVTypes"/>
</file>