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8"/>
          <w:szCs w:val="28"/>
        </w:rPr>
      </w:pPr>
      <w:r w:rsidDel="00000000" w:rsidR="00000000" w:rsidRPr="00000000">
        <w:rPr>
          <w:sz w:val="28"/>
          <w:szCs w:val="28"/>
          <w:rtl w:val="0"/>
        </w:rPr>
        <w:t xml:space="preserve">A Framework for Automated Pathophysiological Pathway Synthesis and Mechanistic Disease Modeling Applied to Traumatic Brain Injury Associated Neurodegeneration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Ahmed Shaheen</w:t>
      </w:r>
      <w:r w:rsidDel="00000000" w:rsidR="00000000" w:rsidRPr="00000000">
        <w:rPr>
          <w:vertAlign w:val="superscript"/>
          <w:rtl w:val="0"/>
        </w:rPr>
        <w:t xml:space="preserve">1,2</w:t>
      </w:r>
      <w:r w:rsidDel="00000000" w:rsidR="00000000" w:rsidRPr="00000000">
        <w:rPr>
          <w:rtl w:val="0"/>
        </w:rPr>
        <w:t xml:space="preserve">, Fabio Dennstädt</w:t>
      </w:r>
      <w:r w:rsidDel="00000000" w:rsidR="00000000" w:rsidRPr="00000000">
        <w:rPr>
          <w:vertAlign w:val="superscript"/>
          <w:rtl w:val="0"/>
        </w:rPr>
        <w:t xml:space="preserve">3, 4</w:t>
      </w:r>
      <w:r w:rsidDel="00000000" w:rsidR="00000000" w:rsidRPr="00000000">
        <w:rPr>
          <w:rtl w:val="0"/>
        </w:rPr>
        <w:t xml:space="preserve">, Nour Shaheen</w:t>
      </w:r>
      <w:r w:rsidDel="00000000" w:rsidR="00000000" w:rsidRPr="00000000">
        <w:rPr>
          <w:vertAlign w:val="superscript"/>
          <w:rtl w:val="0"/>
        </w:rPr>
        <w:t xml:space="preserve">1,5</w:t>
      </w:r>
      <w:r w:rsidDel="00000000" w:rsidR="00000000" w:rsidRPr="00000000">
        <w:rPr>
          <w:rtl w:val="0"/>
        </w:rPr>
        <w:t xml:space="preserve">, Irina Filchenko</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numPr>
          <w:ilvl w:val="0"/>
          <w:numId w:val="18"/>
        </w:numPr>
        <w:spacing w:line="276" w:lineRule="auto"/>
        <w:ind w:left="720" w:hanging="360"/>
        <w:rPr/>
      </w:pPr>
      <w:r w:rsidDel="00000000" w:rsidR="00000000" w:rsidRPr="00000000">
        <w:rPr>
          <w:rtl w:val="0"/>
        </w:rPr>
        <w:t xml:space="preserve">Alexandria Faculty of Medicine, Egypt </w:t>
      </w:r>
    </w:p>
    <w:p w:rsidR="00000000" w:rsidDel="00000000" w:rsidP="00000000" w:rsidRDefault="00000000" w:rsidRPr="00000000" w14:paraId="00000007">
      <w:pPr>
        <w:numPr>
          <w:ilvl w:val="0"/>
          <w:numId w:val="18"/>
        </w:numPr>
        <w:shd w:fill="ffffff" w:val="clear"/>
        <w:spacing w:line="276" w:lineRule="auto"/>
        <w:ind w:left="720" w:hanging="360"/>
      </w:pPr>
      <w:r w:rsidDel="00000000" w:rsidR="00000000" w:rsidRPr="00000000">
        <w:rPr>
          <w:color w:val="222222"/>
          <w:rtl w:val="0"/>
        </w:rPr>
        <w:t xml:space="preserve">Université de Montréal, Faculty of Medicine, CA</w:t>
      </w:r>
      <w:r w:rsidDel="00000000" w:rsidR="00000000" w:rsidRPr="00000000">
        <w:rPr>
          <w:rtl w:val="0"/>
        </w:rPr>
      </w:r>
    </w:p>
    <w:p w:rsidR="00000000" w:rsidDel="00000000" w:rsidP="00000000" w:rsidRDefault="00000000" w:rsidRPr="00000000" w14:paraId="00000008">
      <w:pPr>
        <w:numPr>
          <w:ilvl w:val="0"/>
          <w:numId w:val="18"/>
        </w:numPr>
        <w:spacing w:line="276" w:lineRule="auto"/>
        <w:ind w:left="720" w:hanging="360"/>
        <w:rPr/>
      </w:pPr>
      <w:r w:rsidDel="00000000" w:rsidR="00000000" w:rsidRPr="00000000">
        <w:rPr>
          <w:color w:val="131314"/>
          <w:rtl w:val="0"/>
        </w:rPr>
        <w:t xml:space="preserve">Department of Radiation Oncology, Inselspital, Bern University Hospital and University of Bern, Bern, Switzerland</w:t>
      </w:r>
    </w:p>
    <w:p w:rsidR="00000000" w:rsidDel="00000000" w:rsidP="00000000" w:rsidRDefault="00000000" w:rsidRPr="00000000" w14:paraId="00000009">
      <w:pPr>
        <w:numPr>
          <w:ilvl w:val="0"/>
          <w:numId w:val="18"/>
        </w:numPr>
        <w:spacing w:line="276" w:lineRule="auto"/>
        <w:ind w:left="720" w:hanging="360"/>
        <w:rPr>
          <w:color w:val="131314"/>
        </w:rPr>
      </w:pPr>
      <w:r w:rsidDel="00000000" w:rsidR="00000000" w:rsidRPr="00000000">
        <w:rPr>
          <w:color w:val="131314"/>
          <w:rtl w:val="0"/>
        </w:rPr>
        <w:t xml:space="preserve">Department of Digital Medicine, University of Bern, Bern, Switzerland</w:t>
      </w:r>
    </w:p>
    <w:p w:rsidR="00000000" w:rsidDel="00000000" w:rsidP="00000000" w:rsidRDefault="00000000" w:rsidRPr="00000000" w14:paraId="0000000A">
      <w:pPr>
        <w:numPr>
          <w:ilvl w:val="0"/>
          <w:numId w:val="18"/>
        </w:numPr>
        <w:shd w:fill="ffffff" w:val="clear"/>
        <w:spacing w:line="276" w:lineRule="auto"/>
        <w:ind w:left="720" w:hanging="360"/>
      </w:pPr>
      <w:r w:rsidDel="00000000" w:rsidR="00000000" w:rsidRPr="00000000">
        <w:rPr>
          <w:color w:val="222222"/>
          <w:rtl w:val="0"/>
        </w:rPr>
        <w:t xml:space="preserve">University of California San Francisco, USA</w:t>
      </w:r>
      <w:r w:rsidDel="00000000" w:rsidR="00000000" w:rsidRPr="00000000">
        <w:rPr>
          <w:rtl w:val="0"/>
        </w:rPr>
      </w:r>
    </w:p>
    <w:p w:rsidR="00000000" w:rsidDel="00000000" w:rsidP="00000000" w:rsidRDefault="00000000" w:rsidRPr="00000000" w14:paraId="0000000B">
      <w:pPr>
        <w:numPr>
          <w:ilvl w:val="0"/>
          <w:numId w:val="18"/>
        </w:numPr>
        <w:spacing w:line="276" w:lineRule="auto"/>
        <w:ind w:left="720" w:hanging="360"/>
        <w:rPr/>
      </w:pPr>
      <w:r w:rsidDel="00000000" w:rsidR="00000000" w:rsidRPr="00000000">
        <w:rPr>
          <w:color w:val="131314"/>
          <w:rtl w:val="0"/>
        </w:rPr>
        <w:t xml:space="preserve">Department of Neurology, Inselspital, Bern University Hospital and University of Bern, Bern, Switzerland</w:t>
      </w:r>
    </w:p>
    <w:p w:rsidR="00000000" w:rsidDel="00000000" w:rsidP="00000000" w:rsidRDefault="00000000" w:rsidRPr="00000000" w14:paraId="0000000C">
      <w:pPr>
        <w:spacing w:line="276" w:lineRule="auto"/>
        <w:ind w:left="720" w:firstLine="0"/>
        <w:rPr>
          <w:color w:val="131314"/>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Contact info:</w:t>
      </w:r>
    </w:p>
    <w:p w:rsidR="00000000" w:rsidDel="00000000" w:rsidP="00000000" w:rsidRDefault="00000000" w:rsidRPr="00000000" w14:paraId="0000000E">
      <w:pPr>
        <w:spacing w:line="276" w:lineRule="auto"/>
        <w:ind w:left="0" w:firstLine="0"/>
        <w:rPr/>
      </w:pPr>
      <w:r w:rsidDel="00000000" w:rsidR="00000000" w:rsidRPr="00000000">
        <w:rPr>
          <w:rtl w:val="0"/>
        </w:rPr>
        <w:t xml:space="preserve">Ahmed Shaheen:</w:t>
      </w:r>
      <w:r w:rsidDel="00000000" w:rsidR="00000000" w:rsidRPr="00000000">
        <w:rPr>
          <w:rtl w:val="0"/>
        </w:rPr>
      </w:r>
    </w:p>
    <w:p w:rsidR="00000000" w:rsidDel="00000000" w:rsidP="00000000" w:rsidRDefault="00000000" w:rsidRPr="00000000" w14:paraId="0000000F">
      <w:pPr>
        <w:spacing w:line="276" w:lineRule="auto"/>
        <w:ind w:left="0" w:firstLine="0"/>
        <w:rPr>
          <w:color w:val="5e5e5e"/>
          <w:highlight w:val="white"/>
        </w:rPr>
      </w:pPr>
      <w:hyperlink r:id="rId7">
        <w:r w:rsidDel="00000000" w:rsidR="00000000" w:rsidRPr="00000000">
          <w:rPr>
            <w:color w:val="1155cc"/>
            <w:u w:val="single"/>
            <w:rtl w:val="0"/>
          </w:rPr>
          <w:t xml:space="preserve">ahmed.saad1704@alexmed.edu.e</w:t>
        </w:r>
      </w:hyperlink>
      <w:r w:rsidDel="00000000" w:rsidR="00000000" w:rsidRPr="00000000">
        <w:rPr>
          <w:color w:val="5e5e5e"/>
          <w:highlight w:val="white"/>
          <w:rtl w:val="0"/>
        </w:rPr>
        <w:t xml:space="preserve">g, </w:t>
      </w:r>
      <w:r w:rsidDel="00000000" w:rsidR="00000000" w:rsidRPr="00000000">
        <w:rPr>
          <w:color w:val="222222"/>
          <w:rtl w:val="0"/>
        </w:rPr>
        <w:t xml:space="preserve">ahmed​s1999haheen@gmail.com</w:t>
      </w:r>
      <w:r w:rsidDel="00000000" w:rsidR="00000000" w:rsidRPr="00000000">
        <w:rPr>
          <w:rtl w:val="0"/>
        </w:rPr>
      </w:r>
    </w:p>
    <w:p w:rsidR="00000000" w:rsidDel="00000000" w:rsidP="00000000" w:rsidRDefault="00000000" w:rsidRPr="00000000" w14:paraId="00000010">
      <w:pPr>
        <w:spacing w:line="276" w:lineRule="auto"/>
        <w:rPr>
          <w:color w:val="5e5e5e"/>
          <w:highlight w:val="white"/>
        </w:rPr>
      </w:pPr>
      <w:r w:rsidDel="00000000" w:rsidR="00000000" w:rsidRPr="00000000">
        <w:rPr>
          <w:rtl w:val="0"/>
        </w:rPr>
        <w:t xml:space="preserve">Fabio Dennstädt: </w:t>
      </w:r>
      <w:r w:rsidDel="00000000" w:rsidR="00000000" w:rsidRPr="00000000">
        <w:rPr>
          <w:rtl w:val="0"/>
        </w:rPr>
      </w:r>
    </w:p>
    <w:p w:rsidR="00000000" w:rsidDel="00000000" w:rsidP="00000000" w:rsidRDefault="00000000" w:rsidRPr="00000000" w14:paraId="00000011">
      <w:pPr>
        <w:spacing w:line="276" w:lineRule="auto"/>
        <w:ind w:left="0" w:firstLine="0"/>
        <w:rPr>
          <w:highlight w:val="white"/>
        </w:rPr>
      </w:pPr>
      <w:hyperlink r:id="rId8">
        <w:r w:rsidDel="00000000" w:rsidR="00000000" w:rsidRPr="00000000">
          <w:rPr>
            <w:color w:val="1155cc"/>
            <w:highlight w:val="white"/>
            <w:u w:val="single"/>
            <w:rtl w:val="0"/>
          </w:rPr>
          <w:t xml:space="preserve">fabio.dennstaedt@insel.ch</w:t>
        </w:r>
      </w:hyperlink>
      <w:r w:rsidDel="00000000" w:rsidR="00000000" w:rsidRPr="00000000">
        <w:rPr>
          <w:highlight w:val="white"/>
          <w:rtl w:val="0"/>
        </w:rPr>
        <w:t xml:space="preserve"> </w:t>
      </w:r>
      <w:r w:rsidDel="00000000" w:rsidR="00000000" w:rsidRPr="00000000">
        <w:rPr>
          <w:highlight w:val="white"/>
          <w:rtl w:val="0"/>
        </w:rPr>
        <w:t xml:space="preserve"> </w:t>
      </w:r>
    </w:p>
    <w:p w:rsidR="00000000" w:rsidDel="00000000" w:rsidP="00000000" w:rsidRDefault="00000000" w:rsidRPr="00000000" w14:paraId="00000012">
      <w:pPr>
        <w:spacing w:line="276" w:lineRule="auto"/>
        <w:ind w:left="0" w:firstLine="0"/>
        <w:rPr>
          <w:highlight w:val="white"/>
        </w:rPr>
      </w:pPr>
      <w:r w:rsidDel="00000000" w:rsidR="00000000" w:rsidRPr="00000000">
        <w:rPr>
          <w:highlight w:val="white"/>
          <w:rtl w:val="0"/>
        </w:rPr>
        <w:t xml:space="preserve">Nour Shaheen:</w:t>
      </w:r>
    </w:p>
    <w:p w:rsidR="00000000" w:rsidDel="00000000" w:rsidP="00000000" w:rsidRDefault="00000000" w:rsidRPr="00000000" w14:paraId="00000013">
      <w:pPr>
        <w:spacing w:line="276" w:lineRule="auto"/>
        <w:ind w:left="0" w:firstLine="0"/>
        <w:rPr>
          <w:highlight w:val="white"/>
        </w:rPr>
      </w:pPr>
      <w:hyperlink r:id="rId9">
        <w:r w:rsidDel="00000000" w:rsidR="00000000" w:rsidRPr="00000000">
          <w:rPr>
            <w:color w:val="1155cc"/>
            <w:highlight w:val="white"/>
            <w:u w:val="single"/>
            <w:rtl w:val="0"/>
          </w:rPr>
          <w:t xml:space="preserve">Nourshaheen40@gmail.com</w:t>
        </w:r>
      </w:hyperlink>
      <w:r w:rsidDel="00000000" w:rsidR="00000000" w:rsidRPr="00000000">
        <w:rPr>
          <w:highlight w:val="white"/>
          <w:rtl w:val="0"/>
        </w:rPr>
        <w:t xml:space="preserve"> </w:t>
      </w:r>
    </w:p>
    <w:p w:rsidR="00000000" w:rsidDel="00000000" w:rsidP="00000000" w:rsidRDefault="00000000" w:rsidRPr="00000000" w14:paraId="00000014">
      <w:pPr>
        <w:spacing w:line="276" w:lineRule="auto"/>
        <w:ind w:left="0" w:firstLine="0"/>
        <w:rPr/>
      </w:pPr>
      <w:r w:rsidDel="00000000" w:rsidR="00000000" w:rsidRPr="00000000">
        <w:rPr>
          <w:rtl w:val="0"/>
        </w:rPr>
        <w:t xml:space="preserve">Irina Filchenko:</w:t>
      </w:r>
    </w:p>
    <w:p w:rsidR="00000000" w:rsidDel="00000000" w:rsidP="00000000" w:rsidRDefault="00000000" w:rsidRPr="00000000" w14:paraId="00000015">
      <w:pPr>
        <w:spacing w:line="276" w:lineRule="auto"/>
        <w:ind w:left="0" w:firstLine="0"/>
        <w:rPr/>
      </w:pPr>
      <w:hyperlink r:id="rId10">
        <w:r w:rsidDel="00000000" w:rsidR="00000000" w:rsidRPr="00000000">
          <w:rPr>
            <w:color w:val="1155cc"/>
            <w:highlight w:val="white"/>
            <w:u w:val="single"/>
            <w:rtl w:val="0"/>
          </w:rPr>
          <w:t xml:space="preserve">iriina6994@gmail.com</w:t>
        </w:r>
      </w:hyperlink>
      <w:r w:rsidDel="00000000" w:rsidR="00000000" w:rsidRPr="00000000">
        <w:rPr>
          <w:color w:val="1155cc"/>
          <w:highlight w:val="white"/>
          <w:rtl w:val="0"/>
        </w:rPr>
        <w:t xml:space="preserve"> </w: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ind w:left="0" w:firstLine="0"/>
        <w:rPr>
          <w:color w:val="12253c"/>
          <w:shd w:fill="b4e7f8" w:val="clear"/>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Corresponding author:</w:t>
      </w:r>
    </w:p>
    <w:p w:rsidR="00000000" w:rsidDel="00000000" w:rsidP="00000000" w:rsidRDefault="00000000" w:rsidRPr="00000000" w14:paraId="00000019">
      <w:pPr>
        <w:spacing w:line="276" w:lineRule="auto"/>
        <w:rPr>
          <w:color w:val="222222"/>
        </w:rPr>
      </w:pPr>
      <w:r w:rsidDel="00000000" w:rsidR="00000000" w:rsidRPr="00000000">
        <w:rPr>
          <w:color w:val="222222"/>
          <w:rtl w:val="0"/>
        </w:rPr>
        <w:t xml:space="preserve">Ahmed Shaheen, MD</w:t>
      </w:r>
    </w:p>
    <w:p w:rsidR="00000000" w:rsidDel="00000000" w:rsidP="00000000" w:rsidRDefault="00000000" w:rsidRPr="00000000" w14:paraId="0000001A">
      <w:pPr>
        <w:shd w:fill="ffffff" w:val="clear"/>
        <w:spacing w:line="276" w:lineRule="auto"/>
        <w:rPr>
          <w:color w:val="222222"/>
        </w:rPr>
      </w:pPr>
      <w:r w:rsidDel="00000000" w:rsidR="00000000" w:rsidRPr="00000000">
        <w:rPr>
          <w:color w:val="222222"/>
          <w:rtl w:val="0"/>
        </w:rPr>
        <w:t xml:space="preserve">Université de Montréal</w:t>
      </w:r>
    </w:p>
    <w:p w:rsidR="00000000" w:rsidDel="00000000" w:rsidP="00000000" w:rsidRDefault="00000000" w:rsidRPr="00000000" w14:paraId="0000001B">
      <w:pPr>
        <w:spacing w:line="276" w:lineRule="auto"/>
        <w:rPr>
          <w:color w:val="222222"/>
        </w:rPr>
      </w:pPr>
      <w:r w:rsidDel="00000000" w:rsidR="00000000" w:rsidRPr="00000000">
        <w:rPr>
          <w:color w:val="222222"/>
          <w:rtl w:val="0"/>
        </w:rPr>
        <w:t xml:space="preserve">Email: ahmed​.shaheen.1@umontreal.ca</w:t>
      </w:r>
    </w:p>
    <w:p w:rsidR="00000000" w:rsidDel="00000000" w:rsidP="00000000" w:rsidRDefault="00000000" w:rsidRPr="00000000" w14:paraId="0000001C">
      <w:pPr>
        <w:spacing w:line="276" w:lineRule="auto"/>
        <w:rPr/>
      </w:pPr>
      <w:r w:rsidDel="00000000" w:rsidR="00000000" w:rsidRPr="00000000">
        <w:rPr>
          <w:color w:val="222222"/>
          <w:rtl w:val="0"/>
        </w:rPr>
        <w:t xml:space="preserve">Contact: +​1(514) 297-0124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2E">
      <w:pPr>
        <w:spacing w:after="240" w:before="240" w:lineRule="auto"/>
        <w:rPr>
          <w:highlight w:val="yellow"/>
        </w:rPr>
      </w:pPr>
      <w:r w:rsidDel="00000000" w:rsidR="00000000" w:rsidRPr="00000000">
        <w:rPr>
          <w:b w:val="1"/>
          <w:bCs w:val="1"/>
          <w:highlight w:val="yellow"/>
          <w:rtl w:val="0"/>
        </w:rPr>
        <w:t xml:space="preserve">Background:</w:t>
      </w:r>
      <w:r w:rsidDel="00000000" w:rsidR="00000000" w:rsidRPr="00000000">
        <w:rPr>
          <w:highlight w:val="yellow"/>
          <w:rtl w:val="0"/>
        </w:rPr>
        <w:t xml:space="preserve"> Traumatic brain injury (TBI) is a major risk factor for cognitive decline(CD) and neurodegenerative diseases(NDD). Despite robust epidemiological evidence, the multiscale pathophysiological mechanisms linking TBI to neurodegeneration remain challenging to characterize, and traditional systematic reviews lack the capacity to integrate the breadth of clinical and preclinical evidence required for coherent multidimensional theory.</w:t>
      </w:r>
    </w:p>
    <w:p w:rsidR="00000000" w:rsidDel="00000000" w:rsidP="00000000" w:rsidRDefault="00000000" w:rsidRPr="00000000" w14:paraId="0000002F">
      <w:pPr>
        <w:spacing w:after="240" w:before="240" w:lineRule="auto"/>
        <w:rPr>
          <w:highlight w:val="yellow"/>
        </w:rPr>
      </w:pPr>
      <w:r w:rsidDel="00000000" w:rsidR="00000000" w:rsidRPr="00000000">
        <w:rPr>
          <w:b w:val="1"/>
          <w:bCs w:val="1"/>
          <w:highlight w:val="yellow"/>
          <w:rtl w:val="0"/>
        </w:rPr>
        <w:t xml:space="preserve">Methods:</w:t>
      </w:r>
      <w:r w:rsidDel="00000000" w:rsidR="00000000" w:rsidRPr="00000000">
        <w:rPr>
          <w:highlight w:val="yellow"/>
          <w:rtl w:val="0"/>
        </w:rPr>
        <w:t xml:space="preserve"> We developed BioClaritas, a platform for automated large scale literature review with unsupervised learning modules for biomedical pathway construction. Case scenario: A systematic search of PubMed identified 1,347 research papers. Abstract screening used the gpt-4.1-mini model and it included 425 clinical and 398 preclinical relevant studies. Structured subject-relation-object triples were extracted and then embedded using biomedical sentence-transformer models. SapBERT selected based on optimal clustering performance. A sequential Principal Component Analysis (PCA)-then-Uniform Manifold Approximation and Projection(UMAP) dimensionality reduction pipeline preceded HDBSCAN clustering. Clusters were integrated into a disease network that enables mechanistic pathophysiological linking and interactive visualisation.</w:t>
      </w:r>
    </w:p>
    <w:p w:rsidR="00000000" w:rsidDel="00000000" w:rsidP="00000000" w:rsidRDefault="00000000" w:rsidRPr="00000000" w14:paraId="00000030">
      <w:pPr>
        <w:spacing w:after="240" w:before="240" w:lineRule="auto"/>
        <w:rPr>
          <w:highlight w:val="yellow"/>
        </w:rPr>
      </w:pPr>
      <w:r w:rsidDel="00000000" w:rsidR="00000000" w:rsidRPr="00000000">
        <w:rPr>
          <w:b w:val="1"/>
          <w:bCs w:val="1"/>
          <w:highlight w:val="yellow"/>
          <w:rtl w:val="0"/>
        </w:rPr>
        <w:t xml:space="preserve">Results:</w:t>
      </w:r>
      <w:r w:rsidDel="00000000" w:rsidR="00000000" w:rsidRPr="00000000">
        <w:rPr>
          <w:highlight w:val="yellow"/>
          <w:rtl w:val="0"/>
        </w:rPr>
        <w:t xml:space="preserve"> HDBSCAN identified 67 clinical and 59 preclinical pathway clusters, integrated into a unified mechanistic theory spanning six pathological phases: primary mechanical injury, vascular and blood-brain barrier compromise, neuroinflammatory cascades, metabolic crisis and mitochondrial dysfunction, proteinopathy, and cell death with accelerated brain aging. </w:t>
      </w:r>
    </w:p>
    <w:p w:rsidR="00000000" w:rsidDel="00000000" w:rsidP="00000000" w:rsidRDefault="00000000" w:rsidRPr="00000000" w14:paraId="00000031">
      <w:pPr>
        <w:spacing w:after="240" w:before="240" w:lineRule="auto"/>
        <w:rPr>
          <w:highlight w:val="yellow"/>
        </w:rPr>
      </w:pPr>
      <w:r w:rsidDel="00000000" w:rsidR="00000000" w:rsidRPr="00000000">
        <w:rPr>
          <w:b w:val="1"/>
          <w:bCs w:val="1"/>
          <w:highlight w:val="yellow"/>
          <w:rtl w:val="0"/>
        </w:rPr>
        <w:t xml:space="preserve">Conclusions:</w:t>
      </w:r>
      <w:r w:rsidDel="00000000" w:rsidR="00000000" w:rsidRPr="00000000">
        <w:rPr>
          <w:highlight w:val="yellow"/>
          <w:rtl w:val="0"/>
        </w:rPr>
        <w:t xml:space="preserve"> BioClaritas demonstrates the feasibility of constructing complex theoretical disease models from large-scale evidence, with a scalable approach that enables comprehensive synthesis and structured understanding of the literature. In the context of TBI-associated neurodegeneration, this framework provides a structured and potentially actionable causal model to support therapeutic target prioritization and, ultimately, facilitate the development of quantitative disease simulations.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pStyle w:val="Heading3"/>
        <w:spacing w:after="240" w:before="240" w:line="276" w:lineRule="auto"/>
        <w:rPr>
          <w:b w:val="1"/>
          <w:bCs w:val="1"/>
        </w:rPr>
      </w:pPr>
      <w:bookmarkStart w:colFirst="0" w:colLast="0" w:name="_chlna3xdo9ny" w:id="0"/>
      <w:bookmarkEnd w:id="0"/>
      <w:r w:rsidDel="00000000" w:rsidR="00000000" w:rsidRPr="00000000">
        <w:rPr>
          <w:b w:val="1"/>
          <w:bCs w:val="1"/>
          <w:rtl w:val="0"/>
        </w:rPr>
        <w:t xml:space="preserve">Introduction</w:t>
      </w:r>
    </w:p>
    <w:p w:rsidR="00000000" w:rsidDel="00000000" w:rsidP="00000000" w:rsidRDefault="00000000" w:rsidRPr="00000000" w14:paraId="0000003F">
      <w:pPr>
        <w:spacing w:after="240" w:before="240" w:line="276" w:lineRule="auto"/>
        <w:rPr>
          <w:highlight w:val="yellow"/>
        </w:rPr>
      </w:pPr>
      <w:r w:rsidDel="00000000" w:rsidR="00000000" w:rsidRPr="00000000">
        <w:rPr>
          <w:highlight w:val="yellow"/>
          <w:rtl w:val="0"/>
        </w:rPr>
        <w:t xml:space="preserve">Traumatic brain injury (TBI) results from </w:t>
      </w:r>
      <w:r w:rsidDel="00000000" w:rsidR="00000000" w:rsidRPr="00000000">
        <w:rPr>
          <w:highlight w:val="yellow"/>
          <w:rtl w:val="0"/>
        </w:rPr>
        <w:t xml:space="preserve">sudden impact to the head causing damage to the brain and d</w:t>
      </w:r>
      <w:r w:rsidDel="00000000" w:rsidR="00000000" w:rsidRPr="00000000">
        <w:rPr>
          <w:highlight w:val="yellow"/>
          <w:rtl w:val="0"/>
        </w:rPr>
        <w:t xml:space="preserve">epending on the degree of severity of damage it is believed to initiate a cascade of events that can lead to long-term disabilities, and contribute to cognitive decline(CD) and neurodegenerative </w:t>
      </w:r>
      <w:r w:rsidDel="00000000" w:rsidR="00000000" w:rsidRPr="00000000">
        <w:rPr>
          <w:highlight w:val="yellow"/>
          <w:rtl w:val="0"/>
        </w:rPr>
        <w:t xml:space="preserve">diseases</w:t>
      </w:r>
      <w:r w:rsidDel="00000000" w:rsidR="00000000" w:rsidRPr="00000000">
        <w:rPr>
          <w:highlight w:val="yellow"/>
          <w:rtl w:val="0"/>
        </w:rPr>
        <w:t xml:space="preserve">(NDD) </w:t>
      </w:r>
      <w:hyperlink r:id="rId11">
        <w:r w:rsidDel="00000000" w:rsidR="00000000" w:rsidRPr="00000000">
          <w:rPr>
            <w:color w:val="000000"/>
            <w:highlight w:val="yellow"/>
            <w:u w:val="none"/>
            <w:rtl w:val="0"/>
          </w:rPr>
          <w:t xml:space="preserve">[1, 2]</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40">
      <w:pPr>
        <w:spacing w:after="240" w:before="240" w:line="276" w:lineRule="auto"/>
        <w:rPr>
          <w:highlight w:val="yellow"/>
        </w:rPr>
      </w:pPr>
      <w:r w:rsidDel="00000000" w:rsidR="00000000" w:rsidRPr="00000000">
        <w:rPr>
          <w:highlight w:val="yellow"/>
          <w:rtl w:val="0"/>
        </w:rPr>
        <w:t xml:space="preserve">TBI is a major global health challenge with 20.8 million new cases in 2021 and 37.9 million prevalent cases worldwide with an estimation of </w:t>
      </w:r>
      <w:r w:rsidDel="00000000" w:rsidR="00000000" w:rsidRPr="00000000">
        <w:rPr>
          <w:highlight w:val="yellow"/>
          <w:rtl w:val="0"/>
        </w:rPr>
        <w:t xml:space="preserve">259 case incidences per 100,000 people</w:t>
      </w:r>
      <w:r w:rsidDel="00000000" w:rsidR="00000000" w:rsidRPr="00000000">
        <w:rPr>
          <w:highlight w:val="yellow"/>
          <w:rtl w:val="0"/>
        </w:rPr>
        <w:t xml:space="preserve"> </w:t>
      </w:r>
      <w:hyperlink r:id="rId12">
        <w:r w:rsidDel="00000000" w:rsidR="00000000" w:rsidRPr="00000000">
          <w:rPr>
            <w:color w:val="000000"/>
            <w:highlight w:val="yellow"/>
            <w:u w:val="none"/>
            <w:rtl w:val="0"/>
          </w:rPr>
          <w:t xml:space="preserve">[3]</w:t>
        </w:r>
      </w:hyperlink>
      <w:r w:rsidDel="00000000" w:rsidR="00000000" w:rsidRPr="00000000">
        <w:rPr>
          <w:highlight w:val="yellow"/>
          <w:rtl w:val="0"/>
        </w:rPr>
        <w:t xml:space="preserve"> More than half of all TBIs are classified as moderate to severe, contributing substantially to morbidity and long-term disability </w:t>
      </w:r>
      <w:hyperlink r:id="rId13">
        <w:r w:rsidDel="00000000" w:rsidR="00000000" w:rsidRPr="00000000">
          <w:rPr>
            <w:color w:val="000000"/>
            <w:highlight w:val="yellow"/>
            <w:u w:val="none"/>
            <w:rtl w:val="0"/>
          </w:rPr>
          <w:t xml:space="preserve">[4]</w:t>
        </w:r>
      </w:hyperlink>
      <w:r w:rsidDel="00000000" w:rsidR="00000000" w:rsidRPr="00000000">
        <w:rPr>
          <w:highlight w:val="yellow"/>
          <w:rtl w:val="0"/>
        </w:rPr>
        <w:t xml:space="preserve">. T BI accounts for approximately 5.5 million years lived with disability globally and disproportionately affects children, older adults, and males </w:t>
      </w:r>
      <w:hyperlink r:id="rId14">
        <w:r w:rsidDel="00000000" w:rsidR="00000000" w:rsidRPr="00000000">
          <w:rPr>
            <w:color w:val="000000"/>
            <w:highlight w:val="yellow"/>
            <w:u w:val="none"/>
            <w:rtl w:val="0"/>
          </w:rPr>
          <w:t xml:space="preserve">[3, 5]</w:t>
        </w:r>
      </w:hyperlink>
      <w:r w:rsidDel="00000000" w:rsidR="00000000" w:rsidRPr="00000000">
        <w:rPr>
          <w:highlight w:val="yellow"/>
          <w:rtl w:val="0"/>
        </w:rPr>
        <w:t xml:space="preserve">.</w:t>
      </w:r>
      <w:r w:rsidDel="00000000" w:rsidR="00000000" w:rsidRPr="00000000">
        <w:rPr>
          <w:highlight w:val="yellow"/>
          <w:rtl w:val="0"/>
        </w:rPr>
        <w:t xml:space="preserve"> Beyond its clinical impact, TBI imposes a substantial economic burden through healthcare expenditures, lost productivity, and long-term disability </w:t>
      </w:r>
      <w:hyperlink r:id="rId15">
        <w:r w:rsidDel="00000000" w:rsidR="00000000" w:rsidRPr="00000000">
          <w:rPr>
            <w:color w:val="000000"/>
            <w:highlight w:val="yellow"/>
            <w:u w:val="none"/>
            <w:rtl w:val="0"/>
          </w:rPr>
          <w:t xml:space="preserve">[6,</w:t>
        </w:r>
      </w:hyperlink>
      <w:hyperlink r:id="rId16">
        <w:r w:rsidDel="00000000" w:rsidR="00000000" w:rsidRPr="00000000">
          <w:rPr>
            <w:highlight w:val="yellow"/>
            <w:rtl w:val="0"/>
          </w:rPr>
          <w:t xml:space="preserve"> </w:t>
        </w:r>
      </w:hyperlink>
      <w:hyperlink r:id="rId17">
        <w:r w:rsidDel="00000000" w:rsidR="00000000" w:rsidRPr="00000000">
          <w:rPr>
            <w:color w:val="000000"/>
            <w:highlight w:val="yellow"/>
            <w:u w:val="none"/>
            <w:rtl w:val="0"/>
          </w:rPr>
          <w:t xml:space="preserve">7]</w:t>
        </w:r>
      </w:hyperlink>
      <w:r w:rsidDel="00000000" w:rsidR="00000000" w:rsidRPr="00000000">
        <w:rPr>
          <w:highlight w:val="yellow"/>
          <w:rtl w:val="0"/>
        </w:rPr>
        <w:t xml:space="preserve">.</w:t>
      </w:r>
    </w:p>
    <w:p w:rsidR="00000000" w:rsidDel="00000000" w:rsidP="00000000" w:rsidRDefault="00000000" w:rsidRPr="00000000" w14:paraId="00000041">
      <w:pPr>
        <w:spacing w:after="240" w:before="240" w:line="276" w:lineRule="auto"/>
        <w:rPr>
          <w:highlight w:val="yellow"/>
        </w:rPr>
      </w:pPr>
      <w:r w:rsidDel="00000000" w:rsidR="00000000" w:rsidRPr="00000000">
        <w:rPr>
          <w:highlight w:val="yellow"/>
          <w:rtl w:val="0"/>
        </w:rPr>
        <w:t xml:space="preserve">Clinical outcomes vary widely, from transient cognitive symptoms to permanent disability and death. Moderate and severe TBIs are associated with substantial morbidity and mortality, accounting for approximately one-third of injury-related deaths </w:t>
      </w:r>
      <w:hyperlink r:id="rId18">
        <w:r w:rsidDel="00000000" w:rsidR="00000000" w:rsidRPr="00000000">
          <w:rPr>
            <w:color w:val="000000"/>
            <w:highlight w:val="yellow"/>
            <w:u w:val="none"/>
            <w:rtl w:val="0"/>
          </w:rPr>
          <w:t xml:space="preserve">[8, 9]</w:t>
        </w:r>
      </w:hyperlink>
      <w:r w:rsidDel="00000000" w:rsidR="00000000" w:rsidRPr="00000000">
        <w:rPr>
          <w:highlight w:val="yellow"/>
          <w:rtl w:val="0"/>
        </w:rPr>
        <w:t xml:space="preserve">. Although mild TBI (mTBI) is the most common form, it can still result in persistent long-term consequences </w:t>
      </w:r>
      <w:hyperlink r:id="rId19">
        <w:r w:rsidDel="00000000" w:rsidR="00000000" w:rsidRPr="00000000">
          <w:rPr>
            <w:color w:val="000000"/>
            <w:highlight w:val="yellow"/>
            <w:u w:val="none"/>
            <w:rtl w:val="0"/>
          </w:rPr>
          <w:t xml:space="preserve">[10]</w:t>
        </w:r>
      </w:hyperlink>
      <w:r w:rsidDel="00000000" w:rsidR="00000000" w:rsidRPr="00000000">
        <w:rPr>
          <w:highlight w:val="yellow"/>
          <w:rtl w:val="0"/>
        </w:rPr>
        <w:t xml:space="preserve">.</w:t>
      </w:r>
    </w:p>
    <w:p w:rsidR="00000000" w:rsidDel="00000000" w:rsidP="00000000" w:rsidRDefault="00000000" w:rsidRPr="00000000" w14:paraId="00000042">
      <w:pPr>
        <w:spacing w:after="240" w:before="240" w:line="276" w:lineRule="auto"/>
        <w:rPr>
          <w:highlight w:val="yellow"/>
        </w:rPr>
      </w:pPr>
      <w:r w:rsidDel="00000000" w:rsidR="00000000" w:rsidRPr="00000000">
        <w:rPr>
          <w:highlight w:val="yellow"/>
          <w:rtl w:val="0"/>
        </w:rPr>
        <w:t xml:space="preserve">The mechanisms of TBI are complex and starts at the moment of impact, causing direct damage to brain tissue, blood vessels, and nerve fibers and followed by a secondary injury cascade of cellular and molecular events that unfold over hours to days and contribute to further brain damage. This secondary cascade includes excitotoxicity, mitochondrial dysfunction, oxidative stress, and neuroinflammation, all of which play a role in the long-term outcomes of TBI </w:t>
      </w:r>
      <w:hyperlink r:id="rId20">
        <w:r w:rsidDel="00000000" w:rsidR="00000000" w:rsidRPr="00000000">
          <w:rPr>
            <w:color w:val="000000"/>
            <w:highlight w:val="yellow"/>
            <w:u w:val="none"/>
            <w:rtl w:val="0"/>
          </w:rPr>
          <w:t xml:space="preserve">[11]</w:t>
        </w:r>
      </w:hyperlink>
      <w:r w:rsidDel="00000000" w:rsidR="00000000" w:rsidRPr="00000000">
        <w:rPr>
          <w:highlight w:val="yellow"/>
          <w:rtl w:val="0"/>
        </w:rPr>
        <w:t xml:space="preserve">.</w:t>
      </w:r>
    </w:p>
    <w:p w:rsidR="00000000" w:rsidDel="00000000" w:rsidP="00000000" w:rsidRDefault="00000000" w:rsidRPr="00000000" w14:paraId="00000043">
      <w:pPr>
        <w:spacing w:after="240" w:before="240" w:line="276" w:lineRule="auto"/>
        <w:rPr>
          <w:highlight w:val="yellow"/>
        </w:rPr>
      </w:pPr>
      <w:r w:rsidDel="00000000" w:rsidR="00000000" w:rsidRPr="00000000">
        <w:rPr>
          <w:highlight w:val="yellow"/>
          <w:rtl w:val="0"/>
        </w:rPr>
        <w:t xml:space="preserve">This inherent complexity of TBI pathophysiological role in CD led to incoherent </w:t>
      </w:r>
      <w:r w:rsidDel="00000000" w:rsidR="00000000" w:rsidRPr="00000000">
        <w:rPr>
          <w:highlight w:val="yellow"/>
          <w:rtl w:val="0"/>
        </w:rPr>
        <w:t xml:space="preserve">methodology in </w:t>
      </w:r>
      <w:r w:rsidDel="00000000" w:rsidR="00000000" w:rsidRPr="00000000">
        <w:rPr>
          <w:highlight w:val="yellow"/>
          <w:rtl w:val="0"/>
        </w:rPr>
        <w:t xml:space="preserve">clinical studies reported in the literature and made it challenging to create a clear theoretical cascadal linking between the initial injury mechanisms and later life development of the clinical consequences </w:t>
      </w:r>
      <w:hyperlink r:id="rId21">
        <w:r w:rsidDel="00000000" w:rsidR="00000000" w:rsidRPr="00000000">
          <w:rPr>
            <w:color w:val="000000"/>
            <w:highlight w:val="yellow"/>
            <w:u w:val="none"/>
            <w:rtl w:val="0"/>
          </w:rPr>
          <w:t xml:space="preserve">[1, 2, 12]</w:t>
        </w:r>
      </w:hyperlink>
      <w:r w:rsidDel="00000000" w:rsidR="00000000" w:rsidRPr="00000000">
        <w:rPr>
          <w:highlight w:val="yellow"/>
          <w:rtl w:val="0"/>
        </w:rPr>
        <w:t xml:space="preserve">. </w:t>
      </w:r>
    </w:p>
    <w:p w:rsidR="00000000" w:rsidDel="00000000" w:rsidP="00000000" w:rsidRDefault="00000000" w:rsidRPr="00000000" w14:paraId="00000044">
      <w:pPr>
        <w:spacing w:after="240" w:before="240" w:line="276" w:lineRule="auto"/>
        <w:rPr>
          <w:highlight w:val="yellow"/>
        </w:rPr>
      </w:pPr>
      <w:r w:rsidDel="00000000" w:rsidR="00000000" w:rsidRPr="00000000">
        <w:rPr>
          <w:highlight w:val="yellow"/>
          <w:rtl w:val="0"/>
        </w:rPr>
        <w:t xml:space="preserve">Nevertheless, there is substantial evidence that has established a strong link between TBI and an increased risk of developing NDD later in life. Studies found that a history of moderate-to-severe TBI is associated with increased risks of dementia and Parkinson’s disease, with dementia risk estimated at 1.92-fold higher </w:t>
      </w:r>
      <w:hyperlink r:id="rId22">
        <w:r w:rsidDel="00000000" w:rsidR="00000000" w:rsidRPr="00000000">
          <w:rPr>
            <w:highlight w:val="yellow"/>
            <w:rtl w:val="0"/>
          </w:rPr>
          <w:t xml:space="preserve">[13]</w:t>
        </w:r>
      </w:hyperlink>
      <w:r w:rsidDel="00000000" w:rsidR="00000000" w:rsidRPr="00000000">
        <w:rPr>
          <w:highlight w:val="yellow"/>
          <w:rtl w:val="0"/>
        </w:rPr>
        <w:t xml:space="preserve"> </w:t>
      </w:r>
      <w:hyperlink r:id="rId23">
        <w:r w:rsidDel="00000000" w:rsidR="00000000" w:rsidRPr="00000000">
          <w:rPr>
            <w:color w:val="000000"/>
            <w:highlight w:val="yellow"/>
            <w:u w:val="none"/>
            <w:rtl w:val="0"/>
          </w:rPr>
          <w:t xml:space="preserve">[14]</w:t>
        </w:r>
      </w:hyperlink>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45">
      <w:pPr>
        <w:spacing w:after="240" w:before="240" w:line="276" w:lineRule="auto"/>
        <w:rPr>
          <w:highlight w:val="yellow"/>
        </w:rPr>
      </w:pPr>
      <w:r w:rsidDel="00000000" w:rsidR="00000000" w:rsidRPr="00000000">
        <w:rPr>
          <w:highlight w:val="yellow"/>
          <w:rtl w:val="0"/>
        </w:rPr>
        <w:t xml:space="preserve">Traditional systematic reviews have been unable to fully synthesize the growing and complex body of evidence, underscoring the need for more robust methodologies capable of strengthening causal linking and addressing existing biases </w:t>
      </w:r>
      <w:hyperlink r:id="rId24">
        <w:r w:rsidDel="00000000" w:rsidR="00000000" w:rsidRPr="00000000">
          <w:rPr>
            <w:color w:val="000000"/>
            <w:highlight w:val="yellow"/>
            <w:u w:val="none"/>
            <w:rtl w:val="0"/>
          </w:rPr>
          <w:t xml:space="preserve">[15]</w:t>
        </w:r>
      </w:hyperlink>
      <w:r w:rsidDel="00000000" w:rsidR="00000000" w:rsidRPr="00000000">
        <w:rPr>
          <w:highlight w:val="yellow"/>
          <w:rtl w:val="0"/>
        </w:rPr>
        <w:t xml:space="preserve">. To overcome these limitations, we introduce a novel framework that enables comprehensive evaluation of disease mechanisms while reducing reliance on subjective expert interpretation that is usually limited and biased to the expert domain. </w:t>
      </w:r>
    </w:p>
    <w:p w:rsidR="00000000" w:rsidDel="00000000" w:rsidP="00000000" w:rsidRDefault="00000000" w:rsidRPr="00000000" w14:paraId="00000046">
      <w:pPr>
        <w:spacing w:after="240" w:before="240" w:line="276" w:lineRule="auto"/>
        <w:rPr>
          <w:highlight w:val="yellow"/>
        </w:rPr>
      </w:pPr>
      <w:r w:rsidDel="00000000" w:rsidR="00000000" w:rsidRPr="00000000">
        <w:rPr>
          <w:highlight w:val="yellow"/>
          <w:rtl w:val="0"/>
        </w:rPr>
        <w:t xml:space="preserve">Recent advancements in generative AI led to increased capabilities and applications of automated systems for biomedical literature analyses </w:t>
      </w:r>
      <w:hyperlink r:id="rId25">
        <w:r w:rsidDel="00000000" w:rsidR="00000000" w:rsidRPr="00000000">
          <w:rPr>
            <w:color w:val="000000"/>
            <w:highlight w:val="yellow"/>
            <w:u w:val="none"/>
            <w:rtl w:val="0"/>
          </w:rPr>
          <w:t xml:space="preserve">[16–18]</w:t>
        </w:r>
      </w:hyperlink>
      <w:r w:rsidDel="00000000" w:rsidR="00000000" w:rsidRPr="00000000">
        <w:rPr>
          <w:highlight w:val="yellow"/>
          <w:rtl w:val="0"/>
        </w:rPr>
        <w:t xml:space="preserve">. Agentic AI systems using large language models (LLMs) in particular show promising results in automated systems for knowledge retrieval and evidence synthesis </w:t>
      </w:r>
      <w:hyperlink r:id="rId26">
        <w:r w:rsidDel="00000000" w:rsidR="00000000" w:rsidRPr="00000000">
          <w:rPr>
            <w:color w:val="000000"/>
            <w:highlight w:val="yellow"/>
            <w:u w:val="none"/>
            <w:rtl w:val="0"/>
          </w:rPr>
          <w:t xml:space="preserve">[19]</w:t>
        </w:r>
      </w:hyperlink>
      <w:r w:rsidDel="00000000" w:rsidR="00000000" w:rsidRPr="00000000">
        <w:rPr>
          <w:highlight w:val="yellow"/>
          <w:rtl w:val="0"/>
        </w:rPr>
        <w:t xml:space="preserve">. This emerging technology therefore presents a transformative opportunity to overcome some of the limitations of manual literature curation, enabling the high-throughput, unbiased integration of fragmented data necessary to construct a holistic model of the complex transition from TBI to chronic neurodegeneration.</w:t>
      </w:r>
    </w:p>
    <w:p w:rsidR="00000000" w:rsidDel="00000000" w:rsidP="00000000" w:rsidRDefault="00000000" w:rsidRPr="00000000" w14:paraId="00000047">
      <w:pPr>
        <w:spacing w:after="240" w:before="240" w:lineRule="auto"/>
        <w:rPr>
          <w:highlight w:val="yellow"/>
        </w:rPr>
      </w:pPr>
      <w:r w:rsidDel="00000000" w:rsidR="00000000" w:rsidRPr="00000000">
        <w:rPr>
          <w:highlight w:val="yellow"/>
          <w:rtl w:val="0"/>
        </w:rPr>
        <w:t xml:space="preserve">In this work we present  the BioClaritas system, which is a scalable framework leveraging LLMs and unsupervised learning to systematically screen, extract, integrate, and formalize disease mechanisms from the biomedical literature into a reproducible, traceable disease network. We demonstrate its application in constructing a multidimensional TBI-to-NDD disease model spanning molecular, cellular, and clinical levels of evidence.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b w:val="1"/>
          <w:bCs w:val="1"/>
          <w:highlight w:val="yellow"/>
        </w:rPr>
      </w:pPr>
      <w:bookmarkStart w:colFirst="0" w:colLast="0" w:name="_d9ew105sv415" w:id="1"/>
      <w:bookmarkEnd w:id="1"/>
      <w:r w:rsidDel="00000000" w:rsidR="00000000" w:rsidRPr="00000000">
        <w:rPr>
          <w:b w:val="1"/>
          <w:bCs w:val="1"/>
          <w:highlight w:val="yellow"/>
          <w:rtl w:val="0"/>
        </w:rPr>
        <w:t xml:space="preserve">Methodology</w:t>
      </w:r>
    </w:p>
    <w:p w:rsidR="00000000" w:rsidDel="00000000" w:rsidP="00000000" w:rsidRDefault="00000000" w:rsidRPr="00000000" w14:paraId="0000004A">
      <w:pPr>
        <w:rPr>
          <w:b w:val="1"/>
          <w:bCs w:val="1"/>
          <w:highlight w:val="yellow"/>
        </w:rPr>
      </w:pPr>
      <w:r w:rsidDel="00000000" w:rsidR="00000000" w:rsidRPr="00000000">
        <w:rPr>
          <w:rtl w:val="0"/>
        </w:rPr>
      </w:r>
    </w:p>
    <w:p w:rsidR="00000000" w:rsidDel="00000000" w:rsidP="00000000" w:rsidRDefault="00000000" w:rsidRPr="00000000" w14:paraId="0000004B">
      <w:pPr>
        <w:ind w:left="0" w:firstLine="0"/>
        <w:rPr>
          <w:b w:val="1"/>
          <w:bCs w:val="1"/>
          <w:highlight w:val="yellow"/>
        </w:rPr>
      </w:pPr>
      <w:r w:rsidDel="00000000" w:rsidR="00000000" w:rsidRPr="00000000">
        <w:rPr>
          <w:b w:val="1"/>
          <w:bCs w:val="1"/>
          <w:highlight w:val="yellow"/>
          <w:rtl w:val="0"/>
        </w:rPr>
        <w:t xml:space="preserve">Literature Search and Screening</w:t>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We conducted a systematic search of the PubMed database using a predefined query encompassing terms related to TBI and NDD </w:t>
      </w:r>
      <w:r w:rsidDel="00000000" w:rsidR="00000000" w:rsidRPr="00000000">
        <w:rPr>
          <w:highlight w:val="yellow"/>
          <w:rtl w:val="0"/>
        </w:rPr>
        <w:t xml:space="preserve">(see A</w:t>
      </w:r>
      <w:hyperlink r:id="rId27">
        <w:r w:rsidDel="00000000" w:rsidR="00000000" w:rsidRPr="00000000">
          <w:rPr>
            <w:color w:val="1155cc"/>
            <w:highlight w:val="yellow"/>
            <w:u w:val="single"/>
            <w:rtl w:val="0"/>
          </w:rPr>
          <w:t xml:space="preserve">ppendix</w:t>
        </w:r>
      </w:hyperlink>
      <w:r w:rsidDel="00000000" w:rsidR="00000000" w:rsidRPr="00000000">
        <w:rPr>
          <w:highlight w:val="yellow"/>
          <w:rtl w:val="0"/>
        </w:rPr>
        <w:t xml:space="preserve"> for search query)</w:t>
      </w:r>
      <w:r w:rsidDel="00000000" w:rsidR="00000000" w:rsidRPr="00000000">
        <w:rPr>
          <w:highlight w:val="yellow"/>
          <w:rtl w:val="0"/>
        </w:rPr>
        <w:t xml:space="preserve">. The search was limited to peer-reviewed studies published from January 2014 to May 2025 and identified 1,347 potentially relevant articles</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4D">
      <w:pPr>
        <w:spacing w:after="240" w:before="240" w:lineRule="auto"/>
        <w:rPr>
          <w:highlight w:val="yellow"/>
        </w:rPr>
      </w:pPr>
      <w:r w:rsidDel="00000000" w:rsidR="00000000" w:rsidRPr="00000000">
        <w:rPr>
          <w:rtl w:val="0"/>
        </w:rPr>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5"/>
        <w:gridCol w:w="6635"/>
        <w:tblGridChange w:id="0">
          <w:tblGrid>
            <w:gridCol w:w="2585"/>
            <w:gridCol w:w="6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highlight w:val="yellow"/>
              </w:rPr>
            </w:pPr>
            <w:r w:rsidDel="00000000" w:rsidR="00000000" w:rsidRPr="00000000">
              <w:rPr>
                <w:b w:val="1"/>
                <w:bCs w:val="1"/>
                <w:highlight w:val="yellow"/>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highlight w:val="yellow"/>
              </w:rPr>
            </w:pPr>
            <w:r w:rsidDel="00000000" w:rsidR="00000000" w:rsidRPr="00000000">
              <w:rPr>
                <w:b w:val="1"/>
                <w:bCs w:val="1"/>
                <w:highlight w:val="yellow"/>
                <w:rtl w:val="0"/>
              </w:rPr>
              <w:t xml:space="preserve">Main Keywords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highlight w:val="yellow"/>
              </w:rPr>
            </w:pPr>
            <w:r w:rsidDel="00000000" w:rsidR="00000000" w:rsidRPr="00000000">
              <w:rPr>
                <w:b w:val="1"/>
                <w:bCs w:val="1"/>
                <w:highlight w:val="yellow"/>
                <w:rtl w:val="0"/>
              </w:rPr>
              <w:t xml:space="preserve">TBI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highlight w:val="yellow"/>
              </w:rPr>
            </w:pPr>
            <w:r w:rsidDel="00000000" w:rsidR="00000000" w:rsidRPr="00000000">
              <w:rPr>
                <w:highlight w:val="yellow"/>
                <w:rtl w:val="0"/>
              </w:rPr>
              <w:t xml:space="preserve">traumatic brain injur*, TBI, head injur*, concussion*, brain trauma*, repetitive head trauma, CCI, FPI, blast injur*, mTBI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highlight w:val="yellow"/>
              </w:rPr>
            </w:pPr>
            <w:r w:rsidDel="00000000" w:rsidR="00000000" w:rsidRPr="00000000">
              <w:rPr>
                <w:b w:val="1"/>
                <w:bCs w:val="1"/>
                <w:highlight w:val="yellow"/>
                <w:rtl w:val="0"/>
              </w:rPr>
              <w:t xml:space="preserve">Dementia &amp; Neurodegeneration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highlight w:val="yellow"/>
              </w:rPr>
            </w:pPr>
            <w:r w:rsidDel="00000000" w:rsidR="00000000" w:rsidRPr="00000000">
              <w:rPr>
                <w:highlight w:val="yellow"/>
                <w:rtl w:val="0"/>
              </w:rPr>
              <w:t xml:space="preserve">dementia, Alzheimer*, neurodegenerat*, CTE, tauopath*, cognitive decline, cognitive impairment, tau pathology, amyloid pathology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highlight w:val="yellow"/>
              </w:rPr>
            </w:pPr>
            <w:r w:rsidDel="00000000" w:rsidR="00000000" w:rsidRPr="00000000">
              <w:rPr>
                <w:b w:val="1"/>
                <w:bCs w:val="1"/>
                <w:highlight w:val="yellow"/>
                <w:rtl w:val="0"/>
              </w:rPr>
              <w:t xml:space="preserve">Mechanisms &amp; Pathology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highlight w:val="yellow"/>
              </w:rPr>
            </w:pPr>
            <w:r w:rsidDel="00000000" w:rsidR="00000000" w:rsidRPr="00000000">
              <w:rPr>
                <w:highlight w:val="yellow"/>
                <w:rtl w:val="0"/>
              </w:rPr>
              <w:t xml:space="preserve">mechanism*, patholog*, biomarker*, neuroinflamma*, synaptic dysfunction, tau protein*, phospho-tau, amyloid beta, glial activation, oxidative stress, axonal damage, brain atrophy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highlight w:val="yellow"/>
              </w:rPr>
            </w:pPr>
            <w:r w:rsidDel="00000000" w:rsidR="00000000" w:rsidRPr="00000000">
              <w:rPr>
                <w:b w:val="1"/>
                <w:bCs w:val="1"/>
                <w:highlight w:val="yellow"/>
                <w:rtl w:val="0"/>
              </w:rPr>
              <w:t xml:space="preserve">Study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highlight w:val="yellow"/>
              </w:rPr>
            </w:pPr>
            <w:r w:rsidDel="00000000" w:rsidR="00000000" w:rsidRPr="00000000">
              <w:rPr>
                <w:highlight w:val="yellow"/>
                <w:rtl w:val="0"/>
              </w:rPr>
              <w:t xml:space="preserve">clinical trial, randomized controlled trial, cohort, case-control, longitudinal, prospective, retrospective, observational, experimental, animal model, in vivo, prognosis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highlight w:val="yellow"/>
              </w:rPr>
            </w:pPr>
            <w:r w:rsidDel="00000000" w:rsidR="00000000" w:rsidRPr="00000000">
              <w:rPr>
                <w:b w:val="1"/>
                <w:bCs w:val="1"/>
                <w:highlight w:val="yellow"/>
                <w:rtl w:val="0"/>
              </w:rPr>
              <w:t xml:space="preserve">Exclusions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highlight w:val="yellow"/>
              </w:rPr>
            </w:pPr>
            <w:r w:rsidDel="00000000" w:rsidR="00000000" w:rsidRPr="00000000">
              <w:rPr>
                <w:highlight w:val="yellow"/>
                <w:rtl w:val="0"/>
              </w:rPr>
              <w:t xml:space="preserve">spinal cord, pediatric, stroke, cancer, epilepsy, multiple sclerosis, reviews, meta-analyses, case reports, editorials, letters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highlight w:val="yellow"/>
              </w:rPr>
            </w:pPr>
            <w:r w:rsidDel="00000000" w:rsidR="00000000" w:rsidRPr="00000000">
              <w:rPr>
                <w:b w:val="1"/>
                <w:bCs w:val="1"/>
                <w:highlight w:val="yellow"/>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highlight w:val="yellow"/>
              </w:rPr>
            </w:pPr>
            <w:r w:rsidDel="00000000" w:rsidR="00000000" w:rsidRPr="00000000">
              <w:rPr>
                <w:highlight w:val="yellow"/>
                <w:rtl w:val="0"/>
              </w:rPr>
              <w:t xml:space="preserve">2015–2025</w:t>
            </w:r>
          </w:p>
        </w:tc>
      </w:tr>
    </w:tbl>
    <w:p w:rsidR="00000000" w:rsidDel="00000000" w:rsidP="00000000" w:rsidRDefault="00000000" w:rsidRPr="00000000" w14:paraId="0000005C">
      <w:pPr>
        <w:spacing w:after="240" w:before="240" w:lineRule="auto"/>
        <w:rPr>
          <w:highlight w:val="yellow"/>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highlight w:val="yellow"/>
          <w:rtl w:val="0"/>
        </w:rPr>
        <w:t xml:space="preserve">Abstract screening was automatically conducted using the gpt-4.1-mini model, applying a framework previously validated for medical literature review </w:t>
      </w:r>
      <w:hyperlink r:id="rId28">
        <w:r w:rsidDel="00000000" w:rsidR="00000000" w:rsidRPr="00000000">
          <w:rPr>
            <w:color w:val="000000"/>
            <w:highlight w:val="yellow"/>
            <w:u w:val="none"/>
            <w:rtl w:val="0"/>
          </w:rPr>
          <w:t xml:space="preserve">[16]</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5E">
      <w:pPr>
        <w:rPr>
          <w:b w:val="1"/>
          <w:bCs w:val="1"/>
          <w:highlight w:val="yellow"/>
        </w:rPr>
      </w:pPr>
      <w:r w:rsidDel="00000000" w:rsidR="00000000" w:rsidRPr="00000000">
        <w:rPr>
          <w:b w:val="1"/>
          <w:bCs w:val="1"/>
          <w:highlight w:val="yellow"/>
          <w:rtl w:val="0"/>
        </w:rPr>
        <w:t xml:space="preserve">Inclusion criteria:</w:t>
      </w:r>
    </w:p>
    <w:p w:rsidR="00000000" w:rsidDel="00000000" w:rsidP="00000000" w:rsidRDefault="00000000" w:rsidRPr="00000000" w14:paraId="0000005F">
      <w:pPr>
        <w:rPr>
          <w:highlight w:val="yellow"/>
        </w:rPr>
      </w:pPr>
      <w:r w:rsidDel="00000000" w:rsidR="00000000" w:rsidRPr="00000000">
        <w:rPr>
          <w:highlight w:val="yellow"/>
          <w:rtl w:val="0"/>
        </w:rPr>
        <w:t xml:space="preserve">We included clinical and preclinical research articles with original data, including prospective and retrospective observational studies, as well as interventional studies and trials that include TBI as an exposure and exploring epidemiological or mechanistic linking to NND as an outcome.</w:t>
      </w:r>
    </w:p>
    <w:p w:rsidR="00000000" w:rsidDel="00000000" w:rsidP="00000000" w:rsidRDefault="00000000" w:rsidRPr="00000000" w14:paraId="00000060">
      <w:pPr>
        <w:rPr>
          <w:highlight w:val="yellow"/>
        </w:rPr>
      </w:pPr>
      <w:r w:rsidDel="00000000" w:rsidR="00000000" w:rsidRPr="00000000">
        <w:rPr>
          <w:rtl w:val="0"/>
        </w:rPr>
      </w:r>
    </w:p>
    <w:p w:rsidR="00000000" w:rsidDel="00000000" w:rsidP="00000000" w:rsidRDefault="00000000" w:rsidRPr="00000000" w14:paraId="00000061">
      <w:pPr>
        <w:rPr>
          <w:b w:val="1"/>
          <w:bCs w:val="1"/>
          <w:highlight w:val="yellow"/>
        </w:rPr>
      </w:pPr>
      <w:r w:rsidDel="00000000" w:rsidR="00000000" w:rsidRPr="00000000">
        <w:rPr>
          <w:b w:val="1"/>
          <w:bCs w:val="1"/>
          <w:highlight w:val="yellow"/>
          <w:rtl w:val="0"/>
        </w:rPr>
        <w:t xml:space="preserve">Exclusion criteria: </w:t>
      </w:r>
    </w:p>
    <w:p w:rsidR="00000000" w:rsidDel="00000000" w:rsidP="00000000" w:rsidRDefault="00000000" w:rsidRPr="00000000" w14:paraId="00000062">
      <w:pPr>
        <w:rPr>
          <w:highlight w:val="yellow"/>
        </w:rPr>
      </w:pPr>
      <w:r w:rsidDel="00000000" w:rsidR="00000000" w:rsidRPr="00000000">
        <w:rPr>
          <w:highlight w:val="yellow"/>
          <w:rtl w:val="0"/>
        </w:rPr>
        <w:t xml:space="preserve">We excluded narrative reviews, systematic reviews, meta-analyses, case reports, commentaries, expert opinions, and studies published in languages other than English.</w:t>
      </w:r>
    </w:p>
    <w:p w:rsidR="00000000" w:rsidDel="00000000" w:rsidP="00000000" w:rsidRDefault="00000000" w:rsidRPr="00000000" w14:paraId="00000063">
      <w:pPr>
        <w:rPr>
          <w:b w:val="1"/>
          <w:bCs w:val="1"/>
          <w:highlight w:val="yellow"/>
        </w:rPr>
      </w:pPr>
      <w:r w:rsidDel="00000000" w:rsidR="00000000" w:rsidRPr="00000000">
        <w:rPr>
          <w:rtl w:val="0"/>
        </w:rPr>
      </w:r>
    </w:p>
    <w:p w:rsidR="00000000" w:rsidDel="00000000" w:rsidP="00000000" w:rsidRDefault="00000000" w:rsidRPr="00000000" w14:paraId="00000064">
      <w:pPr>
        <w:rPr>
          <w:highlight w:val="yellow"/>
        </w:rPr>
      </w:pPr>
      <w:r w:rsidDel="00000000" w:rsidR="00000000" w:rsidRPr="00000000">
        <w:rPr>
          <w:rtl w:val="0"/>
        </w:rPr>
      </w:r>
    </w:p>
    <w:p w:rsidR="00000000" w:rsidDel="00000000" w:rsidP="00000000" w:rsidRDefault="00000000" w:rsidRPr="00000000" w14:paraId="00000065">
      <w:pPr>
        <w:ind w:left="0" w:firstLine="0"/>
        <w:rPr>
          <w:b w:val="1"/>
          <w:bCs w:val="1"/>
          <w:highlight w:val="yellow"/>
        </w:rPr>
      </w:pPr>
      <w:r w:rsidDel="00000000" w:rsidR="00000000" w:rsidRPr="00000000">
        <w:rPr>
          <w:b w:val="1"/>
          <w:bCs w:val="1"/>
          <w:highlight w:val="yellow"/>
          <w:rtl w:val="0"/>
        </w:rPr>
        <w:t xml:space="preserve">Data Extraction</w:t>
      </w:r>
    </w:p>
    <w:p w:rsidR="00000000" w:rsidDel="00000000" w:rsidP="00000000" w:rsidRDefault="00000000" w:rsidRPr="00000000" w14:paraId="00000066">
      <w:pPr>
        <w:rPr>
          <w:highlight w:val="yellow"/>
        </w:rPr>
      </w:pPr>
      <w:r w:rsidDel="00000000" w:rsidR="00000000" w:rsidRPr="00000000">
        <w:rPr>
          <w:rtl w:val="0"/>
        </w:rPr>
      </w:r>
    </w:p>
    <w:p w:rsidR="00000000" w:rsidDel="00000000" w:rsidP="00000000" w:rsidRDefault="00000000" w:rsidRPr="00000000" w14:paraId="00000067">
      <w:pPr>
        <w:rPr>
          <w:highlight w:val="yellow"/>
        </w:rPr>
      </w:pPr>
      <w:r w:rsidDel="00000000" w:rsidR="00000000" w:rsidRPr="00000000">
        <w:rPr>
          <w:highlight w:val="yellow"/>
          <w:rtl w:val="0"/>
        </w:rPr>
        <w:t xml:space="preserve">Data in the form of defined relationships as stated in the abstracts were extracted using gpt-4.1-mini guided by a structured prompt system. This system was designed to parse the text and output biomedical relationships as standardized subject-relation-object triples in a JSON format (see appendix for the detailed description and prompt </w:t>
      </w:r>
      <w:r w:rsidDel="00000000" w:rsidR="00000000" w:rsidRPr="00000000">
        <w:rPr>
          <w:highlight w:val="yellow"/>
          <w:rtl w:val="0"/>
        </w:rPr>
        <w:t xml:space="preserve">system</w:t>
      </w:r>
      <w:r w:rsidDel="00000000" w:rsidR="00000000" w:rsidRPr="00000000">
        <w:rPr>
          <w:highlight w:val="yellow"/>
          <w:rtl w:val="0"/>
        </w:rPr>
        <w:t xml:space="preserve">).</w:t>
      </w:r>
    </w:p>
    <w:p w:rsidR="00000000" w:rsidDel="00000000" w:rsidP="00000000" w:rsidRDefault="00000000" w:rsidRPr="00000000" w14:paraId="00000068">
      <w:pPr>
        <w:rPr>
          <w:highlight w:val="yellow"/>
        </w:rPr>
      </w:pPr>
      <w:r w:rsidDel="00000000" w:rsidR="00000000" w:rsidRPr="00000000">
        <w:rPr>
          <w:highlight w:val="yellow"/>
          <w:rtl w:val="0"/>
        </w:rPr>
        <w:t xml:space="preserve">This automated approach facilitated the systematic and reproducible extraction of structured data. </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t xml:space="preserve">Pathway Embedding and Vectorization</w:t>
      </w:r>
    </w:p>
    <w:p w:rsidR="00000000" w:rsidDel="00000000" w:rsidP="00000000" w:rsidRDefault="00000000" w:rsidRPr="00000000" w14:paraId="0000006A">
      <w:pPr>
        <w:spacing w:after="240" w:before="240" w:lineRule="auto"/>
        <w:rPr>
          <w:highlight w:val="yellow"/>
        </w:rPr>
      </w:pPr>
      <w:r w:rsidDel="00000000" w:rsidR="00000000" w:rsidRPr="00000000">
        <w:rPr>
          <w:highlight w:val="yellow"/>
          <w:rtl w:val="0"/>
        </w:rPr>
        <w:t xml:space="preserve">The extracted pathway triples were projected into a semantic embedding space using LLM–based embeddings. Four pre-trained biomedical sentence-transformer models were independently used to create the embeddings: SapBERT </w:t>
      </w:r>
      <w:hyperlink r:id="rId29">
        <w:r w:rsidDel="00000000" w:rsidR="00000000" w:rsidRPr="00000000">
          <w:rPr>
            <w:color w:val="000000"/>
            <w:highlight w:val="yellow"/>
            <w:u w:val="none"/>
            <w:rtl w:val="0"/>
          </w:rPr>
          <w:t xml:space="preserve">[20]</w:t>
        </w:r>
      </w:hyperlink>
      <w:r w:rsidDel="00000000" w:rsidR="00000000" w:rsidRPr="00000000">
        <w:rPr>
          <w:highlight w:val="yellow"/>
          <w:rtl w:val="0"/>
        </w:rPr>
        <w:t xml:space="preserve">, MedEmbed-large-v0.1 </w:t>
      </w:r>
      <w:hyperlink r:id="rId30">
        <w:r w:rsidDel="00000000" w:rsidR="00000000" w:rsidRPr="00000000">
          <w:rPr>
            <w:color w:val="000000"/>
            <w:highlight w:val="yellow"/>
            <w:u w:val="none"/>
            <w:rtl w:val="0"/>
          </w:rPr>
          <w:t xml:space="preserve">[21]</w:t>
        </w:r>
      </w:hyperlink>
      <w:r w:rsidDel="00000000" w:rsidR="00000000" w:rsidRPr="00000000">
        <w:rPr>
          <w:highlight w:val="yellow"/>
          <w:rtl w:val="0"/>
        </w:rPr>
        <w:t xml:space="preserve">, Text-embedding-3-large </w:t>
      </w:r>
      <w:hyperlink r:id="rId31">
        <w:r w:rsidDel="00000000" w:rsidR="00000000" w:rsidRPr="00000000">
          <w:rPr>
            <w:color w:val="000000"/>
            <w:highlight w:val="yellow"/>
            <w:u w:val="none"/>
            <w:rtl w:val="0"/>
          </w:rPr>
          <w:t xml:space="preserve">[22]</w:t>
        </w:r>
      </w:hyperlink>
      <w:r w:rsidDel="00000000" w:rsidR="00000000" w:rsidRPr="00000000">
        <w:rPr>
          <w:highlight w:val="yellow"/>
          <w:rtl w:val="0"/>
        </w:rPr>
        <w:t xml:space="preserve">, and BiomedNLP-KRISSBERT-PubMed-UMLS-EL </w:t>
      </w:r>
      <w:hyperlink r:id="rId32">
        <w:r w:rsidDel="00000000" w:rsidR="00000000" w:rsidRPr="00000000">
          <w:rPr>
            <w:color w:val="000000"/>
            <w:highlight w:val="yellow"/>
            <w:u w:val="none"/>
            <w:rtl w:val="0"/>
          </w:rPr>
          <w:t xml:space="preserve">[23]</w:t>
        </w:r>
      </w:hyperlink>
      <w:r w:rsidDel="00000000" w:rsidR="00000000" w:rsidRPr="00000000">
        <w:rPr>
          <w:highlight w:val="yellow"/>
          <w:rtl w:val="0"/>
        </w:rPr>
        <w:t xml:space="preserve">. The resulting embeddings were clustered using the unsupervised density-based algorithm HDBSCAN </w:t>
      </w:r>
      <w:hyperlink r:id="rId33">
        <w:r w:rsidDel="00000000" w:rsidR="00000000" w:rsidRPr="00000000">
          <w:rPr>
            <w:color w:val="000000"/>
            <w:highlight w:val="yellow"/>
            <w:u w:val="none"/>
            <w:rtl w:val="0"/>
          </w:rPr>
          <w:t xml:space="preserve">[24]</w:t>
        </w:r>
      </w:hyperlink>
      <w:r w:rsidDel="00000000" w:rsidR="00000000" w:rsidRPr="00000000">
        <w:rPr>
          <w:highlight w:val="yellow"/>
          <w:rtl w:val="0"/>
        </w:rPr>
        <w:t xml:space="preserve">. The </w:t>
      </w:r>
      <w:r w:rsidDel="00000000" w:rsidR="00000000" w:rsidRPr="00000000">
        <w:rPr>
          <w:highlight w:val="yellow"/>
          <w:rtl w:val="0"/>
        </w:rPr>
        <w:t xml:space="preserve">performance</w:t>
      </w:r>
      <w:r w:rsidDel="00000000" w:rsidR="00000000" w:rsidRPr="00000000">
        <w:rPr>
          <w:highlight w:val="yellow"/>
          <w:rtl w:val="0"/>
        </w:rPr>
        <w:t xml:space="preserve"> of each model in creating the embeddings was assessed using the Noise Ratio (NR) and Silhouette Coefficient (SC) metrics (see Appendix for the equations). </w:t>
      </w:r>
    </w:p>
    <w:p w:rsidR="00000000" w:rsidDel="00000000" w:rsidP="00000000" w:rsidRDefault="00000000" w:rsidRPr="00000000" w14:paraId="0000006B">
      <w:pPr>
        <w:spacing w:after="240" w:before="240" w:lineRule="auto"/>
        <w:rPr/>
      </w:pPr>
      <w:r w:rsidDel="00000000" w:rsidR="00000000" w:rsidRPr="00000000">
        <w:rPr>
          <w:rtl w:val="0"/>
        </w:rPr>
        <w:t xml:space="preserve">Sentence-transformer models such as SapBERT produce dense vector representations with several hundred to over a thousand dimensions. At this scale, density-based clustering algorithms such as HDBSCAN are susceptible to the problem of “curse of dimensionality”: as dimensionality increases, the volume of the embedding space grows so rapidly that pairwise distances become increasingly uniform, eroding the density contrasts that HDBSCAN relates on to identify clusters and distinguish them from noise </w:t>
      </w:r>
      <w:hyperlink r:id="rId34">
        <w:r w:rsidDel="00000000" w:rsidR="00000000" w:rsidRPr="00000000">
          <w:rPr>
            <w:color w:val="000000"/>
            <w:u w:val="none"/>
            <w:rtl w:val="0"/>
          </w:rPr>
          <w:t xml:space="preserve">[25]</w:t>
        </w:r>
      </w:hyperlink>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This problem is well-established in the document and text-embedding clustering literature, where high-dimensional sentence-transformer outputs routinely produce excessive noise classification rates or fragmented cluster structures when fed directly into density-based algorithms without prior reduction </w:t>
      </w:r>
      <w:hyperlink r:id="rId35">
        <w:r w:rsidDel="00000000" w:rsidR="00000000" w:rsidRPr="00000000">
          <w:rPr>
            <w:color w:val="000000"/>
            <w:u w:val="none"/>
            <w:rtl w:val="0"/>
          </w:rPr>
          <w:t xml:space="preserve">[26]</w:t>
        </w:r>
      </w:hyperlink>
      <w:r w:rsidDel="00000000" w:rsidR="00000000" w:rsidRPr="00000000">
        <w:rPr>
          <w:rtl w:val="0"/>
        </w:rPr>
        <w:t xml:space="preserve">. </w:t>
      </w:r>
      <w:r w:rsidDel="00000000" w:rsidR="00000000" w:rsidRPr="00000000">
        <w:rPr>
          <w:rtl w:val="0"/>
        </w:rPr>
        <w:t xml:space="preserve">For effective semantic clustering of high-dimensional biomedical embeddings, we therefore applied dimensionality reduction. </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Dimensionality reduction serves two complementary roles before clustering: first, it suppresses low-variance dimensions that carry little semantic signal, acting as a denoising step analogous to what has been demonstrated in single-cell RNA-sequencing manifold analyzes </w:t>
      </w:r>
      <w:hyperlink r:id="rId36">
        <w:r w:rsidDel="00000000" w:rsidR="00000000" w:rsidRPr="00000000">
          <w:rPr>
            <w:color w:val="000000"/>
            <w:u w:val="none"/>
            <w:rtl w:val="0"/>
          </w:rPr>
          <w:t xml:space="preserve">[27]</w:t>
        </w:r>
      </w:hyperlink>
      <w:r w:rsidDel="00000000" w:rsidR="00000000" w:rsidRPr="00000000">
        <w:rPr>
          <w:rtl w:val="0"/>
        </w:rPr>
        <w:t xml:space="preserve">, and second, it compresses the embedding space into a geometry where meaningful density differences are recoverable by HDBSCAN.</w:t>
      </w:r>
    </w:p>
    <w:p w:rsidR="00000000" w:rsidDel="00000000" w:rsidP="00000000" w:rsidRDefault="00000000" w:rsidRPr="00000000" w14:paraId="0000006E">
      <w:pPr>
        <w:spacing w:after="240" w:before="240" w:lineRule="auto"/>
        <w:rPr/>
      </w:pPr>
      <w:r w:rsidDel="00000000" w:rsidR="00000000" w:rsidRPr="00000000">
        <w:rPr>
          <w:rtl w:val="0"/>
        </w:rPr>
        <w:t xml:space="preserve">A sequential </w:t>
      </w:r>
      <w:r w:rsidDel="00000000" w:rsidR="00000000" w:rsidRPr="00000000">
        <w:rPr>
          <w:rtl w:val="0"/>
        </w:rPr>
        <w:t xml:space="preserve">Principal Component Analysis (PCA) then Uniform Manifold Approximation and Projection (UMAP)</w:t>
      </w:r>
      <w:r w:rsidDel="00000000" w:rsidR="00000000" w:rsidRPr="00000000">
        <w:rPr>
          <w:rtl w:val="0"/>
        </w:rPr>
        <w:t xml:space="preserve"> strategy has emerged as the empirically preferred pipeline for this purpose. PCA, as a linear global-structure method, efficiently removes axes of near-zero variance and random noise while retaining the principal axes of semantic variation; restricting it to components explaining no more than 80% of total variance ensures that the retained subspace is informationally dense while discarding noise dimensions. However, PCA alone is insufficient for clustering because it cannot capture the nonlinear, manifold-level structure of biomedical semantic spaces, and feeding PCA-reduced embeddings directly into HDBSCAN has been shown to cause high noise-classification rates due to PCA's global-structure focus </w:t>
      </w:r>
      <w:hyperlink r:id="rId37">
        <w:r w:rsidDel="00000000" w:rsidR="00000000" w:rsidRPr="00000000">
          <w:rPr>
            <w:color w:val="000000"/>
            <w:u w:val="none"/>
            <w:rtl w:val="0"/>
          </w:rPr>
          <w:t xml:space="preserve">[26]</w:t>
        </w:r>
      </w:hyperlink>
      <w:r w:rsidDel="00000000" w:rsidR="00000000" w:rsidRPr="00000000">
        <w:rPr>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UMAP introduced by </w:t>
      </w:r>
      <w:r w:rsidDel="00000000" w:rsidR="00000000" w:rsidRPr="00000000">
        <w:rPr>
          <w:rtl w:val="0"/>
        </w:rPr>
        <w:t xml:space="preserve">McInnes et al. 2018</w:t>
      </w:r>
      <w:r w:rsidDel="00000000" w:rsidR="00000000" w:rsidRPr="00000000">
        <w:rPr>
          <w:rtl w:val="0"/>
        </w:rPr>
        <w:t xml:space="preserve">, by contrast, is a manifold-learning algorithm grounded in Riemannian geometry and algebraic topology that balances preservation of both local neighborhood structure and global topology </w:t>
      </w:r>
      <w:hyperlink r:id="rId38">
        <w:r w:rsidDel="00000000" w:rsidR="00000000" w:rsidRPr="00000000">
          <w:rPr>
            <w:color w:val="000000"/>
            <w:u w:val="none"/>
            <w:rtl w:val="0"/>
          </w:rPr>
          <w:t xml:space="preserve">[28]</w:t>
        </w:r>
      </w:hyperlink>
      <w:r w:rsidDel="00000000" w:rsidR="00000000" w:rsidRPr="00000000">
        <w:rPr>
          <w:rtl w:val="0"/>
        </w:rPr>
        <w:t xml:space="preserve">,</w:t>
      </w:r>
      <w:r w:rsidDel="00000000" w:rsidR="00000000" w:rsidRPr="00000000">
        <w:rPr>
          <w:rtl w:val="0"/>
        </w:rPr>
        <w:t xml:space="preserve"> making it well-suited to organizing semantically similar biomedical pathways into compact, separable clusters. </w:t>
      </w:r>
    </w:p>
    <w:p w:rsidR="00000000" w:rsidDel="00000000" w:rsidP="00000000" w:rsidRDefault="00000000" w:rsidRPr="00000000" w14:paraId="00000070">
      <w:pPr>
        <w:spacing w:after="240" w:before="240" w:lineRule="auto"/>
        <w:rPr/>
      </w:pPr>
      <w:r w:rsidDel="00000000" w:rsidR="00000000" w:rsidRPr="00000000">
        <w:rPr>
          <w:rtl w:val="0"/>
        </w:rPr>
        <w:t xml:space="preserve">For visualization, the same pipeline was used with UMAP reduced to two dimensions, enabling projection of the semantic space into 2D for plotting (</w:t>
      </w:r>
      <w:r w:rsidDel="00000000" w:rsidR="00000000" w:rsidRPr="00000000">
        <w:rPr>
          <w:b w:val="1"/>
          <w:bCs w:val="1"/>
          <w:rtl w:val="0"/>
        </w:rPr>
        <w:t xml:space="preserve">Figures 3 and 4</w:t>
      </w:r>
      <w:r w:rsidDel="00000000" w:rsidR="00000000" w:rsidRPr="00000000">
        <w:rPr>
          <w:rtl w:val="0"/>
        </w:rPr>
        <w:t xml:space="preserve">). UMAP was employed to reduce dimensionality while preserving the underlying data structure following PCA.</w:t>
      </w:r>
    </w:p>
    <w:p w:rsidR="00000000" w:rsidDel="00000000" w:rsidP="00000000" w:rsidRDefault="00000000" w:rsidRPr="00000000" w14:paraId="00000071">
      <w:pPr>
        <w:keepNext w:val="0"/>
        <w:keepLines w:val="0"/>
        <w:rPr>
          <w:b w:val="1"/>
          <w:bCs w:val="1"/>
        </w:rPr>
      </w:pPr>
      <w:r w:rsidDel="00000000" w:rsidR="00000000" w:rsidRPr="00000000">
        <w:rPr>
          <w:b w:val="1"/>
          <w:bCs w:val="1"/>
          <w:rtl w:val="0"/>
        </w:rPr>
        <w:t xml:space="preserve">Data Analysis and Visualization</w:t>
      </w:r>
    </w:p>
    <w:p w:rsidR="00000000" w:rsidDel="00000000" w:rsidP="00000000" w:rsidRDefault="00000000" w:rsidRPr="00000000" w14:paraId="00000072">
      <w:pPr>
        <w:spacing w:after="240" w:before="240" w:lineRule="auto"/>
        <w:rPr/>
      </w:pPr>
      <w:r w:rsidDel="00000000" w:rsidR="00000000" w:rsidRPr="00000000">
        <w:rPr>
          <w:rtl w:val="0"/>
        </w:rPr>
        <w:t xml:space="preserve">Clusters were visualized using two-dimensional UMAP projections and summarized through word-frequency representations, followed by qualitative assessment of their scientific relevance. All clustering outputs and constructed disease network was stored in using a standardized JSON schema containing graph metadata, nodes, and edges with traceable references and made available for interactive visualization through a light-weight html application (see supplementary - DAG Visualizer). </w:t>
      </w:r>
    </w:p>
    <w:p w:rsidR="00000000" w:rsidDel="00000000" w:rsidP="00000000" w:rsidRDefault="00000000" w:rsidRPr="00000000" w14:paraId="00000073">
      <w:pPr>
        <w:spacing w:after="240" w:before="240" w:lineRule="auto"/>
        <w:rPr/>
      </w:pPr>
      <w:r w:rsidDel="00000000" w:rsidR="00000000" w:rsidRPr="00000000">
        <w:rPr>
          <w:rtl w:val="0"/>
        </w:rPr>
        <w:t xml:space="preserve">To support interpretation of cluster-level evidence, we developed an interactive visual knowledge library for all identified clusters. Cluster contents were synthesized into structured evidence summaries using an </w:t>
      </w:r>
      <w:commentRangeStart w:id="0"/>
      <w:r w:rsidDel="00000000" w:rsidR="00000000" w:rsidRPr="00000000">
        <w:rPr>
          <w:rtl w:val="0"/>
        </w:rPr>
        <w:t xml:space="preserve">LLM</w:t>
      </w:r>
      <w:commentRangeEnd w:id="0"/>
      <w:r w:rsidDel="00000000" w:rsidR="00000000" w:rsidRPr="00000000">
        <w:commentReference w:id="0"/>
      </w:r>
      <w:r w:rsidDel="00000000" w:rsidR="00000000" w:rsidRPr="00000000">
        <w:rPr>
          <w:rtl w:val="0"/>
        </w:rPr>
        <w:t xml:space="preserve"> (</w:t>
      </w:r>
      <w:r w:rsidDel="00000000" w:rsidR="00000000" w:rsidRPr="00000000">
        <w:rPr>
          <w:rFonts w:ascii="Roboto Mono" w:cs="Roboto Mono" w:eastAsia="Roboto Mono" w:hAnsi="Roboto Mono"/>
          <w:color w:val="202124"/>
          <w:rtl w:val="0"/>
        </w:rPr>
        <w:t xml:space="preserve">gemini-2.5-pro</w:t>
      </w:r>
      <w:r w:rsidDel="00000000" w:rsidR="00000000" w:rsidRPr="00000000">
        <w:rPr>
          <w:rtl w:val="0"/>
        </w:rPr>
        <w:t xml:space="preserve">) , transformed into scientific illustration plans, and rendered as pathway-level visualizations. Each visual component, including nodes and causal relationships, was linked to its corresponding network element and source reference, ensuring full traceability, transparent validation, and iterative refinement by the user.</w:t>
      </w:r>
      <w:r w:rsidDel="00000000" w:rsidR="00000000" w:rsidRPr="00000000">
        <w:rPr>
          <w:rtl w:val="0"/>
        </w:rPr>
      </w:r>
    </w:p>
    <w:p w:rsidR="00000000" w:rsidDel="00000000" w:rsidP="00000000" w:rsidRDefault="00000000" w:rsidRPr="00000000" w14:paraId="00000074">
      <w:pPr>
        <w:widowControl w:val="0"/>
        <w:pBdr>
          <w:top w:color="auto" w:space="0" w:sz="0" w:val="none"/>
          <w:bottom w:color="auto" w:space="0" w:sz="0" w:val="none"/>
          <w:between w:color="auto" w:space="0" w:sz="0" w:val="none"/>
        </w:pBdr>
        <w:spacing w:after="240" w:before="240" w:line="276" w:lineRule="auto"/>
        <w:rPr/>
      </w:pPr>
      <w:r w:rsidDel="00000000" w:rsidR="00000000" w:rsidRPr="00000000">
        <w:rPr>
          <w:rtl w:val="0"/>
        </w:rPr>
      </w:r>
    </w:p>
    <w:p w:rsidR="00000000" w:rsidDel="00000000" w:rsidP="00000000" w:rsidRDefault="00000000" w:rsidRPr="00000000" w14:paraId="00000075">
      <w:pPr>
        <w:pStyle w:val="Heading3"/>
        <w:widowControl w:val="0"/>
        <w:pBdr>
          <w:top w:color="auto" w:space="0" w:sz="0" w:val="none"/>
          <w:bottom w:color="auto" w:space="0" w:sz="0" w:val="none"/>
          <w:between w:color="auto" w:space="0" w:sz="0" w:val="none"/>
        </w:pBdr>
        <w:spacing w:after="240" w:before="240" w:line="276" w:lineRule="auto"/>
        <w:rPr>
          <w:b w:val="1"/>
          <w:bCs w:val="1"/>
        </w:rPr>
      </w:pPr>
      <w:bookmarkStart w:colFirst="0" w:colLast="0" w:name="_fg1ipkfs4oeg" w:id="2"/>
      <w:bookmarkEnd w:id="2"/>
      <w:r w:rsidDel="00000000" w:rsidR="00000000" w:rsidRPr="00000000">
        <w:rPr>
          <w:b w:val="1"/>
          <w:bCs w:val="1"/>
          <w:rtl w:val="0"/>
        </w:rPr>
        <w:t xml:space="preserve">Results</w:t>
      </w:r>
    </w:p>
    <w:p w:rsidR="00000000" w:rsidDel="00000000" w:rsidP="00000000" w:rsidRDefault="00000000" w:rsidRPr="00000000" w14:paraId="00000076">
      <w:pPr>
        <w:spacing w:after="240" w:before="240" w:lineRule="auto"/>
        <w:rPr/>
      </w:pPr>
      <w:r w:rsidDel="00000000" w:rsidR="00000000" w:rsidRPr="00000000">
        <w:rPr>
          <w:rtl w:val="0"/>
        </w:rPr>
        <w:t xml:space="preserve">The search query identified 1,347 potentially relevant articles of which the initial automated screening narrowed the selection to 631 clinical and 412 preclinical relevant articles. Further human-reviewer screening and conflict solving resulted in 425 clinical and 398 preclinical, relevant abstracts.</w:t>
      </w:r>
    </w:p>
    <w:p w:rsidR="00000000" w:rsidDel="00000000" w:rsidP="00000000" w:rsidRDefault="00000000" w:rsidRPr="00000000" w14:paraId="00000077">
      <w:pPr>
        <w:spacing w:after="240" w:before="240" w:lineRule="auto"/>
        <w:rPr/>
      </w:pPr>
      <w:r w:rsidDel="00000000" w:rsidR="00000000" w:rsidRPr="00000000">
        <w:rPr>
          <w:rtl w:val="0"/>
        </w:rPr>
        <w:t xml:space="preserve">Among the evaluated models, SapBERT achieved the lowest NR and highest SC, demonstrating the best clustering performance (</w:t>
      </w:r>
      <w:r w:rsidDel="00000000" w:rsidR="00000000" w:rsidRPr="00000000">
        <w:rPr>
          <w:b w:val="1"/>
          <w:bCs w:val="1"/>
          <w:rtl w:val="0"/>
        </w:rPr>
        <w:t xml:space="preserve">Table 1</w:t>
      </w:r>
      <w:r w:rsidDel="00000000" w:rsidR="00000000" w:rsidRPr="00000000">
        <w:rPr>
          <w:rtl w:val="0"/>
        </w:rPr>
        <w:t xml:space="preserve">). For all embedding models, the best performance was consistently obtained by first applying PCA while retaining components explaining 80% of the variance, followed by UMAP dimensionality reduction to 15 dimensions before HDBSCAN clustering (</w:t>
      </w:r>
      <w:r w:rsidDel="00000000" w:rsidR="00000000" w:rsidRPr="00000000">
        <w:rPr>
          <w:b w:val="1"/>
          <w:bCs w:val="1"/>
          <w:rtl w:val="0"/>
        </w:rPr>
        <w:t xml:space="preserve">Table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constructed disease network revealed a multiscale and temporally evolving pathophysiological cascade linking TBI to chronic neurodegeneration, characterized by the dynamic interaction of mechanical injury, vascular dysfunction, metabolic disturbances, neuroinflammation, and proteostatic failure (</w:t>
      </w:r>
      <w:r w:rsidDel="00000000" w:rsidR="00000000" w:rsidRPr="00000000">
        <w:rPr>
          <w:b w:val="1"/>
          <w:bCs w:val="1"/>
          <w:rtl w:val="0"/>
        </w:rPr>
        <w:t xml:space="preserve">Figure 2</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HDBSCAN identified 67 semantically distinct clusters within the clinical literature and 59 within the preclinical literature (</w:t>
      </w:r>
      <w:r w:rsidDel="00000000" w:rsidR="00000000" w:rsidRPr="00000000">
        <w:rPr>
          <w:b w:val="1"/>
          <w:bCs w:val="1"/>
          <w:rtl w:val="0"/>
        </w:rPr>
        <w:t xml:space="preserve">Tables 3 and 4</w:t>
      </w:r>
      <w:r w:rsidDel="00000000" w:rsidR="00000000" w:rsidRPr="00000000">
        <w:rPr>
          <w:rtl w:val="0"/>
        </w:rPr>
        <w:t xml:space="preserve">). Qualitative assessment demonstrated that each cluster captured a coherent and biologically meaningful component of the disease process. Collectively, these clusters reconstructed complementary aspects of the TBI-to-NDD theory and were integrated into a unified mechanistic pathway encompassing the major pathological phases identified across the literature (</w:t>
      </w:r>
      <w:r w:rsidDel="00000000" w:rsidR="00000000" w:rsidRPr="00000000">
        <w:rPr>
          <w:b w:val="1"/>
          <w:bCs w:val="1"/>
          <w:rtl w:val="0"/>
        </w:rPr>
        <w:t xml:space="preserve">Figures 2–12</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commentRangeStart w:id="1"/>
      <w:commentRangeStart w:id="2"/>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238500"/>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C">
      <w:pPr>
        <w:spacing w:after="240" w:before="240" w:lineRule="auto"/>
        <w:rPr>
          <w:sz w:val="18"/>
          <w:szCs w:val="18"/>
        </w:rPr>
      </w:pPr>
      <w:r w:rsidDel="00000000" w:rsidR="00000000" w:rsidRPr="00000000">
        <w:rPr>
          <w:sz w:val="18"/>
          <w:szCs w:val="18"/>
          <w:rtl w:val="0"/>
        </w:rPr>
        <w:t xml:space="preserve">Figure 2: Integrated mechanistic pathways of the disease model constructed by BioClaritas system; It shows a multiscale cascade with extensive cross-pathway amplification that starts with the TBI as an initiator: neuroinflammation enhances proteinopathy; proteinopathy drives further inflammation; metabolic crisis amplifies oxidative stress; oxidative stress promotes ferroptosis and cell death; cell death releases DAMPs that perpetuate the inflammatory cycle; glymphatic failure allows waste accumulation that sustains proteinopathy; and sleep disruption worsens glymphatic dysfunction bidirectionally. Biomarkers spanning this cascade include serum NEFL (axonal injury), GFAP (astrocytic damage), UCHL1, NSE, S100B, inflammatory markers IL-6 and CCL11, kynurenine pathway metabolites, and circulating microRNAs miR-21, miR-146a, miR-155. Genetic modifiers — primarily APOE4 and TMEM106B — and environmental factors (repetitive impacts, blast, age, sex, metabolic comorbidities) determine individual vulnerability and shape outcomes across all six pathological phases.</w:t>
      </w:r>
    </w:p>
    <w:p w:rsidR="00000000" w:rsidDel="00000000" w:rsidP="00000000" w:rsidRDefault="00000000" w:rsidRPr="00000000" w14:paraId="0000007D">
      <w:pPr>
        <w:spacing w:after="100" w:before="180" w:line="276" w:lineRule="auto"/>
        <w:rPr/>
      </w:pPr>
      <w:r w:rsidDel="00000000" w:rsidR="00000000" w:rsidRPr="00000000">
        <w:rPr>
          <w:rtl w:val="0"/>
        </w:rPr>
      </w:r>
    </w:p>
    <w:p w:rsidR="00000000" w:rsidDel="00000000" w:rsidP="00000000" w:rsidRDefault="00000000" w:rsidRPr="00000000" w14:paraId="0000007E">
      <w:pPr>
        <w:keepNext w:val="0"/>
        <w:keepLines w:val="0"/>
        <w:spacing w:before="280" w:line="240" w:lineRule="auto"/>
        <w:rPr>
          <w:b w:val="1"/>
          <w:bCs w:val="1"/>
        </w:rPr>
      </w:pPr>
      <w:r w:rsidDel="00000000" w:rsidR="00000000" w:rsidRPr="00000000">
        <w:rPr>
          <w:b w:val="1"/>
          <w:bCs w:val="1"/>
          <w:rtl w:val="0"/>
        </w:rPr>
        <w:t xml:space="preserve">Synthesized Knowledge of TBI-NDD Disease Theory:</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following represents the generated, synthesized evidence summary created by the Bioclaritas system:</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82">
            <w:pPr>
              <w:keepNext w:val="0"/>
              <w:keepLines w:val="0"/>
              <w:spacing w:after="80" w:line="276" w:lineRule="auto"/>
              <w:rPr>
                <w:b w:val="1"/>
                <w:bCs w:val="1"/>
                <w:highlight w:val="yellow"/>
              </w:rPr>
            </w:pPr>
            <w:r w:rsidDel="00000000" w:rsidR="00000000" w:rsidRPr="00000000">
              <w:rPr>
                <w:b w:val="1"/>
                <w:bCs w:val="1"/>
                <w:highlight w:val="yellow"/>
                <w:rtl w:val="0"/>
              </w:rPr>
              <w:t xml:space="preserve">I. Primary Injury &amp; Immediate Mechanical Disruption</w:t>
            </w:r>
            <w:r w:rsidDel="00000000" w:rsidR="00000000" w:rsidRPr="00000000">
              <w:rPr>
                <w:rtl w:val="0"/>
              </w:rPr>
            </w:r>
          </w:p>
          <w:p w:rsidR="00000000" w:rsidDel="00000000" w:rsidP="00000000" w:rsidRDefault="00000000" w:rsidRPr="00000000" w14:paraId="00000083">
            <w:pPr>
              <w:keepNext w:val="0"/>
              <w:keepLines w:val="0"/>
              <w:numPr>
                <w:ilvl w:val="0"/>
                <w:numId w:val="1"/>
              </w:numPr>
              <w:spacing w:before="280" w:line="276" w:lineRule="auto"/>
              <w:ind w:left="720" w:hanging="360"/>
              <w:rPr>
                <w:b w:val="1"/>
                <w:bCs w:val="1"/>
                <w:i w:val="1"/>
                <w:iCs w:val="1"/>
                <w:highlight w:val="yellow"/>
              </w:rPr>
            </w:pPr>
            <w:r w:rsidDel="00000000" w:rsidR="00000000" w:rsidRPr="00000000">
              <w:rPr>
                <w:b w:val="1"/>
                <w:bCs w:val="1"/>
                <w:i w:val="1"/>
                <w:iCs w:val="1"/>
                <w:highlight w:val="yellow"/>
                <w:rtl w:val="0"/>
              </w:rPr>
              <w:t xml:space="preserve">Biomechanical Forces and Structural Failure</w:t>
            </w:r>
          </w:p>
          <w:p w:rsidR="00000000" w:rsidDel="00000000" w:rsidP="00000000" w:rsidRDefault="00000000" w:rsidRPr="00000000" w14:paraId="00000084">
            <w:pPr>
              <w:spacing w:after="240" w:before="240" w:line="276" w:lineRule="auto"/>
              <w:ind w:left="720" w:firstLine="0"/>
              <w:rPr>
                <w:highlight w:val="yellow"/>
              </w:rPr>
            </w:pPr>
            <w:r w:rsidDel="00000000" w:rsidR="00000000" w:rsidRPr="00000000">
              <w:rPr>
                <w:highlight w:val="yellow"/>
                <w:rtl w:val="0"/>
              </w:rPr>
              <w:t xml:space="preserve">Rotational acceleration and angular strain are transmitted through brain tissue at grey-white matter junctions, producing Diffuse Axonal Injury (DAI). This could be quantified by diffusion tensor imaging, which reveals reduced Fractional Anisotropy (FA) and elevated Mean Diffusivity (MD), Axial Diffusivity (AD), and Radial Diffusivity (RD). Structures that are more vulnerable include the corpus callosum, thalamus, and hippocampus. </w:t>
            </w:r>
          </w:p>
          <w:p w:rsidR="00000000" w:rsidDel="00000000" w:rsidP="00000000" w:rsidRDefault="00000000" w:rsidRPr="00000000" w14:paraId="00000085">
            <w:pPr>
              <w:keepNext w:val="0"/>
              <w:keepLines w:val="0"/>
              <w:numPr>
                <w:ilvl w:val="0"/>
                <w:numId w:val="26"/>
              </w:numPr>
              <w:spacing w:before="280" w:line="276" w:lineRule="auto"/>
              <w:ind w:left="720" w:hanging="360"/>
              <w:rPr>
                <w:b w:val="1"/>
                <w:bCs w:val="1"/>
                <w:i w:val="1"/>
                <w:iCs w:val="1"/>
              </w:rPr>
            </w:pPr>
            <w:r w:rsidDel="00000000" w:rsidR="00000000" w:rsidRPr="00000000">
              <w:rPr>
                <w:b w:val="1"/>
                <w:bCs w:val="1"/>
                <w:i w:val="1"/>
                <w:iCs w:val="1"/>
                <w:rtl w:val="0"/>
              </w:rPr>
              <w:t xml:space="preserve">Calcium Dysregulation and Calpain Activation</w:t>
            </w:r>
          </w:p>
          <w:p w:rsidR="00000000" w:rsidDel="00000000" w:rsidP="00000000" w:rsidRDefault="00000000" w:rsidRPr="00000000" w14:paraId="00000086">
            <w:pPr>
              <w:spacing w:after="240" w:before="240" w:line="276" w:lineRule="auto"/>
              <w:ind w:left="720" w:firstLine="0"/>
              <w:rPr>
                <w:highlight w:val="yellow"/>
              </w:rPr>
            </w:pPr>
            <w:r w:rsidDel="00000000" w:rsidR="00000000" w:rsidRPr="00000000">
              <w:rPr>
                <w:rtl w:val="0"/>
              </w:rPr>
              <w:t xml:space="preserve">Membrane rupture, voltage-gated channel activation, and NMDA receptor stimulation from glutamate release collapse the normal Ca²⁺ gradient. Elevated cytoplasmic calcium activates CAPN1 (calpain-1/μ-calpain) and CAPN2 (calpain-2/m-calpain), which cleave cytoskeletal proteins including</w:t>
            </w:r>
            <w:r w:rsidDel="00000000" w:rsidR="00000000" w:rsidRPr="00000000">
              <w:rPr>
                <w:highlight w:val="yellow"/>
                <w:rtl w:val="0"/>
              </w:rPr>
              <w:t xml:space="preserve"> α-spectrin and β-spectrin, generating spectrin breakdown products (SBDPs) as biomarkers. Additional substrates include microtubule-associated proteins and neurofilament proteins. Endogenous inhibition is provided by CAST (calpastatin). Therapeutic calpain inhibitors NA-184 and NA-101 attenuate proteolytic damage in preclinical models.</w:t>
            </w:r>
          </w:p>
          <w:p w:rsidR="00000000" w:rsidDel="00000000" w:rsidP="00000000" w:rsidRDefault="00000000" w:rsidRPr="00000000" w14:paraId="00000087">
            <w:pPr>
              <w:keepNext w:val="0"/>
              <w:keepLines w:val="0"/>
              <w:numPr>
                <w:ilvl w:val="0"/>
                <w:numId w:val="3"/>
              </w:numPr>
              <w:spacing w:before="280" w:line="276" w:lineRule="auto"/>
              <w:ind w:left="720" w:hanging="360"/>
              <w:rPr>
                <w:b w:val="1"/>
                <w:bCs w:val="1"/>
                <w:i w:val="1"/>
                <w:iCs w:val="1"/>
              </w:rPr>
            </w:pPr>
            <w:r w:rsidDel="00000000" w:rsidR="00000000" w:rsidRPr="00000000">
              <w:rPr>
                <w:b w:val="1"/>
                <w:bCs w:val="1"/>
                <w:i w:val="1"/>
                <w:iCs w:val="1"/>
                <w:rtl w:val="0"/>
              </w:rPr>
              <w:t xml:space="preserve">Nuclear Pore Complex Disruption and TDP-43 Pathology</w:t>
            </w:r>
          </w:p>
          <w:p w:rsidR="00000000" w:rsidDel="00000000" w:rsidP="00000000" w:rsidRDefault="00000000" w:rsidRPr="00000000" w14:paraId="00000088">
            <w:pPr>
              <w:spacing w:after="240" w:before="240" w:line="276" w:lineRule="auto"/>
              <w:ind w:left="720" w:firstLine="0"/>
              <w:rPr>
                <w:highlight w:val="yellow"/>
              </w:rPr>
            </w:pPr>
            <w:r w:rsidDel="00000000" w:rsidR="00000000" w:rsidRPr="00000000">
              <w:rPr>
                <w:highlight w:val="yellow"/>
                <w:rtl w:val="0"/>
              </w:rPr>
              <w:t xml:space="preserve">Mechanical trauma damages NUP62 (nucleoporin 62), a central component of the ~120 MDa nuclear pore complex, disrupting bidirectional nucleocytoplasmic transport. This causes TDP-43 (TAR DNA-binding protein 43, gene TARDBP) to mislocalize from the nucleus into the cytoplasm, where it undergoes pathological phosphorylation, ubiquitination, and proteolytic cleavage into insoluble C-terminal aggregates. This directly links TBI to frontotemporal dementia (FTD) and amyotrophic lateral sclerosis (ALS) proteinopathy.</w:t>
            </w:r>
          </w:p>
          <w:p w:rsidR="00000000" w:rsidDel="00000000" w:rsidP="00000000" w:rsidRDefault="00000000" w:rsidRPr="00000000" w14:paraId="00000089">
            <w:pPr>
              <w:keepNext w:val="0"/>
              <w:keepLines w:val="0"/>
              <w:numPr>
                <w:ilvl w:val="0"/>
                <w:numId w:val="33"/>
              </w:numPr>
              <w:spacing w:before="280" w:line="276" w:lineRule="auto"/>
              <w:ind w:left="720" w:hanging="360"/>
              <w:rPr>
                <w:b w:val="1"/>
                <w:bCs w:val="1"/>
                <w:i w:val="1"/>
                <w:iCs w:val="1"/>
              </w:rPr>
            </w:pPr>
            <w:r w:rsidDel="00000000" w:rsidR="00000000" w:rsidRPr="00000000">
              <w:rPr>
                <w:b w:val="1"/>
                <w:bCs w:val="1"/>
                <w:i w:val="1"/>
                <w:iCs w:val="1"/>
                <w:rtl w:val="0"/>
              </w:rPr>
              <w:t xml:space="preserve">SARM1-Mediated Axonal Degeneration</w:t>
            </w:r>
          </w:p>
          <w:p w:rsidR="00000000" w:rsidDel="00000000" w:rsidP="00000000" w:rsidRDefault="00000000" w:rsidRPr="00000000" w14:paraId="0000008A">
            <w:pPr>
              <w:spacing w:after="240" w:before="240" w:line="276" w:lineRule="auto"/>
              <w:ind w:left="720" w:firstLine="0"/>
              <w:rPr>
                <w:highlight w:val="yellow"/>
              </w:rPr>
            </w:pPr>
            <w:r w:rsidDel="00000000" w:rsidR="00000000" w:rsidRPr="00000000">
              <w:rPr>
                <w:highlight w:val="yellow"/>
                <w:rtl w:val="0"/>
              </w:rPr>
              <w:t xml:space="preserve">Axonal injury activates SARM1 (Sterile Alpha and TIR Motif Containing 1), a NAD⁺ hydrolase that catastrophically depletes cellular NAD⁺, triggering a non-apoptotic axon-specific self-destruction program distinct from classical apoptosis (no caspase activation, no cytochrome c release). This drives axonal beading, fragmentation, and disconnection, producing corpus callosum atrophy, demyelination, and microgliosis. SARM1 knockout mouse model show dramatically reduced axonal degeneration, preserved white matter integrity, and improved functional outcomes, establishing SARM1 as a prime therapeutic target.</w:t>
            </w:r>
          </w:p>
          <w:p w:rsidR="00000000" w:rsidDel="00000000" w:rsidP="00000000" w:rsidRDefault="00000000" w:rsidRPr="00000000" w14:paraId="0000008B">
            <w:pPr>
              <w:keepNext w:val="0"/>
              <w:keepLines w:val="0"/>
              <w:spacing w:after="80" w:line="276" w:lineRule="auto"/>
              <w:rPr>
                <w:b w:val="1"/>
                <w:bCs w:val="1"/>
              </w:rPr>
            </w:pPr>
            <w:r w:rsidDel="00000000" w:rsidR="00000000" w:rsidRPr="00000000">
              <w:rPr>
                <w:b w:val="1"/>
                <w:bCs w:val="1"/>
                <w:rtl w:val="0"/>
              </w:rPr>
              <w:t xml:space="preserve">II. Vascular and Blood-Brain Barrier Compromise</w:t>
            </w:r>
          </w:p>
          <w:p w:rsidR="00000000" w:rsidDel="00000000" w:rsidP="00000000" w:rsidRDefault="00000000" w:rsidRPr="00000000" w14:paraId="0000008C">
            <w:pPr>
              <w:keepNext w:val="0"/>
              <w:keepLines w:val="0"/>
              <w:numPr>
                <w:ilvl w:val="0"/>
                <w:numId w:val="30"/>
              </w:numPr>
              <w:spacing w:before="280" w:line="276" w:lineRule="auto"/>
              <w:ind w:left="720" w:hanging="360"/>
              <w:rPr>
                <w:b w:val="1"/>
                <w:bCs w:val="1"/>
                <w:i w:val="1"/>
                <w:iCs w:val="1"/>
              </w:rPr>
            </w:pPr>
            <w:r w:rsidDel="00000000" w:rsidR="00000000" w:rsidRPr="00000000">
              <w:rPr>
                <w:b w:val="1"/>
                <w:bCs w:val="1"/>
                <w:i w:val="1"/>
                <w:iCs w:val="1"/>
                <w:rtl w:val="0"/>
              </w:rPr>
              <w:t xml:space="preserve">MMP Activation and Barrier Degradation</w:t>
            </w:r>
          </w:p>
          <w:p w:rsidR="00000000" w:rsidDel="00000000" w:rsidP="00000000" w:rsidRDefault="00000000" w:rsidRPr="00000000" w14:paraId="0000008D">
            <w:pPr>
              <w:spacing w:after="240" w:before="240" w:line="276" w:lineRule="auto"/>
              <w:ind w:left="720" w:firstLine="0"/>
              <w:rPr/>
            </w:pPr>
            <w:r w:rsidDel="00000000" w:rsidR="00000000" w:rsidRPr="00000000">
              <w:rPr>
                <w:rtl w:val="0"/>
              </w:rPr>
              <w:t xml:space="preserve">Structural injury activates MMP9 (gelatinase B) and MMP2 (gelatinase A), zinc-dependent endopeptidases that degrade the vascular basement membrane (type IV collagen, laminin, fibronectin) and tight junction proteins occludin, claudins, and ZO proteins. This produces vasogenic edema. BBB disruption is marked by decreased claudin-5 (CLDN5) and mislocalized aquaporin-4 (AQP4). Extravasated fibrinogen activates microglia via CD11b/CD18 (Mac-1), while albumin activates astrocytes via TGF-β receptor signaling, creating a self-perpetuating inflammatory-barrier disruption cycle. Therapeutic agents include beta-blockers and SERPINC1 (antithrombin III).</w:t>
            </w:r>
          </w:p>
          <w:p w:rsidR="00000000" w:rsidDel="00000000" w:rsidP="00000000" w:rsidRDefault="00000000" w:rsidRPr="00000000" w14:paraId="0000008E">
            <w:pPr>
              <w:keepNext w:val="0"/>
              <w:keepLines w:val="0"/>
              <w:numPr>
                <w:ilvl w:val="0"/>
                <w:numId w:val="35"/>
              </w:numPr>
              <w:spacing w:before="280" w:line="276" w:lineRule="auto"/>
              <w:ind w:left="720" w:hanging="360"/>
              <w:rPr>
                <w:b w:val="1"/>
                <w:bCs w:val="1"/>
                <w:i w:val="1"/>
                <w:iCs w:val="1"/>
              </w:rPr>
            </w:pPr>
            <w:r w:rsidDel="00000000" w:rsidR="00000000" w:rsidRPr="00000000">
              <w:rPr>
                <w:b w:val="1"/>
                <w:bCs w:val="1"/>
                <w:i w:val="1"/>
                <w:iCs w:val="1"/>
                <w:rtl w:val="0"/>
              </w:rPr>
              <w:t xml:space="preserve">Cerebrovascular Dysfunction and Hypoperfusion</w:t>
            </w:r>
          </w:p>
          <w:p w:rsidR="00000000" w:rsidDel="00000000" w:rsidP="00000000" w:rsidRDefault="00000000" w:rsidRPr="00000000" w14:paraId="0000008F">
            <w:pPr>
              <w:spacing w:after="240" w:before="240" w:line="276" w:lineRule="auto"/>
              <w:ind w:left="720" w:firstLine="0"/>
              <w:rPr/>
            </w:pPr>
            <w:r w:rsidDel="00000000" w:rsidR="00000000" w:rsidRPr="00000000">
              <w:rPr>
                <w:rtl w:val="0"/>
              </w:rPr>
              <w:t xml:space="preserve">Reduced cerebral blood flow results from edema compression, vasospasm mediated by endothelin-1, and loss of cerebrovascular autoregulation (impaired CO₂ reactivity and neurovascular coupling). Pericyte dysfunction causes capillary constriction and the no-reflow phenomenon. Regional hypoxia stabilizes HIF1A (Hypoxia-Inducible Factor 1-alpha), which heterodimerizes with HIF1B (ARNT) to upregulate glycolysis, angiogenesis, and erythropoiesis genes, but also shifts metabolism toward maladaptive lactate production and ROS generation. Clinical manifestations include subdural hematomas, petechial hemorrhages, cerebral edema, and cerebral amyloid angiopathy (CAA).</w:t>
            </w:r>
          </w:p>
          <w:p w:rsidR="00000000" w:rsidDel="00000000" w:rsidP="00000000" w:rsidRDefault="00000000" w:rsidRPr="00000000" w14:paraId="00000090">
            <w:pPr>
              <w:keepNext w:val="0"/>
              <w:keepLines w:val="0"/>
              <w:numPr>
                <w:ilvl w:val="0"/>
                <w:numId w:val="17"/>
              </w:numPr>
              <w:spacing w:before="280" w:line="276" w:lineRule="auto"/>
              <w:ind w:left="720" w:hanging="360"/>
              <w:rPr>
                <w:b w:val="1"/>
                <w:bCs w:val="1"/>
                <w:i w:val="1"/>
                <w:iCs w:val="1"/>
              </w:rPr>
            </w:pPr>
            <w:r w:rsidDel="00000000" w:rsidR="00000000" w:rsidRPr="00000000">
              <w:rPr>
                <w:b w:val="1"/>
                <w:bCs w:val="1"/>
                <w:i w:val="1"/>
                <w:iCs w:val="1"/>
                <w:rtl w:val="0"/>
              </w:rPr>
              <w:t xml:space="preserve">Glymphatic System Failure</w:t>
            </w:r>
          </w:p>
          <w:p w:rsidR="00000000" w:rsidDel="00000000" w:rsidP="00000000" w:rsidRDefault="00000000" w:rsidRPr="00000000" w14:paraId="00000091">
            <w:pPr>
              <w:spacing w:after="240" w:before="240" w:line="276" w:lineRule="auto"/>
              <w:ind w:left="720" w:firstLine="0"/>
              <w:rPr/>
            </w:pPr>
            <w:r w:rsidDel="00000000" w:rsidR="00000000" w:rsidRPr="00000000">
              <w:rPr>
                <w:rtl w:val="0"/>
              </w:rPr>
              <w:t xml:space="preserve">TBI causes AQP4 depolarization — redistribution of this water channel away from astrocytic perivascular endfeet — which impairs the perivascular CSF/ISF exchange pathway responsible for clearance of amyloid-beta, tau, and other metabolic waste. This worsens cytotoxic edema and drives protein accumulation. Structural evidence includes enlarged perivascular (Virchow-Robin) spaces, quantified by the DTI-ALPS index. Sleep disruption further reduces glymphatic clearance by up to 60% (normally maximized during slow-wave sleep via noradrenergic tone reduction), creating a vicious cycle of waste accumulation, neuroinflammation, and further sleep disruption. Therapeutic strategies include restoring the dystrophin-dystroglycan complex that anchors AQP4 and optimizing slow-wave sleep.</w:t>
            </w:r>
          </w:p>
          <w:p w:rsidR="00000000" w:rsidDel="00000000" w:rsidP="00000000" w:rsidRDefault="00000000" w:rsidRPr="00000000" w14:paraId="00000092">
            <w:pPr>
              <w:keepNext w:val="0"/>
              <w:keepLines w:val="0"/>
              <w:spacing w:after="80" w:line="276" w:lineRule="auto"/>
              <w:rPr>
                <w:b w:val="1"/>
                <w:bCs w:val="1"/>
              </w:rPr>
            </w:pPr>
            <w:r w:rsidDel="00000000" w:rsidR="00000000" w:rsidRPr="00000000">
              <w:rPr>
                <w:b w:val="1"/>
                <w:bCs w:val="1"/>
                <w:rtl w:val="0"/>
              </w:rPr>
              <w:t xml:space="preserve">III. Neuroinflammatory Cascade and Immune Dysregulation</w:t>
            </w:r>
          </w:p>
          <w:p w:rsidR="00000000" w:rsidDel="00000000" w:rsidP="00000000" w:rsidRDefault="00000000" w:rsidRPr="00000000" w14:paraId="00000093">
            <w:pPr>
              <w:keepNext w:val="0"/>
              <w:keepLines w:val="0"/>
              <w:numPr>
                <w:ilvl w:val="0"/>
                <w:numId w:val="19"/>
              </w:numPr>
              <w:spacing w:before="280" w:line="276" w:lineRule="auto"/>
              <w:ind w:left="720" w:hanging="360"/>
              <w:rPr/>
            </w:pPr>
            <w:r w:rsidDel="00000000" w:rsidR="00000000" w:rsidRPr="00000000">
              <w:rPr>
                <w:rtl w:val="0"/>
              </w:rPr>
              <w:t xml:space="preserve">DAMP Release and Pattern Recognition Receptor Activation</w:t>
            </w:r>
          </w:p>
          <w:p w:rsidR="00000000" w:rsidDel="00000000" w:rsidP="00000000" w:rsidRDefault="00000000" w:rsidRPr="00000000" w14:paraId="00000094">
            <w:pPr>
              <w:spacing w:after="240" w:before="240" w:line="276" w:lineRule="auto"/>
              <w:ind w:left="720" w:firstLine="0"/>
              <w:rPr/>
            </w:pPr>
            <w:r w:rsidDel="00000000" w:rsidR="00000000" w:rsidRPr="00000000">
              <w:rPr>
                <w:rtl w:val="0"/>
              </w:rPr>
              <w:t xml:space="preserve">Necrotic tissue releases HMGB1 (High Mobility Group Box 1), a nuclear alarmin that engages TLR2, TLR4, TLR9, and RAGE on immune and glial cells. Receptor engagement activates IKBKB (IKKβ), which phosphorylates IκB proteins, releasing NF-κB (NFKB1/p50 and RELA/p65) to translocate to the nucleus and transcribe IL-1β, IL-6, TNF-α, and IL-18. HMGB1 additionally increases BBB permeability and cognitive impairment by modulating NMDA receptors. Therapeutically, glycyrrhizin binds HMGB1 directly, preventing receptor interaction.</w:t>
            </w:r>
          </w:p>
          <w:p w:rsidR="00000000" w:rsidDel="00000000" w:rsidP="00000000" w:rsidRDefault="00000000" w:rsidRPr="00000000" w14:paraId="00000095">
            <w:pPr>
              <w:keepNext w:val="0"/>
              <w:keepLines w:val="0"/>
              <w:numPr>
                <w:ilvl w:val="0"/>
                <w:numId w:val="4"/>
              </w:numPr>
              <w:spacing w:before="280" w:line="276" w:lineRule="auto"/>
              <w:ind w:left="720" w:hanging="360"/>
              <w:rPr/>
            </w:pPr>
            <w:r w:rsidDel="00000000" w:rsidR="00000000" w:rsidRPr="00000000">
              <w:rPr>
                <w:rtl w:val="0"/>
              </w:rPr>
              <w:t xml:space="preserve">NLRP3 Inflammasome and Pyroptosis</w:t>
            </w:r>
          </w:p>
          <w:p w:rsidR="00000000" w:rsidDel="00000000" w:rsidP="00000000" w:rsidRDefault="00000000" w:rsidRPr="00000000" w14:paraId="00000096">
            <w:pPr>
              <w:spacing w:after="240" w:before="240" w:line="276" w:lineRule="auto"/>
              <w:ind w:left="720" w:firstLine="0"/>
              <w:rPr/>
            </w:pPr>
            <w:r w:rsidDel="00000000" w:rsidR="00000000" w:rsidRPr="00000000">
              <w:rPr>
                <w:rtl w:val="0"/>
              </w:rPr>
              <w:t xml:space="preserve">Danger signals — extracellular ATP, K⁺ efflux, mitochondrial DNA, ROS, and lysosomal cathepsins — activate the NLRP3 inflammasome, which recruits PYCARD (ASC) through pyrin domain interactions. ASC oligomerizes into a “speck” that auto-activates CASP1 (caspase-1). Active caspase-1 cleaves pro-IL-1β and pro-IL-18 into mature cytokines, and cleaves gasdermin D (GSDMD), whose N-terminal fragment forms plasma membrane pores driving pyroptosis — a lytic, inflammatory cell death that amplifies the DAMP cycle. SIRT2 promotes NLRP3 activation via deacetylation; SIRT1 is neuroprotective and can be activated by Resolvin D1 (a DHA-derived pro-resolving mediator). Therapeutic agents: IC100 (anti-ASC monoclonal antibody) and Mdivi-1.</w:t>
            </w:r>
          </w:p>
          <w:p w:rsidR="00000000" w:rsidDel="00000000" w:rsidP="00000000" w:rsidRDefault="00000000" w:rsidRPr="00000000" w14:paraId="00000097">
            <w:pPr>
              <w:keepNext w:val="0"/>
              <w:keepLines w:val="0"/>
              <w:numPr>
                <w:ilvl w:val="0"/>
                <w:numId w:val="6"/>
              </w:numPr>
              <w:spacing w:before="280" w:line="276" w:lineRule="auto"/>
              <w:ind w:left="720" w:hanging="360"/>
              <w:rPr/>
            </w:pPr>
            <w:r w:rsidDel="00000000" w:rsidR="00000000" w:rsidRPr="00000000">
              <w:rPr>
                <w:rtl w:val="0"/>
              </w:rPr>
              <w:t xml:space="preserve">STING1 and Type I Interferon Amplification</w:t>
            </w:r>
          </w:p>
          <w:p w:rsidR="00000000" w:rsidDel="00000000" w:rsidP="00000000" w:rsidRDefault="00000000" w:rsidRPr="00000000" w14:paraId="00000098">
            <w:pPr>
              <w:spacing w:after="240" w:before="240" w:line="276" w:lineRule="auto"/>
              <w:ind w:left="720" w:firstLine="0"/>
              <w:rPr/>
            </w:pPr>
            <w:r w:rsidDel="00000000" w:rsidR="00000000" w:rsidRPr="00000000">
              <w:rPr>
                <w:rtl w:val="0"/>
              </w:rPr>
              <w:t xml:space="preserve">Cytosolic DNA released from damaged mitochondria and nuclei is detected by cGAS, which synthesizes 2'3'-cGAMP. This binds and activates STING1 (TMEM173) on the ER, triggering translocation to the Golgi and recruitment of TBK1 and IKKε, which phosphorylate IRF3. Dimeric IRF3 drives transcription of IFN-α and IFN-β, amplifying neuroinflammation and promoting microglial activation, complement upregulation, and synaptic pruning. STING1 inhibition confers neuroprotection. TREM2 (Triggering Receptor Expressed on Myeloid cells 2) dampens inflammatory responses and promotes debris phagocytosis; genetic variants alter TBI outcomes.</w:t>
            </w:r>
          </w:p>
          <w:p w:rsidR="00000000" w:rsidDel="00000000" w:rsidP="00000000" w:rsidRDefault="00000000" w:rsidRPr="00000000" w14:paraId="00000099">
            <w:pPr>
              <w:keepNext w:val="0"/>
              <w:keepLines w:val="0"/>
              <w:numPr>
                <w:ilvl w:val="0"/>
                <w:numId w:val="14"/>
              </w:numPr>
              <w:spacing w:before="280" w:line="276" w:lineRule="auto"/>
              <w:ind w:left="720" w:hanging="360"/>
              <w:rPr/>
            </w:pPr>
            <w:r w:rsidDel="00000000" w:rsidR="00000000" w:rsidRPr="00000000">
              <w:rPr>
                <w:rtl w:val="0"/>
              </w:rPr>
              <w:t xml:space="preserve">Microglial Activation</w:t>
            </w:r>
          </w:p>
          <w:p w:rsidR="00000000" w:rsidDel="00000000" w:rsidP="00000000" w:rsidRDefault="00000000" w:rsidRPr="00000000" w14:paraId="0000009A">
            <w:pPr>
              <w:spacing w:after="240" w:before="240" w:line="276" w:lineRule="auto"/>
              <w:ind w:left="720" w:firstLine="0"/>
              <w:rPr/>
            </w:pPr>
            <w:r w:rsidDel="00000000" w:rsidR="00000000" w:rsidRPr="00000000">
              <w:rPr>
                <w:rtl w:val="0"/>
              </w:rPr>
              <w:t xml:space="preserve">Microglia rapidly adopt an M1 phenotype characterized by TSPO upregulation (detectable by PET), nitric oxide via iNOS/NOS2, TNF-α, IL-1β, and ROS. Pro-inflammatory kinases ITK and MAP4K4 drive this cascade. An endogenous brake is provided by ACOD1 (IRG1/aconitate decarboxylase), which produces itaconate from cis-aconitate to suppress succinate dehydrogenase and inflammatory gene expression — ACOD1 deficiency worsens neurodegeneration. Microglial survival depends on CSF1 (M-CSF) via CSF1R; IGF1 also modulates activation state. M2 polarization (anti-inflammatory, neurotrophic) is promoted by miR-124-loaded extracellular vesicles derived from mesenchymal stem cells.</w:t>
            </w:r>
          </w:p>
          <w:p w:rsidR="00000000" w:rsidDel="00000000" w:rsidP="00000000" w:rsidRDefault="00000000" w:rsidRPr="00000000" w14:paraId="0000009B">
            <w:pPr>
              <w:keepNext w:val="0"/>
              <w:keepLines w:val="0"/>
              <w:numPr>
                <w:ilvl w:val="0"/>
                <w:numId w:val="25"/>
              </w:numPr>
              <w:spacing w:before="280" w:line="276" w:lineRule="auto"/>
              <w:ind w:left="720" w:hanging="360"/>
              <w:rPr/>
            </w:pPr>
            <w:r w:rsidDel="00000000" w:rsidR="00000000" w:rsidRPr="00000000">
              <w:rPr>
                <w:rtl w:val="0"/>
              </w:rPr>
              <w:t xml:space="preserve">Astrogliosis</w:t>
            </w:r>
          </w:p>
          <w:p w:rsidR="00000000" w:rsidDel="00000000" w:rsidP="00000000" w:rsidRDefault="00000000" w:rsidRPr="00000000" w14:paraId="0000009C">
            <w:pPr>
              <w:spacing w:after="240" w:before="240" w:line="276" w:lineRule="auto"/>
              <w:ind w:left="720" w:firstLine="0"/>
              <w:rPr/>
            </w:pPr>
            <w:r w:rsidDel="00000000" w:rsidR="00000000" w:rsidRPr="00000000">
              <w:rPr>
                <w:rtl w:val="0"/>
              </w:rPr>
              <w:t xml:space="preserve">Reactive astrocytes markedly upregulate GFAP (glial fibrillary acidic protein), which enters the bloodstream and serves as a sensitive serum biomarker correlating with injury severity and CT abnormalities. While acutely protective (glutamate buffering, glial scar), chronic astrogliosis becomes maladaptive. Reactive astrocytes release C1q and C3, which tag synapses for complement-mediated phagocytosis, driving pathological synaptic pruning. Simvastatin (HMG-CoA reductase inhibitor) and angiotensin 1-7 (signaling via MAS receptor) modulate astrogliosis. CR2-Crry (complement inhibitor fusion protein) reduces astrogliosis and preserves cognitive function.</w:t>
            </w:r>
          </w:p>
          <w:p w:rsidR="00000000" w:rsidDel="00000000" w:rsidP="00000000" w:rsidRDefault="00000000" w:rsidRPr="00000000" w14:paraId="0000009D">
            <w:pPr>
              <w:keepNext w:val="0"/>
              <w:keepLines w:val="0"/>
              <w:numPr>
                <w:ilvl w:val="0"/>
                <w:numId w:val="9"/>
              </w:numPr>
              <w:spacing w:before="280" w:line="276" w:lineRule="auto"/>
              <w:ind w:left="720" w:hanging="360"/>
              <w:rPr/>
            </w:pPr>
            <w:r w:rsidDel="00000000" w:rsidR="00000000" w:rsidRPr="00000000">
              <w:rPr>
                <w:rtl w:val="0"/>
              </w:rPr>
              <w:t xml:space="preserve">Peripheral Immune Infiltration</w:t>
            </w:r>
          </w:p>
          <w:p w:rsidR="00000000" w:rsidDel="00000000" w:rsidP="00000000" w:rsidRDefault="00000000" w:rsidRPr="00000000" w14:paraId="0000009E">
            <w:pPr>
              <w:spacing w:after="240" w:before="240" w:line="276" w:lineRule="auto"/>
              <w:ind w:left="720" w:firstLine="0"/>
              <w:rPr/>
            </w:pPr>
            <w:r w:rsidDel="00000000" w:rsidR="00000000" w:rsidRPr="00000000">
              <w:rPr>
                <w:rtl w:val="0"/>
              </w:rPr>
              <w:t xml:space="preserve">The CCL2/CCR2 chemokine axis recruits circulating monocytes that differentiate into CNS macrophages distinct from resident microglia. CD4⁺ and CD8⁺ T lymphocytes also infiltrate: Th1/Th17 cells release IFN-γ and IL-17 (harmful); regulatory T cells (Tregs) are anti-inflammatory. Leukocyte transmigration depends on ICAM1 (CD54) upregulated on endothelium, binding leukocyte integrins LFA-1 and Mac-1. Systemically, C1QA (classical complement) and SAA1 (serum amyloid A) are elevated and contribute to synaptic complement tagging and amyloid pathology.</w:t>
            </w:r>
          </w:p>
          <w:p w:rsidR="00000000" w:rsidDel="00000000" w:rsidP="00000000" w:rsidRDefault="00000000" w:rsidRPr="00000000" w14:paraId="0000009F">
            <w:pPr>
              <w:keepNext w:val="0"/>
              <w:keepLines w:val="0"/>
              <w:numPr>
                <w:ilvl w:val="0"/>
                <w:numId w:val="2"/>
              </w:numPr>
              <w:spacing w:before="280" w:line="276" w:lineRule="auto"/>
              <w:ind w:left="720" w:hanging="360"/>
              <w:rPr/>
            </w:pPr>
            <w:r w:rsidDel="00000000" w:rsidR="00000000" w:rsidRPr="00000000">
              <w:rPr>
                <w:rtl w:val="0"/>
              </w:rPr>
              <w:t xml:space="preserve">Gut-Brain Axis and Microbiome Dysregulation</w:t>
            </w:r>
          </w:p>
          <w:p w:rsidR="00000000" w:rsidDel="00000000" w:rsidP="00000000" w:rsidRDefault="00000000" w:rsidRPr="00000000" w14:paraId="000000A0">
            <w:pPr>
              <w:spacing w:after="240" w:before="240" w:line="276" w:lineRule="auto"/>
              <w:ind w:left="720" w:firstLine="0"/>
              <w:rPr/>
            </w:pPr>
            <w:r w:rsidDel="00000000" w:rsidR="00000000" w:rsidRPr="00000000">
              <w:rPr>
                <w:rtl w:val="0"/>
              </w:rPr>
              <w:t xml:space="preserve">TBI triggers dysbiosis — sympathetic hyperactivation, reduced motility, and systemic inflammation alter gut microbiota composition, decreasing Lactobacillus and Bifidobacterium while enabling pathogenic overgrowth. Increased intestinal permeability allows LPS and peptidoglycans to enter systemic circulation, amplifying immune activation. Altered microbial metabolism reduces short-chain fatty acids and disrupts tryptophan catabolism. Fecal microbiota transplantation (FMT) restores eubiosis, reduces microglial activation, and improves behavioral and lesion outcomes in experimental models.</w:t>
            </w:r>
          </w:p>
          <w:p w:rsidR="00000000" w:rsidDel="00000000" w:rsidP="00000000" w:rsidRDefault="00000000" w:rsidRPr="00000000" w14:paraId="000000A1">
            <w:pPr>
              <w:keepNext w:val="0"/>
              <w:keepLines w:val="0"/>
              <w:numPr>
                <w:ilvl w:val="0"/>
                <w:numId w:val="13"/>
              </w:numPr>
              <w:spacing w:before="280" w:line="276" w:lineRule="auto"/>
              <w:ind w:left="720" w:hanging="360"/>
              <w:rPr/>
            </w:pPr>
            <w:r w:rsidDel="00000000" w:rsidR="00000000" w:rsidRPr="00000000">
              <w:rPr>
                <w:rtl w:val="0"/>
              </w:rPr>
              <w:t xml:space="preserve">Autoimmunity and Anti-Neural Antibodies</w:t>
            </w:r>
          </w:p>
          <w:p w:rsidR="00000000" w:rsidDel="00000000" w:rsidP="00000000" w:rsidRDefault="00000000" w:rsidRPr="00000000" w14:paraId="000000A2">
            <w:pPr>
              <w:spacing w:after="240" w:before="240" w:line="276" w:lineRule="auto"/>
              <w:ind w:left="720" w:firstLine="0"/>
              <w:rPr/>
            </w:pPr>
            <w:r w:rsidDel="00000000" w:rsidR="00000000" w:rsidRPr="00000000">
              <w:rPr>
                <w:rtl w:val="0"/>
              </w:rPr>
              <w:t xml:space="preserve">BBB disruption exposes the peripheral immune system to previously sequestered CNS antigens, breaking immune tolerance. TBI generates autoantibodies against GRIA1 (GluA1/AMPA receptor subunit 1) — which can internalize AMPA receptors, causing neurite retraction and cognitive impairment — and against GFAP. This transforms TBI into a chronic immunological disorder where the immune system continues attacking neural tissue long after the mechanical event, providing mechanistic rationale for B-cell-targeting or antibody-neutralizing immunotherapies.</w:t>
            </w:r>
          </w:p>
          <w:p w:rsidR="00000000" w:rsidDel="00000000" w:rsidP="00000000" w:rsidRDefault="00000000" w:rsidRPr="00000000" w14:paraId="000000A3">
            <w:pPr>
              <w:keepNext w:val="0"/>
              <w:keepLines w:val="0"/>
              <w:spacing w:after="80" w:line="276" w:lineRule="auto"/>
              <w:rPr>
                <w:b w:val="1"/>
                <w:bCs w:val="1"/>
              </w:rPr>
            </w:pPr>
            <w:r w:rsidDel="00000000" w:rsidR="00000000" w:rsidRPr="00000000">
              <w:rPr>
                <w:b w:val="1"/>
                <w:bCs w:val="1"/>
                <w:rtl w:val="0"/>
              </w:rPr>
              <w:t xml:space="preserve">IV. Metabolic Crisis and Mitochondrial Dysfunction</w:t>
            </w:r>
          </w:p>
          <w:p w:rsidR="00000000" w:rsidDel="00000000" w:rsidP="00000000" w:rsidRDefault="00000000" w:rsidRPr="00000000" w14:paraId="000000A4">
            <w:pPr>
              <w:keepNext w:val="0"/>
              <w:keepLines w:val="0"/>
              <w:numPr>
                <w:ilvl w:val="0"/>
                <w:numId w:val="5"/>
              </w:numPr>
              <w:spacing w:before="280" w:line="276" w:lineRule="auto"/>
              <w:ind w:left="720" w:hanging="360"/>
              <w:rPr/>
            </w:pPr>
            <w:r w:rsidDel="00000000" w:rsidR="00000000" w:rsidRPr="00000000">
              <w:rPr>
                <w:rtl w:val="0"/>
              </w:rPr>
              <w:t xml:space="preserve">Mitochondrial Fission</w:t>
            </w:r>
          </w:p>
          <w:p w:rsidR="00000000" w:rsidDel="00000000" w:rsidP="00000000" w:rsidRDefault="00000000" w:rsidRPr="00000000" w14:paraId="000000A5">
            <w:pPr>
              <w:spacing w:after="240" w:before="240" w:line="276" w:lineRule="auto"/>
              <w:ind w:left="720" w:firstLine="0"/>
              <w:rPr/>
            </w:pPr>
            <w:r w:rsidDel="00000000" w:rsidR="00000000" w:rsidRPr="00000000">
              <w:rPr>
                <w:rtl w:val="0"/>
              </w:rPr>
              <w:t xml:space="preserve">TBI markedly upregulates DNM1L (Drp1), the GTPase mediator of mitochondrial fission. Drp1 oligomerizes into ring structures on the outer mitochondrial membrane, constricting and fragmenting mitochondria against the opposing fusion machinery (MFN1, MFN2, OPA1). Fragmented mitochondria have disrupted cristae, impaired respiratory supercomplex assembly, reduced ATP synthase efficiency, and dysregulated calcium buffering, producing an energy crisis that compromises synaptic vesicle cycling, ion pump function, and neuronal survival. Mdivi-1 (Drp1 GTPase inhibitor) preserves mitochondrial morphology, maintains ATP production, reduces apoptosis, and improves outcomes in TBI models.</w:t>
            </w:r>
          </w:p>
          <w:p w:rsidR="00000000" w:rsidDel="00000000" w:rsidP="00000000" w:rsidRDefault="00000000" w:rsidRPr="00000000" w14:paraId="000000A6">
            <w:pPr>
              <w:keepNext w:val="0"/>
              <w:keepLines w:val="0"/>
              <w:numPr>
                <w:ilvl w:val="0"/>
                <w:numId w:val="11"/>
              </w:numPr>
              <w:spacing w:before="280" w:line="276" w:lineRule="auto"/>
              <w:ind w:left="720" w:hanging="360"/>
              <w:rPr/>
            </w:pPr>
            <w:r w:rsidDel="00000000" w:rsidR="00000000" w:rsidRPr="00000000">
              <w:rPr>
                <w:rtl w:val="0"/>
              </w:rPr>
              <w:t xml:space="preserve">Oxidative Stress</w:t>
            </w:r>
          </w:p>
          <w:p w:rsidR="00000000" w:rsidDel="00000000" w:rsidP="00000000" w:rsidRDefault="00000000" w:rsidRPr="00000000" w14:paraId="000000A7">
            <w:pPr>
              <w:spacing w:after="240" w:before="240" w:line="276" w:lineRule="auto"/>
              <w:ind w:left="720" w:firstLine="0"/>
              <w:rPr/>
            </w:pPr>
            <w:r w:rsidDel="00000000" w:rsidR="00000000" w:rsidRPr="00000000">
              <w:rPr>
                <w:rtl w:val="0"/>
              </w:rPr>
              <w:t xml:space="preserve">Dysfunctional mitochondria generate excessive superoxide (O₂·⁻) from Complexes I and III, converted to H₂O₂ by MnSOD (SOD2). Excess H₂O₂ undergoes Fenton chemistry with Fe²⁺/Cu⁺ to yield the hydroxyl radical (·OH), driving lipid peroxidation of the brain's polyunsaturated fatty acids (arachidonic acid, DHA) and generating toxic aldehydes malondialdehyde (MDA) and 4-hydroxynonenal (4-HNE). Cellular antioxidant defenses are simultaneously depleted, including mitochondrial PRDX3 and cytoplasmic PRDX2 and PRDX6. The master antioxidant regulator NFE2L2 (Nrf2), normally sequestered by Keap1, translocates to the nucleus and upregulates FTH1, HMOX1, NQO1, and glutathione synthesis genes. Therapeutic ROS scavengers include N-acetylcysteine, MitoQ, and methylene blue.</w:t>
            </w:r>
          </w:p>
          <w:p w:rsidR="00000000" w:rsidDel="00000000" w:rsidP="00000000" w:rsidRDefault="00000000" w:rsidRPr="00000000" w14:paraId="000000A8">
            <w:pPr>
              <w:keepNext w:val="0"/>
              <w:keepLines w:val="0"/>
              <w:numPr>
                <w:ilvl w:val="0"/>
                <w:numId w:val="21"/>
              </w:numPr>
              <w:spacing w:before="280" w:line="276" w:lineRule="auto"/>
              <w:ind w:left="720" w:hanging="360"/>
              <w:rPr/>
            </w:pPr>
            <w:r w:rsidDel="00000000" w:rsidR="00000000" w:rsidRPr="00000000">
              <w:rPr>
                <w:rtl w:val="0"/>
              </w:rPr>
              <w:t xml:space="preserve">Ferroptosis</w:t>
            </w:r>
          </w:p>
          <w:p w:rsidR="00000000" w:rsidDel="00000000" w:rsidP="00000000" w:rsidRDefault="00000000" w:rsidRPr="00000000" w14:paraId="000000A9">
            <w:pPr>
              <w:spacing w:after="240" w:before="240" w:line="276" w:lineRule="auto"/>
              <w:ind w:left="720" w:firstLine="0"/>
              <w:rPr/>
            </w:pPr>
            <w:r w:rsidDel="00000000" w:rsidR="00000000" w:rsidRPr="00000000">
              <w:rPr>
                <w:rtl w:val="0"/>
              </w:rPr>
              <w:t xml:space="preserve">When glutathione (GSH) is depleted and GPX4 (the sole enzyme reducing phospholipid hydroperoxides) is inactivated, phospholipid peroxides accumulate in PUFA-rich membranes. Catalytic Fe²⁺ decomposes these peroxides via Fenton-like reactions, generating lipid radicals that propagate until membrane rupture. FTH1 (ferritin heavy chain) is protective, storing iron in redox-inactive form; its loss expands the labile iron pool. Iron chelators deferiprone (BBB-penetrant) and deferoxamine reduce ferroptotic vulnerability. Ferrostatin-1 inhibits ferroptosis by radical-trapping antioxidant activity. PBT2 (a bis-8-hydroxyquinoline metal chaperone) redistributes both iron and zinc from pathological accumulation sites.</w:t>
            </w:r>
          </w:p>
          <w:p w:rsidR="00000000" w:rsidDel="00000000" w:rsidP="00000000" w:rsidRDefault="00000000" w:rsidRPr="00000000" w14:paraId="000000AA">
            <w:pPr>
              <w:keepNext w:val="0"/>
              <w:keepLines w:val="0"/>
              <w:numPr>
                <w:ilvl w:val="0"/>
                <w:numId w:val="20"/>
              </w:numPr>
              <w:spacing w:before="280" w:line="276" w:lineRule="auto"/>
              <w:ind w:left="720" w:hanging="360"/>
              <w:rPr/>
            </w:pPr>
            <w:r w:rsidDel="00000000" w:rsidR="00000000" w:rsidRPr="00000000">
              <w:rPr>
                <w:rtl w:val="0"/>
              </w:rPr>
              <w:t xml:space="preserve">Ceramide and Mitophagy</w:t>
            </w:r>
          </w:p>
          <w:p w:rsidR="00000000" w:rsidDel="00000000" w:rsidP="00000000" w:rsidRDefault="00000000" w:rsidRPr="00000000" w14:paraId="000000AB">
            <w:pPr>
              <w:spacing w:after="240" w:before="240" w:line="276" w:lineRule="auto"/>
              <w:ind w:left="720" w:firstLine="0"/>
              <w:rPr/>
            </w:pPr>
            <w:r w:rsidDel="00000000" w:rsidR="00000000" w:rsidRPr="00000000">
              <w:rPr>
                <w:rtl w:val="0"/>
              </w:rPr>
              <w:t xml:space="preserve">Injury triggers translocation of p17/RPL29P31 to transport CERS1 (ceramide synthase 1)-generated C18-ceramide to mitochondria, where it disrupts outer membrane permeability, triggers selective mitochondrial autophagy (mitophagy), and may initiate apoptosis via cytochrome c release. Protective mitophagy removes dysfunctional organelles; excessive mitochondrial loss worsens neuronal survival. Synaptamide (N-docosahexaenoylethanolamine) activates RXR and PPAR to enhance mitochondrial biogenesis and reduce oxidative stress.</w:t>
            </w:r>
          </w:p>
          <w:p w:rsidR="00000000" w:rsidDel="00000000" w:rsidP="00000000" w:rsidRDefault="00000000" w:rsidRPr="00000000" w14:paraId="000000AC">
            <w:pPr>
              <w:keepNext w:val="0"/>
              <w:keepLines w:val="0"/>
              <w:numPr>
                <w:ilvl w:val="0"/>
                <w:numId w:val="24"/>
              </w:numPr>
              <w:spacing w:before="280" w:line="276" w:lineRule="auto"/>
              <w:ind w:left="720" w:hanging="360"/>
              <w:rPr/>
            </w:pPr>
            <w:r w:rsidDel="00000000" w:rsidR="00000000" w:rsidRPr="00000000">
              <w:rPr>
                <w:rtl w:val="0"/>
              </w:rPr>
              <w:t xml:space="preserve">Mitochondrial Cannabinoid Receptor 1 and Metabolic Dysfunction</w:t>
            </w:r>
          </w:p>
          <w:p w:rsidR="00000000" w:rsidDel="00000000" w:rsidP="00000000" w:rsidRDefault="00000000" w:rsidRPr="00000000" w14:paraId="000000AD">
            <w:pPr>
              <w:spacing w:after="240" w:before="240" w:line="276" w:lineRule="auto"/>
              <w:ind w:left="720" w:firstLine="0"/>
              <w:rPr/>
            </w:pPr>
            <w:r w:rsidDel="00000000" w:rsidR="00000000" w:rsidRPr="00000000">
              <w:rPr>
                <w:rtl w:val="0"/>
              </w:rPr>
              <w:t xml:space="preserve">Mitochondrial mtCNR1 is upregulated following TBI, where it inhibits NADH dehydrogenase (Complex I), reducing oxidative phosphorylation efficiency, increasing ROS production, and promoting apoptosis. Paradoxically, exogenous cannabinoids CBD (cannabidiol) and CBN (cannabinol) act on CNR1 and CNR2 (primarily on immune cells) to inhibit neuroinflammation, block ferroptosis, support cerebrovascular circulation, and promote nerve regeneration via neurotrophic factor upregulation.</w:t>
            </w:r>
          </w:p>
          <w:p w:rsidR="00000000" w:rsidDel="00000000" w:rsidP="00000000" w:rsidRDefault="00000000" w:rsidRPr="00000000" w14:paraId="000000AE">
            <w:pPr>
              <w:keepNext w:val="0"/>
              <w:keepLines w:val="0"/>
              <w:numPr>
                <w:ilvl w:val="0"/>
                <w:numId w:val="16"/>
              </w:numPr>
              <w:spacing w:before="280" w:line="276" w:lineRule="auto"/>
              <w:ind w:left="720" w:hanging="360"/>
              <w:rPr/>
            </w:pPr>
            <w:r w:rsidDel="00000000" w:rsidR="00000000" w:rsidRPr="00000000">
              <w:rPr>
                <w:rtl w:val="0"/>
              </w:rPr>
              <w:t xml:space="preserve">Integrated Stress Response and Translational Arrest</w:t>
            </w:r>
          </w:p>
          <w:p w:rsidR="00000000" w:rsidDel="00000000" w:rsidP="00000000" w:rsidRDefault="00000000" w:rsidRPr="00000000" w14:paraId="000000AF">
            <w:pPr>
              <w:spacing w:after="240" w:before="240" w:line="276" w:lineRule="auto"/>
              <w:ind w:left="720" w:firstLine="0"/>
              <w:rPr/>
            </w:pPr>
            <w:r w:rsidDel="00000000" w:rsidR="00000000" w:rsidRPr="00000000">
              <w:rPr>
                <w:rtl w:val="0"/>
              </w:rPr>
              <w:t xml:space="preserve">ER stress from calcium dysregulation and misfolded protein accumulation activates EIF2AK3 (PERK), one of four eIF2α kinases, which phosphorylates eIF2α at Ser51. This impairs 43S preinitiation complex formation, globally arresting protein translation. While acutely protective, sustained eIF2α phosphorylation prevents synthesis of plasticity-related proteins (Arc, c-Fos, AMPA receptor subunits, dendritic structural proteins), blocking long-term potentiation and memory consolidation. ISRIB (integrated stress response inhibitor) stabilizes the eIF2B complex in its active conformation, bypassing the translational block and fully restoring synaptic plasticity and memory in experimental TBI models.</w:t>
            </w:r>
          </w:p>
          <w:p w:rsidR="00000000" w:rsidDel="00000000" w:rsidP="00000000" w:rsidRDefault="00000000" w:rsidRPr="00000000" w14:paraId="000000B0">
            <w:pPr>
              <w:keepNext w:val="0"/>
              <w:keepLines w:val="0"/>
              <w:spacing w:after="80" w:line="276" w:lineRule="auto"/>
              <w:rPr>
                <w:b w:val="1"/>
                <w:bCs w:val="1"/>
              </w:rPr>
            </w:pPr>
            <w:r w:rsidDel="00000000" w:rsidR="00000000" w:rsidRPr="00000000">
              <w:rPr>
                <w:b w:val="1"/>
                <w:bCs w:val="1"/>
                <w:rtl w:val="0"/>
              </w:rPr>
              <w:t xml:space="preserve">V. Proteinopathy and Neurodegenerative Transformation</w:t>
            </w:r>
          </w:p>
          <w:p w:rsidR="00000000" w:rsidDel="00000000" w:rsidP="00000000" w:rsidRDefault="00000000" w:rsidRPr="00000000" w14:paraId="000000B1">
            <w:pPr>
              <w:keepNext w:val="0"/>
              <w:keepLines w:val="0"/>
              <w:numPr>
                <w:ilvl w:val="0"/>
                <w:numId w:val="27"/>
              </w:numPr>
              <w:spacing w:before="280" w:line="276" w:lineRule="auto"/>
              <w:ind w:left="720" w:hanging="360"/>
              <w:rPr/>
            </w:pPr>
            <w:r w:rsidDel="00000000" w:rsidR="00000000" w:rsidRPr="00000000">
              <w:rPr>
                <w:rtl w:val="0"/>
              </w:rPr>
              <w:t xml:space="preserve">Tau Hyperphosphorylation and Tangle Formation</w:t>
            </w:r>
          </w:p>
          <w:p w:rsidR="00000000" w:rsidDel="00000000" w:rsidP="00000000" w:rsidRDefault="00000000" w:rsidRPr="00000000" w14:paraId="000000B2">
            <w:pPr>
              <w:spacing w:after="240" w:before="240" w:line="276" w:lineRule="auto"/>
              <w:ind w:left="720" w:firstLine="0"/>
              <w:rPr/>
            </w:pPr>
            <w:r w:rsidDel="00000000" w:rsidR="00000000" w:rsidRPr="00000000">
              <w:rPr>
                <w:rtl w:val="0"/>
              </w:rPr>
              <w:t xml:space="preserve">Under normal conditions, MAPT (tau) stabilizes axonal microtubules. Following TBI, GSK3B phosphorylates tau at Ser396, Ser404, and Thr231, while CDK5 becomes hyperactivated when calpains cleave its regulator p35 to p25, creating the pathological CDK5/p25 complex. Hyperphosphorylated tau loses microtubule-binding affinity, mislocalizes to the soma and dendrites, and self-assembles through β-sheet interactions into oligomers, paired helical filaments (PHFs), and finally neurofibrillary tangles (NFTs). Mislocalized tau recruits Fyn kinase to dendritic spines, where Fyn phosphorylates NMDA receptor subunit GluN2B, amplifying excitotoxic calcium influx. SYNJ1 provides negative feedback by inhibiting GSK3B. Therapeutic lithium (GSK3B inhibitor) reduces tau phosphorylation and cognitive deficits.</w:t>
            </w:r>
          </w:p>
          <w:p w:rsidR="00000000" w:rsidDel="00000000" w:rsidP="00000000" w:rsidRDefault="00000000" w:rsidRPr="00000000" w14:paraId="000000B3">
            <w:pPr>
              <w:keepNext w:val="0"/>
              <w:keepLines w:val="0"/>
              <w:numPr>
                <w:ilvl w:val="0"/>
                <w:numId w:val="15"/>
              </w:numPr>
              <w:spacing w:before="280" w:line="276" w:lineRule="auto"/>
              <w:ind w:left="720" w:hanging="360"/>
              <w:rPr/>
            </w:pPr>
            <w:r w:rsidDel="00000000" w:rsidR="00000000" w:rsidRPr="00000000">
              <w:rPr>
                <w:rtl w:val="0"/>
              </w:rPr>
              <w:t xml:space="preserve">Cis-Tau Pathology and PIN1 Dysfunction</w:t>
            </w:r>
          </w:p>
          <w:p w:rsidR="00000000" w:rsidDel="00000000" w:rsidP="00000000" w:rsidRDefault="00000000" w:rsidRPr="00000000" w14:paraId="000000B4">
            <w:pPr>
              <w:spacing w:after="240" w:before="240" w:line="276" w:lineRule="auto"/>
              <w:ind w:left="720" w:firstLine="0"/>
              <w:rPr/>
            </w:pPr>
            <w:r w:rsidDel="00000000" w:rsidR="00000000" w:rsidRPr="00000000">
              <w:rPr>
                <w:rtl w:val="0"/>
              </w:rPr>
              <w:t xml:space="preserve">Beyond hyperphosphorylation, PIN1 (peptidyl-prolyl cis-trans isomerase) dysfunction — through oxidative inactivation or sequestration — allows cis-phospho-tau to accumulate. The cis-conformation is phosphatase-resistant, degradation-resistant, and seeds aggregation more potently than trans-tau. DAPK1 (death-associated protein kinase 1) phosphorylates tau at Thr231, promoting the toxic cis-form. This “cis-tauopathy” is detectable in living patients with flortaucipir PET ([¹⁸F]AV-1451), which binds PHFs and enables spatial mapping of tau pathology as a biomarker for CTE and AD progression.</w:t>
            </w:r>
          </w:p>
          <w:p w:rsidR="00000000" w:rsidDel="00000000" w:rsidP="00000000" w:rsidRDefault="00000000" w:rsidRPr="00000000" w14:paraId="000000B5">
            <w:pPr>
              <w:keepNext w:val="0"/>
              <w:keepLines w:val="0"/>
              <w:numPr>
                <w:ilvl w:val="0"/>
                <w:numId w:val="31"/>
              </w:numPr>
              <w:spacing w:before="280" w:line="276" w:lineRule="auto"/>
              <w:ind w:left="720" w:hanging="360"/>
              <w:rPr/>
            </w:pPr>
            <w:r w:rsidDel="00000000" w:rsidR="00000000" w:rsidRPr="00000000">
              <w:rPr>
                <w:rtl w:val="0"/>
              </w:rPr>
              <w:t xml:space="preserve">LGMN (Delta-Secretase) and Dual Substrate Cleavage</w:t>
            </w:r>
          </w:p>
          <w:p w:rsidR="00000000" w:rsidDel="00000000" w:rsidP="00000000" w:rsidRDefault="00000000" w:rsidRPr="00000000" w14:paraId="000000B6">
            <w:pPr>
              <w:spacing w:after="240" w:before="240" w:line="276" w:lineRule="auto"/>
              <w:ind w:left="720" w:firstLine="0"/>
              <w:rPr/>
            </w:pPr>
            <w:r w:rsidDel="00000000" w:rsidR="00000000" w:rsidRPr="00000000">
              <w:rPr>
                <w:rtl w:val="0"/>
              </w:rPr>
              <w:t xml:space="preserve">The asparaginyl endopeptidase LGMN (legumain/delta-secretase), activated in the acidic lysosomal environment, cleaves both tau and APP into neurotoxic fragments that aggregate readily and resist degradation. This dual-substrate activity links tau pathology and amyloid pathology through a single protease, making LGMN inhibition a potentially unified therapeutic approach to mixed proteinopathies driving synaptic loss and cognitive dysfunction.</w:t>
            </w:r>
          </w:p>
          <w:p w:rsidR="00000000" w:rsidDel="00000000" w:rsidP="00000000" w:rsidRDefault="00000000" w:rsidRPr="00000000" w14:paraId="000000B7">
            <w:pPr>
              <w:keepNext w:val="0"/>
              <w:keepLines w:val="0"/>
              <w:numPr>
                <w:ilvl w:val="0"/>
                <w:numId w:val="28"/>
              </w:numPr>
              <w:spacing w:before="280" w:line="276" w:lineRule="auto"/>
              <w:ind w:left="720" w:hanging="360"/>
              <w:rPr/>
            </w:pPr>
            <w:r w:rsidDel="00000000" w:rsidR="00000000" w:rsidRPr="00000000">
              <w:rPr>
                <w:rtl w:val="0"/>
              </w:rPr>
              <w:t xml:space="preserve">APP Processing and Amyloid-Beta Accumulation</w:t>
            </w:r>
          </w:p>
          <w:p w:rsidR="00000000" w:rsidDel="00000000" w:rsidP="00000000" w:rsidRDefault="00000000" w:rsidRPr="00000000" w14:paraId="000000B8">
            <w:pPr>
              <w:spacing w:after="240" w:before="240" w:line="276" w:lineRule="auto"/>
              <w:ind w:left="720" w:firstLine="0"/>
              <w:rPr/>
            </w:pPr>
            <w:r w:rsidDel="00000000" w:rsidR="00000000" w:rsidRPr="00000000">
              <w:rPr>
                <w:rtl w:val="0"/>
              </w:rPr>
              <w:t xml:space="preserve">TBI upregulates BACE1 (β-secretase), shifting amyloid precursor protein (APP) processing toward the amyloidogenic pathway: BACE1 cleavage releases soluble APPβ and generates membrane-bound C99, which γ-secretase cleaves into Aβ40 and Aβ42 peptides. Aβ42's hydrophobicity drives oligomer formation, plaque deposition, and synaptic toxicity through receptor binding, membrane pore formation, and inflammatory activation. The non-amyloidogenic α-secretase pathway is mediated by ADAM10, which cleaves within the Aβ sequence (protective). APOE4 impairs Aβ clearance via reduced lipoprotein receptor binding. PRNP (cellular prion protein) interacts with Aβ oligomers in a context-dependent manner. Nilvadipine (calcium channel blocker) reduces amyloid burden.</w:t>
            </w:r>
          </w:p>
          <w:p w:rsidR="00000000" w:rsidDel="00000000" w:rsidP="00000000" w:rsidRDefault="00000000" w:rsidRPr="00000000" w14:paraId="000000B9">
            <w:pPr>
              <w:keepNext w:val="0"/>
              <w:keepLines w:val="0"/>
              <w:numPr>
                <w:ilvl w:val="0"/>
                <w:numId w:val="23"/>
              </w:numPr>
              <w:spacing w:before="280" w:line="276" w:lineRule="auto"/>
              <w:ind w:left="720" w:hanging="360"/>
              <w:rPr/>
            </w:pPr>
            <w:r w:rsidDel="00000000" w:rsidR="00000000" w:rsidRPr="00000000">
              <w:rPr>
                <w:rtl w:val="0"/>
              </w:rPr>
              <w:t xml:space="preserve">APOE4 as Critical Genetic Risk Modifier</w:t>
            </w:r>
          </w:p>
          <w:p w:rsidR="00000000" w:rsidDel="00000000" w:rsidP="00000000" w:rsidRDefault="00000000" w:rsidRPr="00000000" w14:paraId="000000BA">
            <w:pPr>
              <w:spacing w:after="240" w:before="240" w:line="276" w:lineRule="auto"/>
              <w:ind w:left="720" w:firstLine="0"/>
              <w:rPr/>
            </w:pPr>
            <w:r w:rsidDel="00000000" w:rsidR="00000000" w:rsidRPr="00000000">
              <w:rPr>
                <w:rtl w:val="0"/>
              </w:rPr>
              <w:t xml:space="preserve">The APOE4 allele (differing from E2 and E3 by single amino acid substitutions) represents the most significant genetic modifier of TBI outcome. It impairs Aβ clearance via reduced lipoprotein receptor affinity; is neurotoxic to pericytes, disrupting tight junction proteins and increasing BBB permeability; enhances microglial pro-inflammatory activation; and disrupts synaptic membrane lipid composition impairing plasticity and repair. APOE4 carriers show accelerated progression to CTE and AD post-TBI. Homozygotes carry ~12-fold increased AD's risk compared to E3/E3 individuals, amplified further by TBI history.</w:t>
            </w:r>
          </w:p>
          <w:p w:rsidR="00000000" w:rsidDel="00000000" w:rsidP="00000000" w:rsidRDefault="00000000" w:rsidRPr="00000000" w14:paraId="000000BB">
            <w:pPr>
              <w:keepNext w:val="0"/>
              <w:keepLines w:val="0"/>
              <w:numPr>
                <w:ilvl w:val="0"/>
                <w:numId w:val="10"/>
              </w:numPr>
              <w:spacing w:before="280" w:line="276" w:lineRule="auto"/>
              <w:ind w:left="720" w:hanging="360"/>
              <w:rPr/>
            </w:pPr>
            <w:r w:rsidDel="00000000" w:rsidR="00000000" w:rsidRPr="00000000">
              <w:rPr>
                <w:rtl w:val="0"/>
              </w:rPr>
              <w:t xml:space="preserve">Alpha-Synuclein and Synucleinopathy</w:t>
            </w:r>
          </w:p>
          <w:p w:rsidR="00000000" w:rsidDel="00000000" w:rsidP="00000000" w:rsidRDefault="00000000" w:rsidRPr="00000000" w14:paraId="000000BC">
            <w:pPr>
              <w:spacing w:after="240" w:before="240" w:line="276" w:lineRule="auto"/>
              <w:ind w:left="720" w:firstLine="0"/>
              <w:rPr/>
            </w:pPr>
            <w:r w:rsidDel="00000000" w:rsidR="00000000" w:rsidRPr="00000000">
              <w:rPr>
                <w:rtl w:val="0"/>
              </w:rPr>
              <w:t xml:space="preserve">Beyond tau and amyloid, SNCA (alpha-synuclein) — normally a presynaptic vesicle-trafficking protein — is upregulated in CTE contexts. Oxidative stress promotes misfolding; lysosomal dysfunction impairs clearance; inflammation accelerates aggregation. Misfolded alpha-synuclein propagates via prion-like templating, forming Lewy bodies, the pathological hallmark of (PD) and dementia with Lewy bodies (DLB). This positions TBI as a unifying environmental trigger for tauopathies (CTE, AD), amyloidopathies (AD), and synucleinopathies (PD, DLB, REM sleep behavior disorder).</w:t>
            </w:r>
          </w:p>
          <w:p w:rsidR="00000000" w:rsidDel="00000000" w:rsidP="00000000" w:rsidRDefault="00000000" w:rsidRPr="00000000" w14:paraId="000000BD">
            <w:pPr>
              <w:keepNext w:val="0"/>
              <w:keepLines w:val="0"/>
              <w:spacing w:after="80" w:line="276" w:lineRule="auto"/>
              <w:rPr>
                <w:b w:val="1"/>
                <w:bCs w:val="1"/>
              </w:rPr>
            </w:pPr>
            <w:r w:rsidDel="00000000" w:rsidR="00000000" w:rsidRPr="00000000">
              <w:rPr>
                <w:b w:val="1"/>
                <w:bCs w:val="1"/>
                <w:rtl w:val="0"/>
              </w:rPr>
              <w:t xml:space="preserve">VI. Cell Death, Structural Disintegration, and Accelerated Brain Aging</w:t>
            </w:r>
          </w:p>
          <w:p w:rsidR="00000000" w:rsidDel="00000000" w:rsidP="00000000" w:rsidRDefault="00000000" w:rsidRPr="00000000" w14:paraId="000000BE">
            <w:pPr>
              <w:keepNext w:val="0"/>
              <w:keepLines w:val="0"/>
              <w:numPr>
                <w:ilvl w:val="0"/>
                <w:numId w:val="7"/>
              </w:numPr>
              <w:spacing w:before="280" w:line="276" w:lineRule="auto"/>
              <w:ind w:left="720" w:hanging="360"/>
              <w:rPr/>
            </w:pPr>
            <w:r w:rsidDel="00000000" w:rsidR="00000000" w:rsidRPr="00000000">
              <w:rPr>
                <w:rtl w:val="0"/>
              </w:rPr>
              <w:t xml:space="preserve">Apoptosis and Necroptosis</w:t>
            </w:r>
          </w:p>
          <w:p w:rsidR="00000000" w:rsidDel="00000000" w:rsidP="00000000" w:rsidRDefault="00000000" w:rsidRPr="00000000" w14:paraId="000000BF">
            <w:pPr>
              <w:spacing w:after="240" w:before="240" w:line="276" w:lineRule="auto"/>
              <w:ind w:left="720" w:firstLine="0"/>
              <w:rPr/>
            </w:pPr>
            <w:r w:rsidDel="00000000" w:rsidR="00000000" w:rsidRPr="00000000">
              <w:rPr>
                <w:rFonts w:ascii="Arial Unicode MS" w:cs="Arial Unicode MS" w:eastAsia="Arial Unicode MS" w:hAnsi="Arial Unicode MS"/>
                <w:rtl w:val="0"/>
              </w:rPr>
              <w:t xml:space="preserve">Classical intrinsic apoptosis proceeds through mitochondrial outer membrane permeabilization → cytochrome c → APAF1 apoptosome → CASP9 → CASP3/CASP7 executioner caspases. GSK3B and MAPK1 (ERK2) amplify pro-apoptotic signaling. In parallel, when caspase-8 is inhibited, RIPK1 and RIPK3 form a necrosome that phosphorylates MLKL, causing its oligomerization and membrane pore formation — this is necroptosis, a regulated inflammatory cell death. Progressive neuronal loss is quantified by downregulation of NeuN (RBFOX3), a neuron-specific nuclear marker, correlating with reduced synaptic density and plasticity.</w:t>
            </w:r>
          </w:p>
          <w:p w:rsidR="00000000" w:rsidDel="00000000" w:rsidP="00000000" w:rsidRDefault="00000000" w:rsidRPr="00000000" w14:paraId="000000C0">
            <w:pPr>
              <w:keepNext w:val="0"/>
              <w:keepLines w:val="0"/>
              <w:numPr>
                <w:ilvl w:val="0"/>
                <w:numId w:val="32"/>
              </w:numPr>
              <w:spacing w:before="280" w:line="276" w:lineRule="auto"/>
              <w:ind w:left="720" w:hanging="360"/>
              <w:rPr/>
            </w:pPr>
            <w:r w:rsidDel="00000000" w:rsidR="00000000" w:rsidRPr="00000000">
              <w:rPr>
                <w:rtl w:val="0"/>
              </w:rPr>
              <w:t xml:space="preserve">Lysosomal Dysfunction and Autophagy Failure</w:t>
            </w:r>
          </w:p>
          <w:p w:rsidR="00000000" w:rsidDel="00000000" w:rsidP="00000000" w:rsidRDefault="00000000" w:rsidRPr="00000000" w14:paraId="000000C1">
            <w:pPr>
              <w:spacing w:after="240" w:before="240" w:line="276" w:lineRule="auto"/>
              <w:ind w:left="720" w:firstLine="0"/>
              <w:rPr/>
            </w:pPr>
            <w:r w:rsidDel="00000000" w:rsidR="00000000" w:rsidRPr="00000000">
              <w:rPr>
                <w:rtl w:val="0"/>
              </w:rPr>
              <w:t xml:space="preserve">Lysosomal membrane permeabilization (LMP) releases cathepsins (cysteine proteases) into the cytoplasm, which cleave Bid (forming truncated tBid that activates mitochondrial apoptosis) and directly activate caspases. LMP simultaneously blocks the terminal degradation step of autophagy, causing accumulation of autophagosomes containing undegraded damaged mitochondria and misfolded proteins (tau, alpha-synuclein, ubiquitinated substrates). Autophagy inducers trehalose (mTOR-independent) and ACT001 (AMPK activation/mTOR inhibition) restore autophagic flux and reduce LMP-driven cell death.</w:t>
            </w:r>
          </w:p>
          <w:p w:rsidR="00000000" w:rsidDel="00000000" w:rsidP="00000000" w:rsidRDefault="00000000" w:rsidRPr="00000000" w14:paraId="000000C2">
            <w:pPr>
              <w:keepNext w:val="0"/>
              <w:keepLines w:val="0"/>
              <w:numPr>
                <w:ilvl w:val="0"/>
                <w:numId w:val="22"/>
              </w:numPr>
              <w:spacing w:before="280" w:line="276" w:lineRule="auto"/>
              <w:ind w:left="720" w:hanging="360"/>
              <w:rPr/>
            </w:pPr>
            <w:r w:rsidDel="00000000" w:rsidR="00000000" w:rsidRPr="00000000">
              <w:rPr>
                <w:rtl w:val="0"/>
              </w:rPr>
              <w:t xml:space="preserve">Regional Brain Atrophy and Ventriculomegaly</w:t>
            </w:r>
          </w:p>
          <w:p w:rsidR="00000000" w:rsidDel="00000000" w:rsidP="00000000" w:rsidRDefault="00000000" w:rsidRPr="00000000" w14:paraId="000000C3">
            <w:pPr>
              <w:spacing w:after="240" w:before="240" w:line="276" w:lineRule="auto"/>
              <w:ind w:left="720" w:firstLine="0"/>
              <w:rPr/>
            </w:pPr>
            <w:r w:rsidDel="00000000" w:rsidR="00000000" w:rsidRPr="00000000">
              <w:rPr>
                <w:rtl w:val="0"/>
              </w:rPr>
              <w:t xml:space="preserve">Cumulative neuronal loss produces progressive, MRI-detectable atrophy. The hippocampus (memory, navigation, adult neurogenesis) and thalamus (sensory relay, consciousness) are particularly vulnerable. Amygdala atrophy contributes to emotional dysregulation; fornix and mammillary body damage disconnects the Papez circuit, amplifying memory impairment. Corpus callosum (genu and splenium) atrophy reflects widespread axonal degeneration. Dorsolateral prefrontal cortex, orbitofrontal cortex, and anterior temporal regions show cortical thinning. Parenchymal loss produces ventriculomegaly. In repetitive-impact contexts, cavum septum pellucidum and thalamic notching serve as gross anatomical signatures.</w:t>
            </w:r>
          </w:p>
          <w:p w:rsidR="00000000" w:rsidDel="00000000" w:rsidP="00000000" w:rsidRDefault="00000000" w:rsidRPr="00000000" w14:paraId="000000C4">
            <w:pPr>
              <w:keepNext w:val="0"/>
              <w:keepLines w:val="0"/>
              <w:numPr>
                <w:ilvl w:val="0"/>
                <w:numId w:val="12"/>
              </w:numPr>
              <w:spacing w:before="280" w:line="276" w:lineRule="auto"/>
              <w:ind w:left="720" w:hanging="360"/>
              <w:rPr/>
            </w:pPr>
            <w:r w:rsidDel="00000000" w:rsidR="00000000" w:rsidRPr="00000000">
              <w:rPr>
                <w:rtl w:val="0"/>
              </w:rPr>
              <w:t xml:space="preserve">Network Disruption and Accelerated Aging</w:t>
            </w:r>
          </w:p>
          <w:p w:rsidR="00000000" w:rsidDel="00000000" w:rsidP="00000000" w:rsidRDefault="00000000" w:rsidRPr="00000000" w14:paraId="000000C5">
            <w:pPr>
              <w:spacing w:after="240" w:before="240" w:line="276" w:lineRule="auto"/>
              <w:ind w:left="720" w:firstLine="0"/>
              <w:rPr/>
            </w:pPr>
            <w:r w:rsidDel="00000000" w:rsidR="00000000" w:rsidRPr="00000000">
              <w:rPr>
                <w:rtl w:val="0"/>
              </w:rPr>
              <w:t xml:space="preserve">Functional MRI reveals altered connectivity within the default mode network (attention deficits), salience network, and frontoparietal control network (executive dysfunction), with increased path length and reduced clustering. White matter FA on DTI predicts cognitive outcomes. TBI also produces accelerated biological aging — a widened brain age gap calculated by ML models, reflecting faster protein aggregation, oxidative damage, epigenetic drift, telomere shortening, and cellular senescence — leading to early-onset AD, PD, and other neurodegenerative syndromes. Senolytics that eliminate senescent cells and reduce senescence-associated secretory phenotype (SASP) represent a therapeutic approach to this accelerated-aging component.</w:t>
            </w:r>
          </w:p>
          <w:p w:rsidR="00000000" w:rsidDel="00000000" w:rsidP="00000000" w:rsidRDefault="00000000" w:rsidRPr="00000000" w14:paraId="000000C6">
            <w:pPr>
              <w:keepNext w:val="0"/>
              <w:keepLines w:val="0"/>
              <w:spacing w:after="80" w:line="276" w:lineRule="auto"/>
              <w:rPr>
                <w:b w:val="1"/>
                <w:bCs w:val="1"/>
              </w:rPr>
            </w:pPr>
            <w:r w:rsidDel="00000000" w:rsidR="00000000" w:rsidRPr="00000000">
              <w:rPr>
                <w:b w:val="1"/>
                <w:bCs w:val="1"/>
                <w:rtl w:val="0"/>
              </w:rPr>
              <w:t xml:space="preserve">Therapeutic Interventions Summary</w:t>
            </w:r>
          </w:p>
          <w:p w:rsidR="00000000" w:rsidDel="00000000" w:rsidP="00000000" w:rsidRDefault="00000000" w:rsidRPr="00000000" w14:paraId="000000C7">
            <w:pPr>
              <w:keepNext w:val="0"/>
              <w:keepLines w:val="0"/>
              <w:numPr>
                <w:ilvl w:val="0"/>
                <w:numId w:val="29"/>
              </w:numPr>
              <w:spacing w:before="280" w:line="276" w:lineRule="auto"/>
              <w:ind w:left="720" w:hanging="360"/>
              <w:rPr/>
            </w:pPr>
            <w:r w:rsidDel="00000000" w:rsidR="00000000" w:rsidRPr="00000000">
              <w:rPr>
                <w:rtl w:val="0"/>
              </w:rPr>
              <w:t xml:space="preserve">Pharmacological Neuroprotection</w:t>
            </w:r>
          </w:p>
          <w:p w:rsidR="00000000" w:rsidDel="00000000" w:rsidP="00000000" w:rsidRDefault="00000000" w:rsidRPr="00000000" w14:paraId="000000C8">
            <w:pPr>
              <w:spacing w:after="240" w:before="240" w:line="276" w:lineRule="auto"/>
              <w:ind w:left="720" w:firstLine="0"/>
              <w:rPr/>
            </w:pPr>
            <w:r w:rsidDel="00000000" w:rsidR="00000000" w:rsidRPr="00000000">
              <w:rPr>
                <w:rtl w:val="0"/>
              </w:rPr>
              <w:t xml:space="preserve">Anti-inflammatory agents: minocycline, pomalidomide, dexamethasone, anatabine (NF-κB inhibitor). Mitochondrial protectants: Mdivi-1, methylene blue, MitoQ, N-acetylcysteine. Iron chelators/ferroptosis inhibitors: deferiprone, deferoxamine, ferrostatin-1, PBT2. Autophagy inducers: trehalose, ACT001. ISR inhibitor: ISRIB. Senolytics for cellular senescence/SASP.</w:t>
            </w:r>
          </w:p>
          <w:p w:rsidR="00000000" w:rsidDel="00000000" w:rsidP="00000000" w:rsidRDefault="00000000" w:rsidRPr="00000000" w14:paraId="000000C9">
            <w:pPr>
              <w:keepNext w:val="0"/>
              <w:keepLines w:val="0"/>
              <w:numPr>
                <w:ilvl w:val="0"/>
                <w:numId w:val="34"/>
              </w:numPr>
              <w:spacing w:before="280" w:line="276" w:lineRule="auto"/>
              <w:ind w:left="720" w:hanging="360"/>
              <w:rPr/>
            </w:pPr>
            <w:r w:rsidDel="00000000" w:rsidR="00000000" w:rsidRPr="00000000">
              <w:rPr>
                <w:rtl w:val="0"/>
              </w:rPr>
              <w:t xml:space="preserve">Regenerative and Neuromodulatory Approaches</w:t>
            </w:r>
          </w:p>
          <w:p w:rsidR="00000000" w:rsidDel="00000000" w:rsidP="00000000" w:rsidRDefault="00000000" w:rsidRPr="00000000" w14:paraId="000000CA">
            <w:pPr>
              <w:spacing w:after="240" w:before="240" w:line="276" w:lineRule="auto"/>
              <w:ind w:left="720" w:firstLine="0"/>
              <w:rPr/>
            </w:pPr>
            <w:r w:rsidDel="00000000" w:rsidR="00000000" w:rsidRPr="00000000">
              <w:rPr>
                <w:rtl w:val="0"/>
              </w:rPr>
              <w:t xml:space="preserve">Mesenchymal stem cells and their exosomes deliver therapeutic microRNAs (miR-124, miR-21), promote M2 polarization, and enhance neurogenesis. Hyperbaric oxygen (HBOT) improves tissue oxygenation, promotes angiogenesis via VEGF, and mobilizes stem cells. Transcranial magnetic stimulation (TMS) and tDCS modulate network activity and enhance plasticity. Aerobic exercise upregulates BDNF, promotes hippocampal neurogenesis, and improves cerebrovascular function.</w:t>
            </w:r>
          </w:p>
          <w:p w:rsidR="00000000" w:rsidDel="00000000" w:rsidP="00000000" w:rsidRDefault="00000000" w:rsidRPr="00000000" w14:paraId="000000CB">
            <w:pPr>
              <w:keepNext w:val="0"/>
              <w:keepLines w:val="0"/>
              <w:numPr>
                <w:ilvl w:val="0"/>
                <w:numId w:val="8"/>
              </w:numPr>
              <w:spacing w:before="280" w:line="276" w:lineRule="auto"/>
              <w:ind w:left="720" w:hanging="360"/>
              <w:rPr/>
            </w:pPr>
            <w:r w:rsidDel="00000000" w:rsidR="00000000" w:rsidRPr="00000000">
              <w:rPr>
                <w:rtl w:val="0"/>
              </w:rPr>
              <w:t xml:space="preserve">Nutritional and Metabolic Interventions</w:t>
            </w:r>
          </w:p>
          <w:p w:rsidR="00000000" w:rsidDel="00000000" w:rsidP="00000000" w:rsidRDefault="00000000" w:rsidRPr="00000000" w14:paraId="000000CC">
            <w:pPr>
              <w:spacing w:after="240" w:before="240" w:line="276" w:lineRule="auto"/>
              <w:ind w:left="720" w:firstLine="0"/>
              <w:rPr/>
            </w:pPr>
            <w:r w:rsidDel="00000000" w:rsidR="00000000" w:rsidRPr="00000000">
              <w:rPr>
                <w:rtl w:val="0"/>
              </w:rPr>
              <w:t xml:space="preserve">Omega-3 fatty acids (DHA, EPA) reduce inflammation via resolvins and protectins and stabilize synaptic membranes. The ketogenic diet provides ketone body substrates bypassing glycolytic dysfunction and enhances mitochondrial biogenesis through PPAR and PGC-1α signaling. Cannabinoids CBD and CBN provide anti-inflammatory, antioxidant, and cerebrovascular support.</w:t>
            </w:r>
          </w:p>
        </w:tc>
      </w:tr>
    </w:tbl>
    <w:p w:rsidR="00000000" w:rsidDel="00000000" w:rsidP="00000000" w:rsidRDefault="00000000" w:rsidRPr="00000000" w14:paraId="000000CD">
      <w:pPr>
        <w:spacing w:after="240" w:before="240" w:line="276" w:lineRule="auto"/>
        <w:ind w:left="0" w:firstLine="0"/>
        <w:jc w:val="both"/>
        <w:rPr/>
      </w:pPr>
      <w:r w:rsidDel="00000000" w:rsidR="00000000" w:rsidRPr="00000000">
        <w:rPr>
          <w:rtl w:val="0"/>
        </w:rPr>
        <w:t xml:space="preserve">All JSON files equivalent to the clusters are available at: link as well as the summaries of the individual clusters and their relevant references are available in (</w:t>
      </w:r>
      <w:r w:rsidDel="00000000" w:rsidR="00000000" w:rsidRPr="00000000">
        <w:rPr>
          <w:b w:val="1"/>
          <w:bCs w:val="1"/>
          <w:rtl w:val="0"/>
        </w:rPr>
        <w:t xml:space="preserve">Table 3 &amp; 4</w:t>
      </w:r>
      <w:r w:rsidDel="00000000" w:rsidR="00000000" w:rsidRPr="00000000">
        <w:rPr>
          <w:rtl w:val="0"/>
        </w:rPr>
        <w:t xml:space="preserve">). </w:t>
      </w:r>
      <w:commentRangeStart w:id="3"/>
      <w:commentRangeStart w:id="4"/>
      <w:r w:rsidDel="00000000" w:rsidR="00000000" w:rsidRPr="00000000">
        <w:rPr>
          <w:rtl w:val="0"/>
        </w:rPr>
      </w:r>
    </w:p>
    <w:p w:rsidR="00000000" w:rsidDel="00000000" w:rsidP="00000000" w:rsidRDefault="00000000" w:rsidRPr="00000000" w14:paraId="000000CE">
      <w:pPr>
        <w:keepNext w:val="0"/>
        <w:keepLines w:val="0"/>
        <w:spacing w:after="80" w:lineRule="auto"/>
        <w:rPr/>
      </w:pP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F">
      <w:pPr>
        <w:pStyle w:val="Heading3"/>
        <w:spacing w:after="80" w:lineRule="auto"/>
        <w:rPr>
          <w:b w:val="1"/>
          <w:bCs w:val="1"/>
        </w:rPr>
      </w:pPr>
      <w:bookmarkStart w:colFirst="0" w:colLast="0" w:name="_r8zl2546jsj" w:id="3"/>
      <w:bookmarkEnd w:id="3"/>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76" w:lineRule="auto"/>
        <w:rPr>
          <w:color w:val="1f1f1f"/>
          <w:highlight w:val="yellow"/>
        </w:rPr>
      </w:pPr>
      <w:r w:rsidDel="00000000" w:rsidR="00000000" w:rsidRPr="00000000">
        <w:rPr>
          <w:color w:val="1f1f1f"/>
          <w:highlight w:val="yellow"/>
          <w:rtl w:val="0"/>
        </w:rPr>
        <w:t xml:space="preserve">BioClaritas successfully integrated 823 clinical and preclinical abstracts into a structured, linked disease network, demonstrating the feasibility of automated evidence synthesis at a scale and granularity not achievable through conventional manual review. Critically, the framework grounds evidence synthesis in literature-extracted relationship triples rather than generative model outputs, reducing susceptibility to hallucination and training-data bias while preserving full traceability from network edge to source reference. This architecture also supports human-in-the-loop validation at each stage, enabling iterative conflict resolution and targeted refinement.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shd w:fill="d9d9d9" w:val="clear"/>
        </w:rPr>
      </w:pPr>
      <w:r w:rsidDel="00000000" w:rsidR="00000000" w:rsidRPr="00000000">
        <w:rPr>
          <w:b w:val="1"/>
          <w:bCs w:val="1"/>
          <w:color w:val="1f1f1f"/>
          <w:shd w:fill="d9d9d9" w:val="clear"/>
          <w:rtl w:val="0"/>
        </w:rPr>
        <w:t xml:space="preserve">Comparison with Prior Disease-Model Synthesis Efforts in TBI-NDD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76" w:lineRule="auto"/>
        <w:rPr>
          <w:color w:val="1f1f1f"/>
          <w:shd w:fill="d9d9d9" w:val="clear"/>
        </w:rPr>
      </w:pPr>
      <w:r w:rsidDel="00000000" w:rsidR="00000000" w:rsidRPr="00000000">
        <w:rPr>
          <w:color w:val="1f1f1f"/>
          <w:shd w:fill="d9d9d9" w:val="clear"/>
          <w:rtl w:val="0"/>
        </w:rPr>
        <w:t xml:space="preserve">The mechanistic picture constructed by BioClaritas spanning primary biomechanical injury, blood brain barrier (BBB) disruption, glymphatic failure, neuroinflammatory cascades, proteinopathy, metabolic crisis, and accelerated NDD shares important conceptual territory with, yet substantially extends, what prior evidence-synthesis efforts have achieved </w:t>
      </w:r>
      <w:hyperlink r:id="rId40">
        <w:r w:rsidDel="00000000" w:rsidR="00000000" w:rsidRPr="00000000">
          <w:rPr>
            <w:color w:val="000000"/>
            <w:u w:val="none"/>
            <w:shd w:fill="d9d9d9" w:val="clear"/>
            <w:rtl w:val="0"/>
          </w:rPr>
          <w:t xml:space="preserve">[29]</w:t>
        </w:r>
      </w:hyperlink>
      <w:r w:rsidDel="00000000" w:rsidR="00000000" w:rsidRPr="00000000">
        <w:rPr>
          <w:color w:val="1f1f1f"/>
          <w:shd w:fill="d9d9d9" w:val="clear"/>
          <w:rtl w:val="0"/>
        </w:rPr>
        <w:t xml:space="preserve">. At the epidemiological and meta-analytic level, several systematic reviews and meta-analyses have quantified the association between TBI and subsequent dementia risk, consistently finding an approximately 1.8-fold to 1.9-fold increase in dementia risk, rising to roughly 1.92-fold in the most comprehensive umbrella analyses </w:t>
      </w:r>
      <w:hyperlink r:id="rId41">
        <w:r w:rsidDel="00000000" w:rsidR="00000000" w:rsidRPr="00000000">
          <w:rPr>
            <w:color w:val="000000"/>
            <w:u w:val="none"/>
            <w:shd w:fill="d9d9d9" w:val="clear"/>
            <w:rtl w:val="0"/>
          </w:rPr>
          <w:t xml:space="preserve">[14]</w:t>
        </w:r>
      </w:hyperlink>
      <w:r w:rsidDel="00000000" w:rsidR="00000000" w:rsidRPr="00000000">
        <w:rPr>
          <w:color w:val="1f1f1f"/>
          <w:shd w:fill="d9d9d9" w:val="clear"/>
          <w:rtl w:val="0"/>
        </w:rPr>
        <w:t xml:space="preserve">. A recent meta-analysis restricted to moderate-to-severe TBI confirmed this increased risk and separately reported BBB disruption, neuroinflammation, mitochondrial dysfunction, tau deposition, and white-matter degeneration as proposed mechanistic links </w:t>
      </w:r>
      <w:hyperlink r:id="rId42">
        <w:r w:rsidDel="00000000" w:rsidR="00000000" w:rsidRPr="00000000">
          <w:rPr>
            <w:color w:val="000000"/>
            <w:u w:val="none"/>
            <w:shd w:fill="d9d9d9" w:val="clear"/>
            <w:rtl w:val="0"/>
          </w:rPr>
          <w:t xml:space="preserve">[30]</w:t>
        </w:r>
      </w:hyperlink>
      <w:r w:rsidDel="00000000" w:rsidR="00000000" w:rsidRPr="00000000">
        <w:rPr>
          <w:color w:val="1f1f1f"/>
          <w:shd w:fill="d9d9d9" w:val="clear"/>
          <w:rtl w:val="0"/>
        </w:rPr>
        <w:t xml:space="preserve">. A broad review of acquired brain injuries extending through February 2025 further stratified risk by injury subtype and dementia subtype, incorporating not only TBI but also intracranial hemorrhage and ischemic stroke </w:t>
      </w:r>
      <w:hyperlink r:id="rId43">
        <w:r w:rsidDel="00000000" w:rsidR="00000000" w:rsidRPr="00000000">
          <w:rPr>
            <w:color w:val="000000"/>
            <w:u w:val="none"/>
            <w:shd w:fill="d9d9d9" w:val="clear"/>
            <w:rtl w:val="0"/>
          </w:rPr>
          <w:t xml:space="preserve">[31]</w:t>
        </w:r>
      </w:hyperlink>
      <w:r w:rsidDel="00000000" w:rsidR="00000000" w:rsidRPr="00000000">
        <w:rPr>
          <w:color w:val="1f1f1f"/>
          <w:shd w:fill="d9d9d9" w:val="clear"/>
          <w:rtl w:val="0"/>
        </w:rPr>
        <w:t xml:space="preserve">. While these works establish robust epidemiological foundations, they are explicitly descriptive of association rather than of mechanism, and none attempts to synthesize a theory linking preclinical alongside clinical evidence into a single connected disease model theory.</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At the mechanistic review level, several narrative and focused reviews have addressed individual pathway clusters not the whole disease model. For example; the molecular mechanisms linking TBI to AD (specifically the roles of Aβ accumulation, tau hyperphosphorylation, neuroinflammation, and APOE4 status) have been reviewed in the context of emerging computational approaches including AI/machine learning (ML) modelling, single-cell omics, and multi-omics integration </w:t>
      </w:r>
      <w:hyperlink r:id="rId44">
        <w:r w:rsidDel="00000000" w:rsidR="00000000" w:rsidRPr="00000000">
          <w:rPr>
            <w:color w:val="000000"/>
            <w:u w:val="none"/>
            <w:rtl w:val="0"/>
          </w:rPr>
          <w:t xml:space="preserve">[32]</w:t>
        </w:r>
      </w:hyperlink>
      <w:r w:rsidDel="00000000" w:rsidR="00000000" w:rsidRPr="00000000">
        <w:rPr>
          <w:color w:val="1f1f1f"/>
          <w:rtl w:val="0"/>
        </w:rPr>
        <w:t xml:space="preserve">. A focused mechanistic review highlighted calcium dysregulation as a shared upstream driver of both TBI-related and AD-related pathology, with calpain acting as a central regulatory node linking kinase, phosphatase, and protease cascades. Concurrently, a proposed mechanistic framework for tau in TBI, AD, and epilepsy explicitly introduced a "tipping point" hypothesis, conceptualising a transition from protective to injurious tau phosphorylation and positioning Aβ as a downstream amplifier </w:t>
      </w:r>
      <w:hyperlink r:id="rId45">
        <w:r w:rsidDel="00000000" w:rsidR="00000000" w:rsidRPr="00000000">
          <w:rPr>
            <w:color w:val="000000"/>
            <w:u w:val="none"/>
            <w:rtl w:val="0"/>
          </w:rPr>
          <w:t xml:space="preserve">[33, 34]</w:t>
        </w:r>
      </w:hyperlink>
      <w:r w:rsidDel="00000000" w:rsidR="00000000" w:rsidRPr="00000000">
        <w:rPr>
          <w:color w:val="1f1f1f"/>
          <w:rtl w:val="0"/>
        </w:rPr>
        <w:t xml:space="preserve">. Neuroinflammation as a double-edged sword in TBI secondary injury, encompassing both human and animal model data and incorporating proteomic and transcriptomic findings, was reviewed by Zhu et al </w:t>
      </w:r>
      <w:hyperlink r:id="rId46">
        <w:r w:rsidDel="00000000" w:rsidR="00000000" w:rsidRPr="00000000">
          <w:rPr>
            <w:color w:val="000000"/>
            <w:u w:val="none"/>
            <w:rtl w:val="0"/>
          </w:rPr>
          <w:t xml:space="preserve">[35]</w:t>
        </w:r>
      </w:hyperlink>
      <w:r w:rsidDel="00000000" w:rsidR="00000000" w:rsidRPr="00000000">
        <w:rPr>
          <w:color w:val="1f1f1f"/>
          <w:rtl w:val="0"/>
        </w:rPr>
        <w:t xml:space="preserve">. S100A9-driven amyloid-neuroinflammatory cascades were identified as a potential mechanistic bridge between TBI and AD through direct human tissue analysis </w:t>
      </w:r>
      <w:hyperlink r:id="rId47">
        <w:r w:rsidDel="00000000" w:rsidR="00000000" w:rsidRPr="00000000">
          <w:rPr>
            <w:color w:val="000000"/>
            <w:u w:val="none"/>
            <w:rtl w:val="0"/>
          </w:rPr>
          <w:t xml:space="preserve">[36]</w:t>
        </w:r>
      </w:hyperlink>
      <w:r w:rsidDel="00000000" w:rsidR="00000000" w:rsidRPr="00000000">
        <w:rPr>
          <w:color w:val="1f1f1f"/>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neuropathology of CTE, including perivascular tau, axonal degeneration, TDP-43, and neuroinflammatory pathology, has been systematically reviewed at the histological level, with the role of reactive astrogliosis in impairing AQP4-mediated glymphatic clearance specifically highlighted. Furthermore, microglial neuroinflammation as a partial mediator of tau accumulation and dementia risk in CTE was quantified through simultaneous-equation regression modelling in a post-mortem athlete cohort </w:t>
      </w:r>
      <w:hyperlink r:id="rId48">
        <w:r w:rsidDel="00000000" w:rsidR="00000000" w:rsidRPr="00000000">
          <w:rPr>
            <w:color w:val="000000"/>
            <w:u w:val="none"/>
            <w:rtl w:val="0"/>
          </w:rPr>
          <w:t xml:space="preserve">[37, 38]</w:t>
        </w:r>
      </w:hyperlink>
      <w:r w:rsidDel="00000000" w:rsidR="00000000" w:rsidRPr="00000000">
        <w:rPr>
          <w:color w:val="1f1f1f"/>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 longitudinal systematic review of moderate-to-severe TBI catalogued candidate mechanisms of progressive grey and white matter loss, identifying neuroinflammation, oxidative stress, compromised microtubule transport, and glymphatic failure as the leading contributors </w:t>
      </w:r>
      <w:hyperlink r:id="rId49">
        <w:r w:rsidDel="00000000" w:rsidR="00000000" w:rsidRPr="00000000">
          <w:rPr>
            <w:color w:val="000000"/>
            <w:u w:val="none"/>
            <w:rtl w:val="0"/>
          </w:rPr>
          <w:t xml:space="preserve">[39]</w:t>
        </w:r>
      </w:hyperlink>
      <w:r w:rsidDel="00000000" w:rsidR="00000000" w:rsidRPr="00000000">
        <w:rPr>
          <w:color w:val="1f1f1f"/>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These prior works share a focus on one or a small number of mechanistic pathway clusters, examined in isolation, and synthesised through expert-driven narrative methods. None integrates clinical and preclinical evidence simultaneously across the full molecular-to-clinical scale.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commentRangeStart w:id="5"/>
      <w:commentRangeStart w:id="6"/>
      <w:r w:rsidDel="00000000" w:rsidR="00000000" w:rsidRPr="00000000">
        <w:rPr>
          <w:b w:val="1"/>
          <w:bCs w:val="1"/>
          <w:color w:val="1f1f1f"/>
          <w:rtl w:val="0"/>
        </w:rPr>
        <w:t xml:space="preserve">Comprehensive Mechanistic Comparison: BioClaritas compared to Katramadou et al. (2026) </w:t>
      </w:r>
      <w:hyperlink r:id="rId50">
        <w:r w:rsidDel="00000000" w:rsidR="00000000" w:rsidRPr="00000000">
          <w:rPr>
            <w:b w:val="1"/>
            <w:bCs w:val="1"/>
            <w:color w:val="000000"/>
            <w:u w:val="none"/>
            <w:rtl w:val="0"/>
          </w:rPr>
          <w:t xml:space="preserve">[29]</w:t>
        </w:r>
      </w:hyperlink>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 comparison with a recent comprehensive mechanistic narrative review by Katramadou et al. (February 2026), the disease model generated by BioClaritas (PubMed last search </w:t>
      </w:r>
      <w:r w:rsidDel="00000000" w:rsidR="00000000" w:rsidRPr="00000000">
        <w:rPr>
          <w:rFonts w:ascii="Roboto" w:cs="Roboto" w:eastAsia="Roboto" w:hAnsi="Roboto"/>
          <w:color w:val="1f1f1f"/>
          <w:sz w:val="21"/>
          <w:szCs w:val="21"/>
          <w:highlight w:val="white"/>
          <w:rtl w:val="0"/>
        </w:rPr>
        <w:t xml:space="preserve">May 2025)</w:t>
      </w:r>
      <w:r w:rsidDel="00000000" w:rsidR="00000000" w:rsidRPr="00000000">
        <w:rPr>
          <w:color w:val="1f1f1f"/>
          <w:rtl w:val="0"/>
        </w:rPr>
        <w:t xml:space="preserve"> demonstrates substantial topological concordance with established pathological phases while exposing critical methodological and mechanistic distinctions (</w:t>
      </w:r>
      <w:r w:rsidDel="00000000" w:rsidR="00000000" w:rsidRPr="00000000">
        <w:rPr>
          <w:b w:val="1"/>
          <w:bCs w:val="1"/>
          <w:color w:val="1f1f1f"/>
          <w:rtl w:val="0"/>
        </w:rPr>
        <w:t xml:space="preserve">Table 5</w:t>
      </w:r>
      <w:r w:rsidDel="00000000" w:rsidR="00000000" w:rsidRPr="00000000">
        <w:rPr>
          <w:color w:val="1f1f1f"/>
          <w:rtl w:val="0"/>
        </w:rPr>
        <w:t xml:space="preserve">).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Both approaches independently identify diffuse axonal injury, BBB disruption, neuroinflammation, metabolic dysfunction, proteinopathy, and chronic neurodegeneration as the central sequential components of the TBI-to-dementia cascade. However, the application of an automated, DAG-based causal inference framework enables BioClaritas to isolate cross-disciplinary mechanisms and complex feedback loops without a priori domain bias.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integrated disease model produced by BioClaritas demonstrates strong concordance with findings from the highest-quality primary literature by mapping systemic topological relationships that span immunity, metabolism, and proteinopathy. Specifically, BioClaritas successfully identified SARM1-mediated NAD⁺ depletion as a primary degeneration program distinct from classical apoptosis, whereas the manual review contextualized axonal injury predominantly within a classical biomechanical stretch and calpain-activation framework. BioClaritas also effectively captured the cGAS-STING1 pathway as an amplifier of type I interferon-driven neuroinflammation, the NLRP3-GSDMD pyroptotic axis as a driver of the DAMP cycle, the cis-tau/PIN1-DAPK1 axis as a phosphatase-resistant seeding mechanism, and the glymphatic-sleep disruption feedback loop as a chronifier of proteinopathy. Furthermore, the automated extraction integrated distally connected mechanisms into the network, identifying LGMN (delta-secretase) dual-substrate cleavage linking tau and APP pathologies, mtCNR1-mediated Complex I inhibition, integrated stress response (ISR) translational arrest, and gut-brain axis dysbiosis as an amplifier of systemic neuroinflammation.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Conversely, Katramadou et al. identified several highly specific, high-resolution molecular mechanisms that were absent from the BioClaritas network. The expert curation captured trauma-induced somatic mosaicism and genomic instability as mutagenic drivers of pathology, delineated the early hypercoagulability cascade, and identified precise transcriptomic aberrations such as the T9A2 TOMM40-APOE fusion transcript. Additionally, the manual review highlighted the downregulation of the Mfsd2a lipid transporter and the disruption of Wnt/β-catenin signaling as fundamental drivers of BBB fragility, alongside acute Sonic Hedgehog (Shh) downregulation impairing neural stem cell renewal. The relative absence of these highly granular mechanisms within the BioClaritas model exposes a fundamental limitation of the current implementation: abstract-level semantic extraction systematically under-samples emerging, full-text-embedded molecular findings.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Crucially, even within shared pathological domains, the automated and manual approaches frequently diverged in identifying primary upstream regulatory drivers. In modeling ferroptosis, BioClaritas anchored the cascade to glutathione depletion and GPX4 inactivation (buffered by FTH1), whereas the expert review emphasized the CISD1 (mitoNEET) and DHODH regulatory axes. For microglial amplification, the automated extraction identified ITK and MAP4K4 signaling as central mediators of M1 polarization (negatively regulated by ACOD1), contrasting with the Katramadou focus on Fli-1-mediated pericyte apoptosis and TREM2 variants. In characterizing autoimmunity, BioClaritas captured functionally disruptive autoantibodies targeting the AMPA receptor subunit GRIA1, while the manual review prioritized structural targets including GFAP, S100B, and myelin-associated glycoprotein (MAG). Finally, regarding protein clearance, the AI-driven approach emphasized glymphatic failure (AQP4 depolarization) and lysosomal membrane permeabilization, whereas the manual synthesis highlighted precise enzymatic clearance mechanisms, such as BAG3 in autophagy-lysosome flux and neprilysin for amyloid-beta degradation (</w:t>
      </w:r>
      <w:r w:rsidDel="00000000" w:rsidR="00000000" w:rsidRPr="00000000">
        <w:rPr>
          <w:b w:val="1"/>
          <w:bCs w:val="1"/>
          <w:color w:val="1f1f1f"/>
          <w:rtl w:val="0"/>
        </w:rPr>
        <w:t xml:space="preserve">Table 5)</w:t>
      </w:r>
      <w:r w:rsidDel="00000000" w:rsidR="00000000" w:rsidRPr="00000000">
        <w:rPr>
          <w:color w:val="1f1f1f"/>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Novelty and Strengths of BioClaritas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primary novelty of the BioClaritas system lies in its architecture as a fully automated, agentic AI pipeline that traverses the entire evidence-synthesis chain from structured literature search and LLM-assisted abstract screening, through relationship triple extraction, semantic vectorisation, unsupervised clustering, network construction, and DAG-based causal inference. At the same time it does not require manual pathway curation at any intermediate step. This distinguishes it from prior computational approaches to TBI knowledge synthesis, </w:t>
      </w:r>
      <w:r w:rsidDel="00000000" w:rsidR="00000000" w:rsidRPr="00000000">
        <w:rPr>
          <w:color w:val="1f1f1f"/>
          <w:rtl w:val="0"/>
        </w:rPr>
        <w:t xml:space="preserve">which have largely applied NLP to the TBI literature for topic-modelling and trend-identification purposes rather than for pathway extraction and causal formalisation. </w:t>
      </w:r>
      <w:r w:rsidDel="00000000" w:rsidR="00000000" w:rsidRPr="00000000">
        <w:rPr>
          <w:color w:val="1f1f1f"/>
          <w:rtl w:val="0"/>
        </w:rPr>
        <w:t xml:space="preserve">Semantic predication networks derived from biomedical literature have previously been used to identify candidate biomarkers for mild TBI, providing an early precedent for network-based knowledge extraction from the injury literature; however, that approach relied on pre-existing semantic predication databases rather than on de novo LLM-driven triple extraction, was not integrated with a causal inference framework, and was not applied to the TBI-to-neurodegeneration transition </w:t>
      </w:r>
      <w:hyperlink r:id="rId51">
        <w:r w:rsidDel="00000000" w:rsidR="00000000" w:rsidRPr="00000000">
          <w:rPr>
            <w:color w:val="000000"/>
            <w:u w:val="none"/>
            <w:rtl w:val="0"/>
          </w:rPr>
          <w:t xml:space="preserve">[40, 41]</w:t>
        </w:r>
      </w:hyperlink>
      <w:r w:rsidDel="00000000" w:rsidR="00000000" w:rsidRPr="00000000">
        <w:rPr>
          <w:color w:val="1f1f1f"/>
          <w:rtl w:val="0"/>
        </w:rPr>
        <w:t xml:space="preserve"> </w:t>
      </w:r>
      <w:r w:rsidDel="00000000" w:rsidR="00000000" w:rsidRPr="00000000">
        <w:rPr>
          <w:color w:val="1f1f1f"/>
          <w:rtl w:val="0"/>
        </w:rPr>
        <w:t xml:space="preserve">.</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 the broader biomedical knowledge graph domain, recent tools such as BioKGrapher and EvidenceNet represent important advances in automated KG construction from PubMed corpora; however, neither integrates a full disease model mechanism based on scientific correlation rather than semantic similarities or traceable and reproducible framework </w:t>
      </w:r>
      <w:hyperlink r:id="rId52">
        <w:r w:rsidDel="00000000" w:rsidR="00000000" w:rsidRPr="00000000">
          <w:rPr>
            <w:color w:val="000000"/>
            <w:u w:val="none"/>
            <w:rtl w:val="0"/>
          </w:rPr>
          <w:t xml:space="preserve">[42, 43]</w:t>
        </w:r>
      </w:hyperlink>
      <w:r w:rsidDel="00000000" w:rsidR="00000000" w:rsidRPr="00000000">
        <w:rPr>
          <w:color w:val="1f1f1f"/>
          <w:rtl w:val="0"/>
        </w:rPr>
        <w:t xml:space="preserve">.</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 the agentic AI space, SciAgents demonstrated multi-agent reasoning over knowledge graphs for hypothesis generation, and an agentic pharmacogenomics pipeline demonstrated end-to-end evidence synthesis from literature retrieval through clinical recommendation generation; BioClaritas shares with these the agentic orchestration philosophy but is specifically designed for multiscale disease modelling rather than hypothesis generation or pharmacogenomic guideline production </w:t>
      </w:r>
      <w:hyperlink r:id="rId53">
        <w:r w:rsidDel="00000000" w:rsidR="00000000" w:rsidRPr="00000000">
          <w:rPr>
            <w:color w:val="000000"/>
            <w:u w:val="none"/>
            <w:rtl w:val="0"/>
          </w:rPr>
          <w:t xml:space="preserve">[44, 45]</w:t>
        </w:r>
      </w:hyperlink>
      <w:r w:rsidDel="00000000" w:rsidR="00000000" w:rsidRPr="00000000">
        <w:rPr>
          <w:color w:val="1f1f1f"/>
          <w:rtl w:val="0"/>
        </w:rPr>
        <w:t xml:space="preserve">.</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276" w:lineRule="auto"/>
        <w:rPr>
          <w:b w:val="1"/>
          <w:bCs w:val="1"/>
        </w:rPr>
      </w:pPr>
      <w:r w:rsidDel="00000000" w:rsidR="00000000" w:rsidRPr="00000000">
        <w:rPr>
          <w:color w:val="1f1f1f"/>
          <w:rtl w:val="0"/>
        </w:rPr>
        <w:t xml:space="preserve">SapBERT achieved the best clustering performance, likely reflecting its optimization for biomedical entity representation. The PCA–UMAP pipeline further improved semantic cluster separation, while graph-theoretic analyses provided quantitative characterization of network structure and identified influential hub nodes with potential therapeutic relevance. Together, these approaches enabled systems-level integration of evidence across the TBI-to-neurodegeneration continuum and facilitated data-driven hypothesis generation beyond the capabilities of conventional review methods </w:t>
      </w:r>
      <w:hyperlink r:id="rId54">
        <w:r w:rsidDel="00000000" w:rsidR="00000000" w:rsidRPr="00000000">
          <w:rPr>
            <w:color w:val="000000"/>
            <w:u w:val="none"/>
            <w:rtl w:val="0"/>
          </w:rPr>
          <w:t xml:space="preserve">[20, 26, 46]</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EC">
      <w:pPr>
        <w:keepNext w:val="0"/>
        <w:keepLines w:val="0"/>
        <w:spacing w:after="80" w:lineRule="auto"/>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This work and the developed system have some limitations. The current dataset was exclusively obtained from PubMed abstracts, restricting extracted relationships to qualitative pathway description and precluding quantitative edge weighting; granular details including effect estimates, experimental conditions, and outcome time points are inconsistently captured at the abstract level. The literature search is further bounded to January 2014-</w:t>
      </w:r>
      <w:commentRangeStart w:id="7"/>
      <w:commentRangeStart w:id="8"/>
      <w:r w:rsidDel="00000000" w:rsidR="00000000" w:rsidRPr="00000000">
        <w:rPr>
          <w:rFonts w:ascii="Roboto" w:cs="Roboto" w:eastAsia="Roboto" w:hAnsi="Roboto"/>
          <w:color w:val="1f1f1f"/>
          <w:sz w:val="21"/>
          <w:szCs w:val="21"/>
          <w:highlight w:val="white"/>
          <w:rtl w:val="0"/>
        </w:rPr>
        <w:t xml:space="preserve">May 2025</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English-language publications, introducing temporal and linguistic sampling bias that excludes foundational mechanistic characterisations from earlier decades. The unsupervised clustering approach, while avoiding manual curation bias, remains sensitive to embedding model assumptions: terminologically heterogeneous or rare mechanisms risk inappropriate cluster merging or noise classification, and results are subject to HDBSCAN hyperparameter and UMAP neighbour selection. An inherent consequence of this extraction-based design is that sparsely published mechanisms are under-represented in the triple corpus and more likely to be classified as noise during clustering, rendering the network's topological density a direct reflection of the underlying literature's publication landscape rather than true biological importance. Although directed edges in the DAG are literature-supported, they represent hypothesised rather than formally estimated causal relationships; the network is therefore more accurately characterised as a structured causal hypothesis than a validated quantitative model. LLM-based triple extraction has not been benchmarked against a manually curated gold standard in the present corpus, and publication bias toward positive and pharmacological findings may disproportionately weigh certain mechanistic edges. </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Future Directions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color w:val="1f1f1f"/>
          <w:rtl w:val="0"/>
        </w:rPr>
        <w:t xml:space="preserve">Future developments of BioClaritas will incorporate a formal DAG-based causal inference layer supported by meta-analytically weighted edges and mathematical disease modeling. This extension will enable real-time assessment of causal identifiability, confounding, backdoor paths, and collider bias across computationally generated disease networks. By integrating causal inference with dynamic disease simulation, the framework may facilitate automated therapeutic target prioritization, intervention modeling, and in silico exploration of treatment strategies, addressing long-standing challenges in TBI research related to confounding and inadequate causal modeling </w:t>
      </w:r>
      <w:hyperlink r:id="rId55">
        <w:r w:rsidDel="00000000" w:rsidR="00000000" w:rsidRPr="00000000">
          <w:rPr>
            <w:color w:val="000000"/>
            <w:u w:val="none"/>
            <w:rtl w:val="0"/>
          </w:rPr>
          <w:t xml:space="preserve">[47]</w:t>
        </w:r>
      </w:hyperlink>
      <w:r w:rsidDel="00000000" w:rsidR="00000000" w:rsidRPr="00000000">
        <w:rPr>
          <w:color w:val="1f1f1f"/>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276" w:lineRule="auto"/>
        <w:rPr>
          <w:color w:val="1f1f1f"/>
        </w:rPr>
      </w:pPr>
      <w:r w:rsidDel="00000000" w:rsidR="00000000" w:rsidRPr="00000000">
        <w:rPr>
          <w:rtl w:val="0"/>
        </w:rPr>
      </w:r>
    </w:p>
    <w:p w:rsidR="00000000" w:rsidDel="00000000" w:rsidP="00000000" w:rsidRDefault="00000000" w:rsidRPr="00000000" w14:paraId="000000F1">
      <w:pPr>
        <w:pStyle w:val="Heading3"/>
        <w:pBdr>
          <w:top w:color="auto" w:space="0" w:sz="0" w:val="none"/>
          <w:left w:color="auto" w:space="0" w:sz="0" w:val="none"/>
          <w:bottom w:color="auto" w:space="0" w:sz="0" w:val="none"/>
          <w:right w:color="auto" w:space="0" w:sz="0" w:val="none"/>
          <w:between w:color="auto" w:space="0" w:sz="0" w:val="none"/>
        </w:pBdr>
        <w:spacing w:after="240" w:before="240" w:line="276" w:lineRule="auto"/>
        <w:rPr>
          <w:b w:val="1"/>
          <w:bCs w:val="1"/>
        </w:rPr>
      </w:pPr>
      <w:bookmarkStart w:colFirst="0" w:colLast="0" w:name="_e1drhapcfiwv" w:id="4"/>
      <w:bookmarkEnd w:id="4"/>
      <w:r w:rsidDel="00000000" w:rsidR="00000000" w:rsidRPr="00000000">
        <w:rPr>
          <w:b w:val="1"/>
          <w:bCs w:val="1"/>
          <w:rtl w:val="0"/>
        </w:rPr>
        <w:t xml:space="preserve">Conclusion</w:t>
      </w:r>
    </w:p>
    <w:p w:rsidR="00000000" w:rsidDel="00000000" w:rsidP="00000000" w:rsidRDefault="00000000" w:rsidRPr="00000000" w14:paraId="000000F2">
      <w:pPr>
        <w:spacing w:after="240" w:before="240" w:lineRule="auto"/>
        <w:rPr/>
      </w:pPr>
      <w:r w:rsidDel="00000000" w:rsidR="00000000" w:rsidRPr="00000000">
        <w:rPr>
          <w:rtl w:val="0"/>
        </w:rPr>
        <w:t xml:space="preserve">Our pipeline has demonstrated that a fully automated agentic AI framework can successfully synthesize large-scale, heterogeneous biomedical evidence into a structured, multiscale disease model. By integrating 823 clinical and preclinical abstracts through semantic embedding, unsupervised clustering, and causal network construction, the framework reconstructed a coherent six-phase pathophysiological cascade linking TBI to chronic neurodegeneration, while surfacing mechanistic pathways. Although current limitations in abstract-level extraction and the absence of quantitative edge weighting preclude formal causal estimation, the framework's traceable architecture and scalability position it as a viable foundation for future quantitative disease simulation and therapeutic target prioritization in complex, multifactorial neurological conditions.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cdogktamhcgv" w:id="5"/>
      <w:bookmarkEnd w:id="5"/>
      <w:r w:rsidDel="00000000" w:rsidR="00000000" w:rsidRPr="00000000">
        <w:rPr>
          <w:rtl w:val="0"/>
        </w:rPr>
        <w:t xml:space="preserve">Data Availability</w:t>
      </w:r>
    </w:p>
    <w:p w:rsidR="00000000" w:rsidDel="00000000" w:rsidP="00000000" w:rsidRDefault="00000000" w:rsidRPr="00000000" w14:paraId="000000F5">
      <w:pPr>
        <w:rPr/>
      </w:pPr>
      <w:r w:rsidDel="00000000" w:rsidR="00000000" w:rsidRPr="00000000">
        <w:rPr>
          <w:rtl w:val="0"/>
        </w:rPr>
        <w:t xml:space="preserve">All data is available at: </w:t>
      </w:r>
      <w:r w:rsidDel="00000000" w:rsidR="00000000" w:rsidRPr="00000000">
        <w:rPr>
          <w:rtl w:val="0"/>
        </w:rPr>
      </w:r>
    </w:p>
    <w:p w:rsidR="00000000" w:rsidDel="00000000" w:rsidP="00000000" w:rsidRDefault="00000000" w:rsidRPr="00000000" w14:paraId="000000F6">
      <w:pPr>
        <w:pStyle w:val="Heading3"/>
        <w:rPr/>
      </w:pPr>
      <w:bookmarkStart w:colFirst="0" w:colLast="0" w:name="_6fssp2lhywu0" w:id="6"/>
      <w:bookmarkEnd w:id="6"/>
      <w:r w:rsidDel="00000000" w:rsidR="00000000" w:rsidRPr="00000000">
        <w:rPr>
          <w:rtl w:val="0"/>
        </w:rPr>
        <w:t xml:space="preserve">Abbreviations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j3uwo12tb1m5" w:id="7"/>
      <w:bookmarkEnd w:id="7"/>
      <w:r w:rsidDel="00000000" w:rsidR="00000000" w:rsidRPr="00000000">
        <w:rPr>
          <w:rtl w:val="0"/>
        </w:rPr>
        <w:t xml:space="preserve">Funding</w:t>
      </w:r>
    </w:p>
    <w:p w:rsidR="00000000" w:rsidDel="00000000" w:rsidP="00000000" w:rsidRDefault="00000000" w:rsidRPr="00000000" w14:paraId="000000F9">
      <w:pPr>
        <w:rPr/>
      </w:pPr>
      <w:r w:rsidDel="00000000" w:rsidR="00000000" w:rsidRPr="00000000">
        <w:rPr>
          <w:rtl w:val="0"/>
        </w:rPr>
        <w:t xml:space="preserve">No funding received</w:t>
      </w:r>
    </w:p>
    <w:p w:rsidR="00000000" w:rsidDel="00000000" w:rsidP="00000000" w:rsidRDefault="00000000" w:rsidRPr="00000000" w14:paraId="000000FA">
      <w:pPr>
        <w:pStyle w:val="Heading3"/>
        <w:rPr/>
      </w:pPr>
      <w:bookmarkStart w:colFirst="0" w:colLast="0" w:name="_mwz2od5lr82m" w:id="8"/>
      <w:bookmarkEnd w:id="8"/>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u w:val="none"/>
        </w:rPr>
      </w:pPr>
      <w:hyperlink r:id="rId56">
        <w:r w:rsidDel="00000000" w:rsidR="00000000" w:rsidRPr="00000000">
          <w:rPr>
            <w:b w:val="1"/>
            <w:bCs w:val="1"/>
            <w:color w:val="000000"/>
            <w:u w:val="none"/>
            <w:rtl w:val="0"/>
          </w:rPr>
          <w:t xml:space="preserve">Bibliography</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57">
        <w:r w:rsidDel="00000000" w:rsidR="00000000" w:rsidRPr="00000000">
          <w:rPr>
            <w:color w:val="000000"/>
            <w:u w:val="none"/>
            <w:rtl w:val="0"/>
          </w:rPr>
          <w:t xml:space="preserve">1. McGinn MJ, Povlishock JT. Pathophysiology of traumatic brain injury. Neurosurg Clin N Am. 2016;27:397–407.</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58">
        <w:r w:rsidDel="00000000" w:rsidR="00000000" w:rsidRPr="00000000">
          <w:rPr>
            <w:color w:val="000000"/>
            <w:u w:val="none"/>
            <w:rtl w:val="0"/>
          </w:rPr>
          <w:t xml:space="preserve">2. Hascup ER, Hascup KN. Toward refining Alzheimer’s disease into overlapping subgroups. Alzheimers Dement (N Y). 2020;6:e12070.</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59">
        <w:r w:rsidDel="00000000" w:rsidR="00000000" w:rsidRPr="00000000">
          <w:rPr>
            <w:color w:val="000000"/>
            <w:u w:val="none"/>
            <w:rtl w:val="0"/>
          </w:rPr>
          <w:t xml:space="preserve">3. Yan J, Wang C, Sun B. Global, regional, and national burdens of traumatic brain injury from 1990 to 2021. Front Public Health. 2025;13:1556147.</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0">
        <w:r w:rsidDel="00000000" w:rsidR="00000000" w:rsidRPr="00000000">
          <w:rPr>
            <w:color w:val="000000"/>
            <w:u w:val="none"/>
            <w:rtl w:val="0"/>
          </w:rPr>
          <w:t xml:space="preserve">4. Zhong H, Feng Y, Shen J, Rao T, Dai H, Zhong W, et al. Global burden of traumatic brain injury in 204 countries and territories from 1990 to 2021. Am J Prev Med. 2025;68:754–63.</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1">
        <w:r w:rsidDel="00000000" w:rsidR="00000000" w:rsidRPr="00000000">
          <w:rPr>
            <w:color w:val="000000"/>
            <w:u w:val="none"/>
            <w:rtl w:val="0"/>
          </w:rPr>
          <w:t xml:space="preserve">5. Flanagan SR. Invited commentary on “centers for disease control and prevention report to congress: traumatic brain injury in the united states: epidemiology and rehabilitation”. Arch Phys Med Rehabil. 2015;96:1753–5.</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2">
        <w:r w:rsidDel="00000000" w:rsidR="00000000" w:rsidRPr="00000000">
          <w:rPr>
            <w:color w:val="000000"/>
            <w:u w:val="none"/>
            <w:rtl w:val="0"/>
          </w:rPr>
          <w:t xml:space="preserve">6. Peterson C, Xu L, Zhu S, Dunphy C, Florence C. Medical and work loss costs of violence, self-harm, unintentional and traumatic brain injuries per injured person in the USA. Inj Prev. 2025;31:333–9.</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3">
        <w:r w:rsidDel="00000000" w:rsidR="00000000" w:rsidRPr="00000000">
          <w:rPr>
            <w:color w:val="000000"/>
            <w:u w:val="none"/>
            <w:rtl w:val="0"/>
          </w:rPr>
          <w:t xml:space="preserve">7. Economics of Injury and Violence Prevention | Injury and Violence Prevention | CDC. https://www.cdc.gov/injury-violence-prevention/economics/index.html. Accessed 30 Jul 2025.</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4">
        <w:r w:rsidDel="00000000" w:rsidR="00000000" w:rsidRPr="00000000">
          <w:rPr>
            <w:color w:val="000000"/>
            <w:u w:val="none"/>
            <w:rtl w:val="0"/>
          </w:rPr>
          <w:t xml:space="preserve">8. Dixon KJ. Pathophysiology of traumatic brain injury. Phys Med Rehabil Clin N Am. 2017;28:215–25.</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5">
        <w:r w:rsidDel="00000000" w:rsidR="00000000" w:rsidRPr="00000000">
          <w:rPr>
            <w:color w:val="000000"/>
            <w:u w:val="none"/>
            <w:rtl w:val="0"/>
          </w:rPr>
          <w:t xml:space="preserve">9. Schneider ALC, Huie JR, Boscardin WJ, Nelson L, Barber JK, Yaffe K, et al. Cognitive Outcome 1 Year After Mild Traumatic Brain Injury: Results From the TRACK-TBI Study. Neurology. 2022;98:e1248–61.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6">
        <w:r w:rsidDel="00000000" w:rsidR="00000000" w:rsidRPr="00000000">
          <w:rPr>
            <w:color w:val="000000"/>
            <w:u w:val="none"/>
            <w:rtl w:val="0"/>
          </w:rPr>
          <w:t xml:space="preserve">10. Ginsburg J, Smith T. Traumatic Brain Injury. In: StatPearls. Treasure Island (FL): StatPearls Publishing; 2025.</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7">
        <w:r w:rsidDel="00000000" w:rsidR="00000000" w:rsidRPr="00000000">
          <w:rPr>
            <w:color w:val="000000"/>
            <w:u w:val="none"/>
            <w:rtl w:val="0"/>
          </w:rPr>
          <w:t xml:space="preserve">11. Keating CE, Cullen DK. Mechanosensation in traumatic brain injury. Neurobiol Dis. 2021;148:105210.</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8">
        <w:r w:rsidDel="00000000" w:rsidR="00000000" w:rsidRPr="00000000">
          <w:rPr>
            <w:color w:val="000000"/>
            <w:u w:val="none"/>
            <w:rtl w:val="0"/>
          </w:rPr>
          <w:t xml:space="preserve">12. Carney N, Totten AM, O’Reilly C, Ullman JS, Hawryluk GWJ, Bell MJ, et al. Guidelines for the management of severe traumatic brain injury, fourth edition. Neurosurgery. 2017;80:6–15.</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69">
        <w:r w:rsidDel="00000000" w:rsidR="00000000" w:rsidRPr="00000000">
          <w:rPr>
            <w:color w:val="000000"/>
            <w:u w:val="none"/>
            <w:rtl w:val="0"/>
          </w:rPr>
          <w:t xml:space="preserve">13. Brett BL, Gardner RC, Godbout J, Dams-O’Connor K, Keene CD. Traumatic brain injury and risk of neurodegenerative disorder. Biol Psychiatry. 2022;91:498–507.</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0">
        <w:r w:rsidDel="00000000" w:rsidR="00000000" w:rsidRPr="00000000">
          <w:rPr>
            <w:color w:val="000000"/>
            <w:u w:val="none"/>
            <w:rtl w:val="0"/>
          </w:rPr>
          <w:t xml:space="preserve">14. Jones A, Ali MU, Kenny M, Mayhew A, Mokashi V, He H, et al. Potentially Modifiable Risk Factors for Dementia and Mild Cognitive Impairment: An Umbrella Review and Meta-Analysis. Dement Geriatr Cogn Disord. 2024;53:91–106.</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1">
        <w:r w:rsidDel="00000000" w:rsidR="00000000" w:rsidRPr="00000000">
          <w:rPr>
            <w:color w:val="000000"/>
            <w:u w:val="none"/>
            <w:rtl w:val="0"/>
          </w:rPr>
          <w:t xml:space="preserve">15. Mendez MF. What is the relationship of traumatic brain injury to dementia? J Alzheimers Dis. 2017;57:667–81.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2">
        <w:r w:rsidDel="00000000" w:rsidR="00000000" w:rsidRPr="00000000">
          <w:rPr>
            <w:color w:val="000000"/>
            <w:u w:val="none"/>
            <w:rtl w:val="0"/>
          </w:rPr>
          <w:t xml:space="preserve">16. Shaheen A, Hamed B, Shaheen N, Dennstädt F, Aldohni A, Saha R. Automated Data Extraction Using Large Language Models in Vascular and Interventional Neurology Research: Towards an AI Fully Assistant Automated Research (P9-14.007). Neurology. 2025;104 7_Supplement_1.</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3">
        <w:r w:rsidDel="00000000" w:rsidR="00000000" w:rsidRPr="00000000">
          <w:rPr>
            <w:color w:val="000000"/>
            <w:u w:val="none"/>
            <w:rtl w:val="0"/>
          </w:rPr>
          <w:t xml:space="preserve">17. Dennstädt F, Windisch P, Filchenko I, Zink J, Putora PM, Shaheen A, et al. Application of a General Large Language Model-Based Classification System to Retrieve Information about Oncological Trials. Oncology. 2026;104:410–20.</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4">
        <w:r w:rsidDel="00000000" w:rsidR="00000000" w:rsidRPr="00000000">
          <w:rPr>
            <w:color w:val="000000"/>
            <w:u w:val="none"/>
            <w:rtl w:val="0"/>
          </w:rPr>
          <w:t xml:space="preserve">18. Dennstädt F, Zink J, Putora PM, Hastings J, Cihoric N. Title and abstract screening for literature reviews using large language models: an exploratory study in the biomedical domain. Syst Rev. 2024;13:158.</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5">
        <w:r w:rsidDel="00000000" w:rsidR="00000000" w:rsidRPr="00000000">
          <w:rPr>
            <w:color w:val="000000"/>
            <w:u w:val="none"/>
            <w:rtl w:val="0"/>
          </w:rPr>
          <w:t xml:space="preserve">19. Sami AM, Rasheed Z, Kemell K-K, Waseem M, Kilamo T, Saari M, et al. System for systematic literature review using multiple AI agents: Concept and an empirical evaluation. arXiv. 2024.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6">
        <w:r w:rsidDel="00000000" w:rsidR="00000000" w:rsidRPr="00000000">
          <w:rPr>
            <w:color w:val="000000"/>
            <w:u w:val="none"/>
            <w:rtl w:val="0"/>
          </w:rPr>
          <w:t xml:space="preserve">20. Liu F, Shareghi E, Meng Z, Basaldella M, Collier N. Self-Alignment Pretraining for Biomedical Entity Representations. arXiv. 2020.</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7">
        <w:r w:rsidDel="00000000" w:rsidR="00000000" w:rsidRPr="00000000">
          <w:rPr>
            <w:color w:val="000000"/>
            <w:u w:val="none"/>
            <w:rtl w:val="0"/>
          </w:rPr>
          <w:t xml:space="preserve">21. MedEmbed: Fine-Tuned Embedding Models for Medical / Clinical IR. https://huggingface.co/blog/abhinand/medembed-finetuned-embedding-models-for-medical-ir. Accessed 20 Jan 2026.</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8">
        <w:r w:rsidDel="00000000" w:rsidR="00000000" w:rsidRPr="00000000">
          <w:rPr>
            <w:color w:val="000000"/>
            <w:u w:val="none"/>
            <w:rtl w:val="0"/>
          </w:rPr>
          <w:t xml:space="preserve">22. text-embedding-3-large Model | OpenAI API. https://platform.openai.com/docs/models/text-embedding-3-large. Accessed 20 Jan 2026.</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79">
        <w:r w:rsidDel="00000000" w:rsidR="00000000" w:rsidRPr="00000000">
          <w:rPr>
            <w:color w:val="000000"/>
            <w:u w:val="none"/>
            <w:rtl w:val="0"/>
          </w:rPr>
          <w:t xml:space="preserve">23. Zhang S, Cheng H, Vashishth S, Wong C, Xiao J, Liu X, et al. Knowledge-Rich Self-Supervision for Biomedical Entity Linking. arXiv. 2021.</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0">
        <w:r w:rsidDel="00000000" w:rsidR="00000000" w:rsidRPr="00000000">
          <w:rPr>
            <w:color w:val="000000"/>
            <w:u w:val="none"/>
            <w:rtl w:val="0"/>
          </w:rPr>
          <w:t xml:space="preserve">24. How HDBSCAN Works — hdbscan 0.8.1 documentation. https://hdbscan.readthedocs.io/en/latest/how_hdbscan_works.html. Accessed 20 Jan 2026.</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1">
        <w:r w:rsidDel="00000000" w:rsidR="00000000" w:rsidRPr="00000000">
          <w:rPr>
            <w:color w:val="000000"/>
            <w:u w:val="none"/>
            <w:rtl w:val="0"/>
          </w:rPr>
          <w:t xml:space="preserve">25. Campello RJGB, Moulavi D, Sander J. Density-Based Clustering Based on Hierarchical Density Estimates. In: Pei J, Tseng VS, Cao L, Motoda H, Xu G, editors. Advances in knowledge discovery and data mining. Berlin, Heidelberg: Springer Berlin Heidelberg; 2013. p. 160–72.</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2">
        <w:r w:rsidDel="00000000" w:rsidR="00000000" w:rsidRPr="00000000">
          <w:rPr>
            <w:color w:val="000000"/>
            <w:u w:val="none"/>
            <w:rtl w:val="0"/>
          </w:rPr>
          <w:t xml:space="preserve">26. Eklund A, Forsman M, Drewes F. Empirical configuration study of a common document clustering pipeline. NEJLT. 2023;9.</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3">
        <w:r w:rsidDel="00000000" w:rsidR="00000000" w:rsidRPr="00000000">
          <w:rPr>
            <w:color w:val="000000"/>
            <w:u w:val="none"/>
            <w:rtl w:val="0"/>
          </w:rPr>
          <w:t xml:space="preserve">27. Cristian P-M, Aarón V-J, Armando E-HD, Estrella M-LY, Daniel N-R, David G-V, et al. Diffusion on PCA-UMAP Manifold: The Impact of Data Structure Preservation to Denoise High-Dimensional Single-Cell RNA Sequencing Data. Biology (Basel). 2024;13.</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4">
        <w:r w:rsidDel="00000000" w:rsidR="00000000" w:rsidRPr="00000000">
          <w:rPr>
            <w:color w:val="000000"/>
            <w:u w:val="none"/>
            <w:rtl w:val="0"/>
          </w:rPr>
          <w:t xml:space="preserve">28. McInnes L, Healy J, Melville J. UMAP: Uniform Manifold Approximation and Projection for Dimension Reduction. arXiv. 2018.</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5">
        <w:r w:rsidDel="00000000" w:rsidR="00000000" w:rsidRPr="00000000">
          <w:rPr>
            <w:color w:val="000000"/>
            <w:u w:val="none"/>
            <w:rtl w:val="0"/>
          </w:rPr>
          <w:t xml:space="preserve">29. Katramadou A, Bender ES, Kanakis D. From Traumatic Brain Injury to Alzheimer’s Disease: Multilevel Biomechanical, Neurovascular, and Molecular Mechanisms with Emerging Therapeutic Directions. Int J Mol Sci. 2026;27.</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6">
        <w:r w:rsidDel="00000000" w:rsidR="00000000" w:rsidRPr="00000000">
          <w:rPr>
            <w:color w:val="000000"/>
            <w:u w:val="none"/>
            <w:rtl w:val="0"/>
          </w:rPr>
          <w:t xml:space="preserve">30. Gu D, Ou S, Liu G. Traumatic Brain Injury and Risk of Dementia and Alzheimer’s Disease: A Systematic Review and Meta-Analysis. Neuroepidemiology. 2022;56:4–16.</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7">
        <w:r w:rsidDel="00000000" w:rsidR="00000000" w:rsidRPr="00000000">
          <w:rPr>
            <w:color w:val="000000"/>
            <w:u w:val="none"/>
            <w:rtl w:val="0"/>
          </w:rPr>
          <w:t xml:space="preserve">31. Ouyang Z, Jiao B, Xiao X, Yang Q, Zhu Y, Shen L, et al. Head injury/traumatic brain injury and the risk of dementia: An observational and Mendelian randomization study. J Prev Alzheimers Dis. 2026;13:100468.</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8">
        <w:r w:rsidDel="00000000" w:rsidR="00000000" w:rsidRPr="00000000">
          <w:rPr>
            <w:color w:val="000000"/>
            <w:u w:val="none"/>
            <w:rtl w:val="0"/>
          </w:rPr>
          <w:t xml:space="preserve">32. Bamel K, Panwar A, Kumar M, Kumar S, Sharma V, Sharma A. Traumatic brain injury as a precursor to neurodegenerative diseases: Mechanisms linking TBI to Alzheimer’s disease. Brain Disord. 2025;18:100232.</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89">
        <w:r w:rsidDel="00000000" w:rsidR="00000000" w:rsidRPr="00000000">
          <w:rPr>
            <w:color w:val="000000"/>
            <w:u w:val="none"/>
            <w:rtl w:val="0"/>
          </w:rPr>
          <w:t xml:space="preserve">33. Martin SP, Leeman-Markowski BA. Proposed mechanisms of tau: relationships to traumatic brain injury, Alzheimer’s disease, and epilepsy. Front Neurol. 2023;14:1287545.</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0">
        <w:r w:rsidDel="00000000" w:rsidR="00000000" w:rsidRPr="00000000">
          <w:rPr>
            <w:color w:val="000000"/>
            <w:u w:val="none"/>
            <w:rtl w:val="0"/>
          </w:rPr>
          <w:t xml:space="preserve">34. Neuschmid S, Schallerer C, Ehrlich BE, McGuone D. Pathological calcium signaling in traumatic brain injury and alzheimer’s disease: from acute neuronal injury to chronic neurodegeneration. Int J Mol Sci. 2025;26.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1">
        <w:r w:rsidDel="00000000" w:rsidR="00000000" w:rsidRPr="00000000">
          <w:rPr>
            <w:color w:val="000000"/>
            <w:u w:val="none"/>
            <w:rtl w:val="0"/>
          </w:rPr>
          <w:t xml:space="preserve">35. Zheng R-Z, Lee K-Y, Qi Z-X, Wang Z, Xu Z-Y, Wu X-H, et al. Neuroinflammation following traumatic brain injury: take it seriously or not. Front Immunol. 2022;13:855701.</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2">
        <w:r w:rsidDel="00000000" w:rsidR="00000000" w:rsidRPr="00000000">
          <w:rPr>
            <w:color w:val="000000"/>
            <w:u w:val="none"/>
            <w:rtl w:val="0"/>
          </w:rPr>
          <w:t xml:space="preserve">36. Wang C, Iashchishyn IA, Pansieri J, Nyström S, Klementieva O, Kara J, et al. S100A9-Driven Amyloid-Neuroinflammatory Cascade in Traumatic Brain Injury as a Precursor State for Alzheimer’s Disease. Sci Rep. 2018;8:12836.</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3">
        <w:r w:rsidDel="00000000" w:rsidR="00000000" w:rsidRPr="00000000">
          <w:rPr>
            <w:color w:val="000000"/>
            <w:u w:val="none"/>
            <w:rtl w:val="0"/>
          </w:rPr>
          <w:t xml:space="preserve">37. Murray HC, Osterman C, Bell P, Vinnell L, Curtis MA. Neuropathology in chronic traumatic encephalopathy: a systematic review of comparative post-mortem histology literature. Acta Neuropathol Commun. 2022;10:108.</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4">
        <w:r w:rsidDel="00000000" w:rsidR="00000000" w:rsidRPr="00000000">
          <w:rPr>
            <w:color w:val="000000"/>
            <w:u w:val="none"/>
            <w:rtl w:val="0"/>
          </w:rPr>
          <w:t xml:space="preserve">38. Cherry JD, Tripodis Y, Alvarez VE, Huber B, Kiernan PT, Daneshvar DH, et al. Microglial neuroinflammation contributes to tau accumulation in chronic traumatic encephalopathy. Acta Neuropathol Commun. 2016;4:112.</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5">
        <w:r w:rsidDel="00000000" w:rsidR="00000000" w:rsidRPr="00000000">
          <w:rPr>
            <w:color w:val="000000"/>
            <w:u w:val="none"/>
            <w:rtl w:val="0"/>
          </w:rPr>
          <w:t xml:space="preserve">39. Sharma B, Monteiro L, Changoor A, Colella B, Green R. The Scale of Neurodegeneration in Moderate-to-Severe Traumatic Brain Injury: A Systematic Review of Longitudinal Studies. Ann Neurol. 2025;98:668–81.</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6">
        <w:r w:rsidDel="00000000" w:rsidR="00000000" w:rsidRPr="00000000">
          <w:rPr>
            <w:color w:val="000000"/>
            <w:u w:val="none"/>
            <w:rtl w:val="0"/>
          </w:rPr>
          <w:t xml:space="preserve">40. Karabacak M, Jain A, Jagtiani P, Hickman ZL, Dams-O’Connor K, Margetis K. Exploiting natural language processing to unveil topics and trends of traumatic brain injury research. Neurotrauma Reports. 2024;5:203–14.</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7">
        <w:r w:rsidDel="00000000" w:rsidR="00000000" w:rsidRPr="00000000">
          <w:rPr>
            <w:color w:val="000000"/>
            <w:u w:val="none"/>
            <w:rtl w:val="0"/>
          </w:rPr>
          <w:t xml:space="preserve">41. Cairelli MJ, Fiszman M, Zhang H, Rindflesch TC. Networks of neuroinjury semantic predications to identify biomarkers for mild traumatic brain injury. J Biomed Semantics. 2015;6:25.</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8">
        <w:r w:rsidDel="00000000" w:rsidR="00000000" w:rsidRPr="00000000">
          <w:rPr>
            <w:color w:val="000000"/>
            <w:u w:val="none"/>
            <w:rtl w:val="0"/>
          </w:rPr>
          <w:t xml:space="preserve">42. Schäfer H, Idrissi-Yaghir A, Arzideh K, Damm H, Pakull TMG, Schmidt CS, et al. BioKGrapher: Initial evaluation of automated knowledge graph construction from biomedical literature. Comput Struct Biotechnol J. 2024;24:639–60.</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99">
        <w:r w:rsidDel="00000000" w:rsidR="00000000" w:rsidRPr="00000000">
          <w:rPr>
            <w:color w:val="000000"/>
            <w:u w:val="none"/>
            <w:rtl w:val="0"/>
          </w:rPr>
          <w:t xml:space="preserve">43. Zong C, Lv S, Xue S, Zheng H, Wan J, Zhang L. Building evidence-based knowledge bases from full-text literature for disease-specific biomedical reasoning. arXiv. 2026.</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100">
        <w:r w:rsidDel="00000000" w:rsidR="00000000" w:rsidRPr="00000000">
          <w:rPr>
            <w:color w:val="000000"/>
            <w:u w:val="none"/>
            <w:rtl w:val="0"/>
          </w:rPr>
          <w:t xml:space="preserve">44. Ghafarollahi A, Buehler MJ. SciAgents: Automating Scientific Discovery Through Bioinspired Multi-Agent Intelligent Graph Reasoning. Adv Mater. 2025;37:e2413523.</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101">
        <w:r w:rsidDel="00000000" w:rsidR="00000000" w:rsidRPr="00000000">
          <w:rPr>
            <w:color w:val="000000"/>
            <w:u w:val="none"/>
            <w:rtl w:val="0"/>
          </w:rPr>
          <w:t xml:space="preserve">45. Zack M, Savinkov A, Stupichev D, Moore A, Sokolov D, Trifonov I, et al. An agentic AI system for automated pharmacogenomic recommendation generation. npj Digital Med. 2026.</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102">
        <w:r w:rsidDel="00000000" w:rsidR="00000000" w:rsidRPr="00000000">
          <w:rPr>
            <w:color w:val="000000"/>
            <w:u w:val="none"/>
            <w:rtl w:val="0"/>
          </w:rPr>
          <w:t xml:space="preserve">46. Padron CJ, Resendis-Antonio O. Diffusion on PCA-UMAP manifold captures a well-balance of local, global, and continuum structures to denoise single-cell RNA sequencing data. BioRxiv. 2022.</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0" w:right="0" w:firstLine="0"/>
        <w:jc w:val="left"/>
        <w:rPr>
          <w:color w:val="000000"/>
          <w:u w:val="none"/>
        </w:rPr>
      </w:pPr>
      <w:hyperlink r:id="rId103">
        <w:r w:rsidDel="00000000" w:rsidR="00000000" w:rsidRPr="00000000">
          <w:rPr>
            <w:color w:val="000000"/>
            <w:u w:val="none"/>
            <w:rtl w:val="0"/>
          </w:rPr>
          <w:t xml:space="preserve">47. Piccininni M, Konigorski S, Rohmann JL, Kurth T. Directed acyclic graphs and causal thinking in clinical risk prediction modeling. BMC Med Res Methodol. 2020;20:179.</w:t>
        </w:r>
      </w:hyperlink>
      <w:r w:rsidDel="00000000" w:rsidR="00000000" w:rsidRPr="00000000">
        <w:rPr>
          <w:rtl w:val="0"/>
        </w:rPr>
      </w:r>
    </w:p>
    <w:sectPr>
      <w:headerReference r:id="rId10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io Dennstädt" w:id="5" w:date="2026-06-08T15:59:5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one should mention whether the review of Katramadou was already published when we ran the AI analysis or not (I guess not? and it was also not in the analysis) - so that it is clear the AI did not just copy from them.</w:t>
      </w:r>
    </w:p>
  </w:comment>
  <w:comment w:author="Ahmed Shaheen" w:id="6" w:date="2026-06-11T14:25:4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I have added the data of last search we conducted which is May 2025</w:t>
      </w:r>
    </w:p>
  </w:comment>
  <w:comment w:author="Fabio Dennstädt" w:id="7" w:date="2026-06-08T15:59:5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one should mention whether the review of Katramadou was already published when we ran the AI analysis or not (I guess not? and it was also not in the analysis) - so that it is clear the AI did not just copy from them.</w:t>
      </w:r>
    </w:p>
  </w:comment>
  <w:comment w:author="Ahmed Shaheen" w:id="8" w:date="2026-06-11T14:25:4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I have added the data of last search we conducted which is May 2025</w:t>
      </w:r>
    </w:p>
  </w:comment>
  <w:comment w:author="Fabio Dennstädt" w:id="3" w:date="2026-06-08T16:01:1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providing all the .json and other files somewhere online? If we do that I would add a little sentence like "All the files containing the entire graph structure etc. are available at ..."</w:t>
      </w:r>
    </w:p>
  </w:comment>
  <w:comment w:author="Ahmed Shaheen" w:id="4" w:date="2026-06-11T14:44:3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provide all JSON files online along with independent lightweight graph visualizer that was developed early before the BioClaritas software. I will upload all the files to github once we agreed on the final version.</w:t>
      </w:r>
    </w:p>
  </w:comment>
  <w:comment w:author="Fabio Dennstädt" w:id="0" w:date="2026-06-12T12:41:11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w:t>
      </w:r>
    </w:p>
  </w:comment>
  <w:comment w:author="Fabio Dennstädt" w:id="1" w:date="2026-06-12T12:40:0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Figure 1 or Figure 2?</w:t>
      </w:r>
    </w:p>
  </w:comment>
  <w:comment w:author="Ahmed Shaheen" w:id="2" w:date="2026-09-09T13:55:18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figure 1 is the methods figure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iwheel.com/work/citation?ids=18929160&amp;pre=&amp;suf=&amp;sa=0" TargetMode="External"/><Relationship Id="rId42" Type="http://schemas.openxmlformats.org/officeDocument/2006/relationships/hyperlink" Target="https://sciwheel.com/work/citation?ids=15359456&amp;pre=&amp;suf=&amp;sa=0" TargetMode="External"/><Relationship Id="rId41" Type="http://schemas.openxmlformats.org/officeDocument/2006/relationships/hyperlink" Target="https://sciwheel.com/work/citation?ids=16512795&amp;pre=&amp;suf=&amp;sa=0" TargetMode="External"/><Relationship Id="rId44" Type="http://schemas.openxmlformats.org/officeDocument/2006/relationships/hyperlink" Target="https://sciwheel.com/work/citation?ids=18126447&amp;pre=&amp;suf=&amp;sa=0" TargetMode="External"/><Relationship Id="rId43" Type="http://schemas.openxmlformats.org/officeDocument/2006/relationships/hyperlink" Target="https://sciwheel.com/work/citation?ids=18931241&amp;pre=&amp;suf=&amp;sa=0" TargetMode="External"/><Relationship Id="rId46" Type="http://schemas.openxmlformats.org/officeDocument/2006/relationships/hyperlink" Target="https://sciwheel.com/work/citation?ids=13191972&amp;pre=&amp;suf=&amp;sa=0" TargetMode="External"/><Relationship Id="rId45" Type="http://schemas.openxmlformats.org/officeDocument/2006/relationships/hyperlink" Target="https://sciwheel.com/work/citation?ids=16634805,18327512&amp;pre=&amp;pre=&amp;suf=&amp;suf=&amp;sa=0,0" TargetMode="External"/><Relationship Id="rId104" Type="http://schemas.openxmlformats.org/officeDocument/2006/relationships/header" Target="header1.xml"/><Relationship Id="rId48" Type="http://schemas.openxmlformats.org/officeDocument/2006/relationships/hyperlink" Target="https://sciwheel.com/work/citation?ids=13480676,6294767&amp;pre=&amp;pre=&amp;suf=&amp;suf=&amp;sa=0,0" TargetMode="External"/><Relationship Id="rId47" Type="http://schemas.openxmlformats.org/officeDocument/2006/relationships/hyperlink" Target="https://sciwheel.com/work/citation?ids=5707620&amp;pre=&amp;suf=&amp;sa=0" TargetMode="External"/><Relationship Id="rId49" Type="http://schemas.openxmlformats.org/officeDocument/2006/relationships/hyperlink" Target="https://sciwheel.com/work/citation?ids=18931244&amp;pre=&amp;suf=&amp;sa=0" TargetMode="External"/><Relationship Id="rId103" Type="http://schemas.openxmlformats.org/officeDocument/2006/relationships/hyperlink" Target="https://sciwheel.com/work/bibliography/9380082" TargetMode="External"/><Relationship Id="rId102" Type="http://schemas.openxmlformats.org/officeDocument/2006/relationships/hyperlink" Target="https://sciwheel.com/work/bibliography/18551493" TargetMode="External"/><Relationship Id="rId101" Type="http://schemas.openxmlformats.org/officeDocument/2006/relationships/hyperlink" Target="https://sciwheel.com/work/bibliography/18931711" TargetMode="External"/><Relationship Id="rId100" Type="http://schemas.openxmlformats.org/officeDocument/2006/relationships/hyperlink" Target="https://sciwheel.com/work/bibliography/17723401" TargetMode="External"/><Relationship Id="rId31" Type="http://schemas.openxmlformats.org/officeDocument/2006/relationships/hyperlink" Target="https://sciwheel.com/work/citation?ids=18551435&amp;pre=&amp;suf=&amp;sa=0" TargetMode="External"/><Relationship Id="rId30" Type="http://schemas.openxmlformats.org/officeDocument/2006/relationships/hyperlink" Target="https://sciwheel.com/work/citation?ids=18551434&amp;pre=&amp;suf=&amp;sa=0" TargetMode="External"/><Relationship Id="rId33" Type="http://schemas.openxmlformats.org/officeDocument/2006/relationships/hyperlink" Target="https://sciwheel.com/work/citation?ids=18551439&amp;pre=&amp;suf=&amp;sa=0" TargetMode="External"/><Relationship Id="rId32" Type="http://schemas.openxmlformats.org/officeDocument/2006/relationships/hyperlink" Target="https://sciwheel.com/work/citation?ids=18551432&amp;pre=&amp;suf=&amp;sa=0" TargetMode="External"/><Relationship Id="rId35" Type="http://schemas.openxmlformats.org/officeDocument/2006/relationships/hyperlink" Target="https://sciwheel.com/work/citation?ids=18551494&amp;pre=&amp;suf=&amp;sa=0" TargetMode="External"/><Relationship Id="rId34" Type="http://schemas.openxmlformats.org/officeDocument/2006/relationships/hyperlink" Target="https://sciwheel.com/work/citation?ids=1245824&amp;pre=&amp;suf=&amp;sa=0" TargetMode="External"/><Relationship Id="rId37" Type="http://schemas.openxmlformats.org/officeDocument/2006/relationships/hyperlink" Target="https://sciwheel.com/work/citation?ids=18551494&amp;pre=&amp;suf=&amp;sa=0" TargetMode="External"/><Relationship Id="rId36" Type="http://schemas.openxmlformats.org/officeDocument/2006/relationships/hyperlink" Target="https://sciwheel.com/work/citation?ids=18925984&amp;pre=&amp;suf=&amp;sa=0" TargetMode="External"/><Relationship Id="rId39" Type="http://schemas.openxmlformats.org/officeDocument/2006/relationships/image" Target="media/image1.png"/><Relationship Id="rId38" Type="http://schemas.openxmlformats.org/officeDocument/2006/relationships/hyperlink" Target="https://sciwheel.com/work/citation?ids=12611897&amp;pre=&amp;suf=&amp;sa=0" TargetMode="External"/><Relationship Id="rId20" Type="http://schemas.openxmlformats.org/officeDocument/2006/relationships/hyperlink" Target="https://sciwheel.com/work/citation?ids=10132159&amp;pre=&amp;suf=&amp;sa=0" TargetMode="External"/><Relationship Id="rId22" Type="http://schemas.openxmlformats.org/officeDocument/2006/relationships/hyperlink" Target="https://sciwheel.com/work/citation?ids=11533562&amp;pre=&amp;suf=&amp;sa=0" TargetMode="External"/><Relationship Id="rId21" Type="http://schemas.openxmlformats.org/officeDocument/2006/relationships/hyperlink" Target="https://sciwheel.com/work/citation?ids=4809663,16815926,2314392&amp;pre=&amp;pre=&amp;pre=&amp;suf=&amp;suf=&amp;suf=&amp;sa=0,0,0" TargetMode="External"/><Relationship Id="rId24" Type="http://schemas.openxmlformats.org/officeDocument/2006/relationships/hyperlink" Target="https://sciwheel.com/work/citation?ids=3316823&amp;pre=&amp;suf=&amp;sa=0" TargetMode="External"/><Relationship Id="rId23" Type="http://schemas.openxmlformats.org/officeDocument/2006/relationships/hyperlink" Target="https://sciwheel.com/work/citation?ids=16512795&amp;pre=&amp;suf=&amp;sa=0" TargetMode="External"/><Relationship Id="rId26" Type="http://schemas.openxmlformats.org/officeDocument/2006/relationships/hyperlink" Target="https://sciwheel.com/work/citation?ids=16561546&amp;pre=&amp;suf=&amp;sa=0" TargetMode="External"/><Relationship Id="rId25" Type="http://schemas.openxmlformats.org/officeDocument/2006/relationships/hyperlink" Target="https://sciwheel.com/work/citation?ids=18117193,18925860,18193487&amp;pre=&amp;pre=&amp;pre=&amp;suf=&amp;suf=&amp;suf=&amp;sa=0,0,0" TargetMode="External"/><Relationship Id="rId28" Type="http://schemas.openxmlformats.org/officeDocument/2006/relationships/hyperlink" Target="https://sciwheel.com/work/citation?ids=18117193&amp;pre=&amp;suf=&amp;sa=0" TargetMode="External"/><Relationship Id="rId27" Type="http://schemas.openxmlformats.org/officeDocument/2006/relationships/hyperlink" Target="https://docs.google.com/document/d/1Si5wX3W4jVfxBRej_7ml9C-MQN1ara7KbPp4gNici_I/edit?usp=drive_link" TargetMode="External"/><Relationship Id="rId29" Type="http://schemas.openxmlformats.org/officeDocument/2006/relationships/hyperlink" Target="https://sciwheel.com/work/citation?ids=15049172&amp;pre=&amp;suf=&amp;sa=0" TargetMode="External"/><Relationship Id="rId95" Type="http://schemas.openxmlformats.org/officeDocument/2006/relationships/hyperlink" Target="https://sciwheel.com/work/bibliography/18931244" TargetMode="External"/><Relationship Id="rId94" Type="http://schemas.openxmlformats.org/officeDocument/2006/relationships/hyperlink" Target="https://sciwheel.com/work/bibliography/6294767" TargetMode="External"/><Relationship Id="rId97" Type="http://schemas.openxmlformats.org/officeDocument/2006/relationships/hyperlink" Target="https://sciwheel.com/work/bibliography/6434538" TargetMode="External"/><Relationship Id="rId96" Type="http://schemas.openxmlformats.org/officeDocument/2006/relationships/hyperlink" Target="https://sciwheel.com/work/bibliography/18931709" TargetMode="External"/><Relationship Id="rId11" Type="http://schemas.openxmlformats.org/officeDocument/2006/relationships/hyperlink" Target="https://sciwheel.com/work/citation?ids=4809663,16815926&amp;pre=&amp;pre=&amp;suf=&amp;suf=&amp;sa=0,0" TargetMode="External"/><Relationship Id="rId99" Type="http://schemas.openxmlformats.org/officeDocument/2006/relationships/hyperlink" Target="https://sciwheel.com/work/bibliography/18932442" TargetMode="External"/><Relationship Id="rId10" Type="http://schemas.openxmlformats.org/officeDocument/2006/relationships/hyperlink" Target="mailto:iriina6994@gmail.com" TargetMode="External"/><Relationship Id="rId98" Type="http://schemas.openxmlformats.org/officeDocument/2006/relationships/hyperlink" Target="https://sciwheel.com/work/bibliography/17715959" TargetMode="External"/><Relationship Id="rId13" Type="http://schemas.openxmlformats.org/officeDocument/2006/relationships/hyperlink" Target="https://sciwheel.com/work/citation?ids=17553128&amp;pre=&amp;suf=&amp;sa=0" TargetMode="External"/><Relationship Id="rId12" Type="http://schemas.openxmlformats.org/officeDocument/2006/relationships/hyperlink" Target="https://sciwheel.com/work/citation?ids=18023618&amp;pre=&amp;suf=&amp;sa=0" TargetMode="External"/><Relationship Id="rId91" Type="http://schemas.openxmlformats.org/officeDocument/2006/relationships/hyperlink" Target="https://sciwheel.com/work/bibliography/13191972" TargetMode="External"/><Relationship Id="rId90" Type="http://schemas.openxmlformats.org/officeDocument/2006/relationships/hyperlink" Target="https://sciwheel.com/work/bibliography/18327512" TargetMode="External"/><Relationship Id="rId93" Type="http://schemas.openxmlformats.org/officeDocument/2006/relationships/hyperlink" Target="https://sciwheel.com/work/bibliography/13480676" TargetMode="External"/><Relationship Id="rId92" Type="http://schemas.openxmlformats.org/officeDocument/2006/relationships/hyperlink" Target="https://sciwheel.com/work/bibliography/5707620" TargetMode="External"/><Relationship Id="rId15" Type="http://schemas.openxmlformats.org/officeDocument/2006/relationships/hyperlink" Target="https://sciwheel.com/work/citation?ids=16945409,18106493&amp;pre=&amp;pre=&amp;suf=&amp;suf=&amp;sa=0,0" TargetMode="External"/><Relationship Id="rId14" Type="http://schemas.openxmlformats.org/officeDocument/2006/relationships/hyperlink" Target="https://sciwheel.com/work/citation?ids=18023618,4827371&amp;pre=&amp;pre=&amp;suf=&amp;suf=&amp;sa=0,0" TargetMode="External"/><Relationship Id="rId17" Type="http://schemas.openxmlformats.org/officeDocument/2006/relationships/hyperlink" Target="https://sciwheel.com/work/citation?ids=16945409,18106493&amp;pre=&amp;pre=&amp;suf=&amp;suf=&amp;sa=0,0" TargetMode="External"/><Relationship Id="rId16" Type="http://schemas.openxmlformats.org/officeDocument/2006/relationships/hyperlink" Target="https://sciwheel.com/work/citation?ids=16945409,18106493&amp;pre=&amp;pre=&amp;suf=&amp;suf=&amp;sa=0,0" TargetMode="External"/><Relationship Id="rId19" Type="http://schemas.openxmlformats.org/officeDocument/2006/relationships/hyperlink" Target="https://sciwheel.com/work/citation?ids=13234370&amp;pre=&amp;suf=&amp;sa=0" TargetMode="External"/><Relationship Id="rId18" Type="http://schemas.openxmlformats.org/officeDocument/2006/relationships/hyperlink" Target="https://sciwheel.com/work/citation?ids=5502926,12655424&amp;pre=&amp;pre=&amp;suf=&amp;suf=&amp;sa=0,0" TargetMode="External"/><Relationship Id="rId84" Type="http://schemas.openxmlformats.org/officeDocument/2006/relationships/hyperlink" Target="https://sciwheel.com/work/bibliography/12611897" TargetMode="External"/><Relationship Id="rId83" Type="http://schemas.openxmlformats.org/officeDocument/2006/relationships/hyperlink" Target="https://sciwheel.com/work/bibliography/18925984" TargetMode="External"/><Relationship Id="rId86" Type="http://schemas.openxmlformats.org/officeDocument/2006/relationships/hyperlink" Target="https://sciwheel.com/work/bibliography/15359456" TargetMode="External"/><Relationship Id="rId85" Type="http://schemas.openxmlformats.org/officeDocument/2006/relationships/hyperlink" Target="https://sciwheel.com/work/bibliography/18929160" TargetMode="External"/><Relationship Id="rId88" Type="http://schemas.openxmlformats.org/officeDocument/2006/relationships/hyperlink" Target="https://sciwheel.com/work/bibliography/18126447" TargetMode="External"/><Relationship Id="rId87" Type="http://schemas.openxmlformats.org/officeDocument/2006/relationships/hyperlink" Target="https://sciwheel.com/work/bibliography/18931241" TargetMode="External"/><Relationship Id="rId89" Type="http://schemas.openxmlformats.org/officeDocument/2006/relationships/hyperlink" Target="https://sciwheel.com/work/bibliography/16634805" TargetMode="External"/><Relationship Id="rId80" Type="http://schemas.openxmlformats.org/officeDocument/2006/relationships/hyperlink" Target="https://sciwheel.com/work/bibliography/18551439" TargetMode="External"/><Relationship Id="rId82" Type="http://schemas.openxmlformats.org/officeDocument/2006/relationships/hyperlink" Target="https://sciwheel.com/work/bibliography/18551494" TargetMode="External"/><Relationship Id="rId81" Type="http://schemas.openxmlformats.org/officeDocument/2006/relationships/hyperlink" Target="https://sciwheel.com/work/bibliography/124582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Nourshaheen40@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hmed.saad1704@alexmed.edu.eg" TargetMode="External"/><Relationship Id="rId8" Type="http://schemas.openxmlformats.org/officeDocument/2006/relationships/hyperlink" Target="mailto:fabio.dennstaedt@insel.ch" TargetMode="External"/><Relationship Id="rId73" Type="http://schemas.openxmlformats.org/officeDocument/2006/relationships/hyperlink" Target="https://sciwheel.com/work/bibliography/18925860" TargetMode="External"/><Relationship Id="rId72" Type="http://schemas.openxmlformats.org/officeDocument/2006/relationships/hyperlink" Target="https://sciwheel.com/work/bibliography/18117193" TargetMode="External"/><Relationship Id="rId75" Type="http://schemas.openxmlformats.org/officeDocument/2006/relationships/hyperlink" Target="https://sciwheel.com/work/bibliography/16561546" TargetMode="External"/><Relationship Id="rId74" Type="http://schemas.openxmlformats.org/officeDocument/2006/relationships/hyperlink" Target="https://sciwheel.com/work/bibliography/18193487" TargetMode="External"/><Relationship Id="rId77" Type="http://schemas.openxmlformats.org/officeDocument/2006/relationships/hyperlink" Target="https://sciwheel.com/work/bibliography/18551434" TargetMode="External"/><Relationship Id="rId76" Type="http://schemas.openxmlformats.org/officeDocument/2006/relationships/hyperlink" Target="https://sciwheel.com/work/bibliography/15049172" TargetMode="External"/><Relationship Id="rId79" Type="http://schemas.openxmlformats.org/officeDocument/2006/relationships/hyperlink" Target="https://sciwheel.com/work/bibliography/18551432" TargetMode="External"/><Relationship Id="rId78" Type="http://schemas.openxmlformats.org/officeDocument/2006/relationships/hyperlink" Target="https://sciwheel.com/work/bibliography/18551435" TargetMode="External"/><Relationship Id="rId71" Type="http://schemas.openxmlformats.org/officeDocument/2006/relationships/hyperlink" Target="https://sciwheel.com/work/bibliography/3316823" TargetMode="External"/><Relationship Id="rId70" Type="http://schemas.openxmlformats.org/officeDocument/2006/relationships/hyperlink" Target="https://sciwheel.com/work/bibliography/16512795" TargetMode="External"/><Relationship Id="rId62" Type="http://schemas.openxmlformats.org/officeDocument/2006/relationships/hyperlink" Target="https://sciwheel.com/work/bibliography/16945409" TargetMode="External"/><Relationship Id="rId61" Type="http://schemas.openxmlformats.org/officeDocument/2006/relationships/hyperlink" Target="https://sciwheel.com/work/bibliography/4827371" TargetMode="External"/><Relationship Id="rId64" Type="http://schemas.openxmlformats.org/officeDocument/2006/relationships/hyperlink" Target="https://sciwheel.com/work/bibliography/5502926" TargetMode="External"/><Relationship Id="rId63" Type="http://schemas.openxmlformats.org/officeDocument/2006/relationships/hyperlink" Target="https://sciwheel.com/work/bibliography/18106493" TargetMode="External"/><Relationship Id="rId66" Type="http://schemas.openxmlformats.org/officeDocument/2006/relationships/hyperlink" Target="https://sciwheel.com/work/bibliography/13234370" TargetMode="External"/><Relationship Id="rId65" Type="http://schemas.openxmlformats.org/officeDocument/2006/relationships/hyperlink" Target="https://sciwheel.com/work/bibliography/12655424" TargetMode="External"/><Relationship Id="rId68" Type="http://schemas.openxmlformats.org/officeDocument/2006/relationships/hyperlink" Target="https://sciwheel.com/work/bibliography/2314392" TargetMode="External"/><Relationship Id="rId67" Type="http://schemas.openxmlformats.org/officeDocument/2006/relationships/hyperlink" Target="https://sciwheel.com/work/bibliography/10132159" TargetMode="External"/><Relationship Id="rId60" Type="http://schemas.openxmlformats.org/officeDocument/2006/relationships/hyperlink" Target="https://sciwheel.com/work/bibliography/17553128" TargetMode="External"/><Relationship Id="rId69" Type="http://schemas.openxmlformats.org/officeDocument/2006/relationships/hyperlink" Target="https://sciwheel.com/work/bibliography/11533562" TargetMode="External"/><Relationship Id="rId51" Type="http://schemas.openxmlformats.org/officeDocument/2006/relationships/hyperlink" Target="https://sciwheel.com/work/citation?ids=18931709,6434538&amp;pre=&amp;pre=&amp;suf=&amp;suf=&amp;sa=0,0" TargetMode="External"/><Relationship Id="rId50" Type="http://schemas.openxmlformats.org/officeDocument/2006/relationships/hyperlink" Target="https://sciwheel.com/work/citation?ids=18929160&amp;pre=&amp;suf=&amp;sa=0" TargetMode="External"/><Relationship Id="rId53" Type="http://schemas.openxmlformats.org/officeDocument/2006/relationships/hyperlink" Target="https://sciwheel.com/work/citation?ids=17723401,18931711&amp;pre=&amp;pre=&amp;suf=&amp;suf=&amp;sa=0,0" TargetMode="External"/><Relationship Id="rId52" Type="http://schemas.openxmlformats.org/officeDocument/2006/relationships/hyperlink" Target="https://sciwheel.com/work/citation?ids=17715959,18932442&amp;pre=&amp;pre=&amp;suf=&amp;suf=&amp;sa=0,0" TargetMode="External"/><Relationship Id="rId55" Type="http://schemas.openxmlformats.org/officeDocument/2006/relationships/hyperlink" Target="https://sciwheel.com/work/citation?ids=9380082&amp;pre=&amp;suf=&amp;sa=0" TargetMode="External"/><Relationship Id="rId54" Type="http://schemas.openxmlformats.org/officeDocument/2006/relationships/hyperlink" Target="https://sciwheel.com/work/citation?ids=15049172,18551493,18551494&amp;pre=&amp;pre=&amp;pre=&amp;suf=&amp;suf=&amp;suf=&amp;sa=0,0,0" TargetMode="External"/><Relationship Id="rId57" Type="http://schemas.openxmlformats.org/officeDocument/2006/relationships/hyperlink" Target="https://sciwheel.com/work/bibliography/4809663" TargetMode="External"/><Relationship Id="rId56" Type="http://schemas.openxmlformats.org/officeDocument/2006/relationships/hyperlink" Target="https://sciwheel.com/work/bibliography" TargetMode="External"/><Relationship Id="rId59" Type="http://schemas.openxmlformats.org/officeDocument/2006/relationships/hyperlink" Target="https://sciwheel.com/work/bibliography/18023618" TargetMode="External"/><Relationship Id="rId58" Type="http://schemas.openxmlformats.org/officeDocument/2006/relationships/hyperlink" Target="https://sciwheel.com/work/bibliography/16815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