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7A226" w14:textId="38C602C9" w:rsidR="00DA434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0279C1">
        <w:rPr>
          <w:rFonts w:ascii="Times New Roman" w:hAnsi="Times New Roman" w:cs="Times New Roman"/>
          <w:sz w:val="24"/>
          <w:szCs w:val="24"/>
        </w:rPr>
        <w:t xml:space="preserve">Short-acting regular insulin is the only insulin used for insulin infusions. Initially, normal saline is used until blood glucose levels are reduced, then a dextrose solution may be used to prevent hypoglycemia. </w:t>
      </w:r>
      <w:proofErr w:type="spellStart"/>
      <w:r w:rsidRPr="000279C1">
        <w:rPr>
          <w:rFonts w:ascii="Times New Roman" w:hAnsi="Times New Roman" w:cs="Times New Roman"/>
          <w:sz w:val="24"/>
          <w:szCs w:val="24"/>
        </w:rPr>
        <w:t>Ultralente</w:t>
      </w:r>
      <w:proofErr w:type="spellEnd"/>
      <w:r w:rsidRPr="000279C1">
        <w:rPr>
          <w:rFonts w:ascii="Times New Roman" w:hAnsi="Times New Roman" w:cs="Times New Roman"/>
          <w:sz w:val="24"/>
          <w:szCs w:val="24"/>
        </w:rPr>
        <w:t>, NPH, and PZI insulins have a longer duration of action and shouldn’t be used for continuous infusions.</w:t>
      </w:r>
    </w:p>
    <w:p w14:paraId="1F65B290" w14:textId="2472860B"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B. </w:t>
      </w:r>
      <w:r w:rsidRPr="000279C1">
        <w:rPr>
          <w:rFonts w:ascii="Times New Roman" w:hAnsi="Times New Roman" w:cs="Times New Roman"/>
          <w:sz w:val="24"/>
          <w:szCs w:val="24"/>
        </w:rPr>
        <w:t>A common side effect of fluoxetine is insomnia, which is best addressed by administering this medication early in the day. It is inappropriate for the nurse to tell the client to stop taking the drug, to continue taking it until the undesired effects wear off, or to seek a second opinion.</w:t>
      </w:r>
    </w:p>
    <w:p w14:paraId="588D1F13" w14:textId="7634871F"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B. </w:t>
      </w:r>
      <w:r w:rsidRPr="000279C1">
        <w:rPr>
          <w:rFonts w:ascii="Times New Roman" w:hAnsi="Times New Roman" w:cs="Times New Roman"/>
          <w:sz w:val="24"/>
          <w:szCs w:val="24"/>
        </w:rPr>
        <w:t>To straighten the ear canal of an adult, the pinna is pulled up and back. Options 1 and 3 aren’t appropriate methods for preparing the ear to receive eardrops. The palpebral fissures are in the eye.</w:t>
      </w:r>
    </w:p>
    <w:p w14:paraId="5830B99B" w14:textId="378B3B04"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0279C1">
        <w:rPr>
          <w:rFonts w:ascii="Times New Roman" w:hAnsi="Times New Roman" w:cs="Times New Roman"/>
          <w:sz w:val="24"/>
          <w:szCs w:val="24"/>
        </w:rPr>
        <w:t>Children’s acetaminophen is an anti-inflammatory and will decrease inflammation and pain. Children’s acetylsalicylic acid is contradicted in all children due to the risk of Reye’s Syndrome. Amoxicillin is an antibiotic used to treat bacterial infections of the middle ear and cetirizine is an antihistamine used to dry up secretions. Neither of these relieve pain.</w:t>
      </w:r>
    </w:p>
    <w:p w14:paraId="70739FEE" w14:textId="7363CBE3"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0279C1">
        <w:rPr>
          <w:rFonts w:ascii="Times New Roman" w:hAnsi="Times New Roman" w:cs="Times New Roman"/>
          <w:sz w:val="24"/>
          <w:szCs w:val="24"/>
        </w:rPr>
        <w:t>Cardiac arrhythmias are commonly observed with the administration of t-PA. Cardiac arrhythmias are associated with reperfusion of the cardiac tissue. Hypotension is commonly observed with the administration of t-PA. Seizures and hypothermia are not generally associated with reperfusion of the cardiac tissue.</w:t>
      </w:r>
    </w:p>
    <w:p w14:paraId="5691AF96" w14:textId="1871C348"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0279C1">
        <w:rPr>
          <w:rFonts w:ascii="Times New Roman" w:hAnsi="Times New Roman" w:cs="Times New Roman"/>
          <w:sz w:val="24"/>
          <w:szCs w:val="24"/>
        </w:rPr>
        <w:t xml:space="preserve">Nonsteroidal anti-inflammatory drugs (NSAIDs) can decrease the antihypertensive effect of ACE inhibitors and predispose clients to the development of acute renal failure. Common lab tests used to evaluate how well the kidneys are working are BUN, </w:t>
      </w:r>
      <w:r w:rsidRPr="000279C1">
        <w:rPr>
          <w:rFonts w:ascii="Times New Roman" w:hAnsi="Times New Roman" w:cs="Times New Roman"/>
          <w:sz w:val="24"/>
          <w:szCs w:val="24"/>
        </w:rPr>
        <w:lastRenderedPageBreak/>
        <w:t>creatinine, and creatinine clearance. Labs such as sodium, potassium, CPK, and WBC levels will not provide information on renal function.</w:t>
      </w:r>
    </w:p>
    <w:p w14:paraId="5F5D6291" w14:textId="1D543EC5"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0279C1">
        <w:rPr>
          <w:rFonts w:ascii="Times New Roman" w:hAnsi="Times New Roman" w:cs="Times New Roman"/>
          <w:sz w:val="24"/>
          <w:szCs w:val="24"/>
        </w:rPr>
        <w:t>Because most hemolytic reactions occur during the first 15 minutes of a blood transfusion, the nurse should plan to stay with the client for this length of time. During this time, the nurse should monitor the client's vital signs frequently, in accordance with facility policy. The nurse should start the infusion with normal saline solution only and should use at least a 19G catheter to prevent hemolysis of red blood cells. The nurse shouldn't warm the blood because refrigerating blood until infusion prevents bacterial growth.</w:t>
      </w:r>
    </w:p>
    <w:p w14:paraId="43F8BC32" w14:textId="6A2FC73F"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5. </w:t>
      </w:r>
      <w:r w:rsidRPr="000279C1">
        <w:rPr>
          <w:rFonts w:ascii="Times New Roman" w:hAnsi="Times New Roman" w:cs="Times New Roman"/>
          <w:sz w:val="24"/>
          <w:szCs w:val="24"/>
        </w:rPr>
        <w:t>To determine the number of insulin units the client is receiving per hour, the nurse must first calculate the number of units in each milliliter of fluid: (50 units)</w:t>
      </w:r>
      <w:proofErr w:type="gramStart"/>
      <w:r w:rsidRPr="000279C1">
        <w:rPr>
          <w:rFonts w:ascii="Times New Roman" w:hAnsi="Times New Roman" w:cs="Times New Roman"/>
          <w:sz w:val="24"/>
          <w:szCs w:val="24"/>
        </w:rPr>
        <w:t>/(</w:t>
      </w:r>
      <w:proofErr w:type="gramEnd"/>
      <w:r w:rsidRPr="000279C1">
        <w:rPr>
          <w:rFonts w:ascii="Times New Roman" w:hAnsi="Times New Roman" w:cs="Times New Roman"/>
          <w:sz w:val="24"/>
          <w:szCs w:val="24"/>
        </w:rPr>
        <w:t>100 mL)= 0.5 units/mL 0.5 units x 10 mL/hour=5 units/hour</w:t>
      </w:r>
    </w:p>
    <w:p w14:paraId="45FBADC7" w14:textId="38E14CEA" w:rsidR="000279C1" w:rsidRDefault="000279C1"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 </w:t>
      </w:r>
      <w:r w:rsidRPr="000279C1">
        <w:rPr>
          <w:rFonts w:ascii="Times New Roman" w:hAnsi="Times New Roman" w:cs="Times New Roman"/>
          <w:sz w:val="24"/>
          <w:szCs w:val="24"/>
        </w:rPr>
        <w:t>The causative agent of scarlet fever is Group A beta-hemolytic streptococci, which is susceptible to penicillin. Erythromycin is used for penicillin-sensitive children. Anti-inflammatory drugs, such as prednisone, are not indicated for these clients. Acyclovir is used in the treatment of herpes infections. Amphotericin B is used to treat fungal infections.</w:t>
      </w:r>
    </w:p>
    <w:p w14:paraId="36507491" w14:textId="37EF0A8F" w:rsidR="000279C1" w:rsidRDefault="00A71BB5"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B. </w:t>
      </w:r>
      <w:r w:rsidRPr="00A71BB5">
        <w:rPr>
          <w:rFonts w:ascii="Times New Roman" w:hAnsi="Times New Roman" w:cs="Times New Roman"/>
          <w:sz w:val="24"/>
          <w:szCs w:val="24"/>
        </w:rPr>
        <w:t xml:space="preserve">Aspirin interferes with platelet aggregation to prevent blood clots from forming or growing larger and is used in the treatment, and secondary prevention, of ischemic stroke due to thrombosis. Antiplatelet medication, such as aspirin, should be given by day two in the absence of a bleeding complication. Alteplase is a potent medication that breaks down blood clots. It is approved by the U.S. Food and Drug Administration (FDA) for treatment within three hours of the onset of ischemic stroke. When alteplase is given, the </w:t>
      </w:r>
      <w:r w:rsidRPr="00A71BB5">
        <w:rPr>
          <w:rFonts w:ascii="Times New Roman" w:hAnsi="Times New Roman" w:cs="Times New Roman"/>
          <w:sz w:val="24"/>
          <w:szCs w:val="24"/>
        </w:rPr>
        <w:lastRenderedPageBreak/>
        <w:t>client should have a brain scan 24-hours post infusion, and prior to the initiation of anti-platelet therapy. Methylprednisolone is a steroid with mild anticoagulant properties and is not indicated in acute stroke.</w:t>
      </w:r>
    </w:p>
    <w:p w14:paraId="6874E6F0" w14:textId="0EBE610E" w:rsidR="00A71BB5" w:rsidRDefault="00A71BB5"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A71BB5">
        <w:rPr>
          <w:rFonts w:ascii="Times New Roman" w:hAnsi="Times New Roman" w:cs="Times New Roman"/>
          <w:sz w:val="24"/>
          <w:szCs w:val="24"/>
        </w:rPr>
        <w:t xml:space="preserve">The eighth cranial nerve is the vestibulocochlear nerve, which is responsible for hearing and equilibrium. Streptomycin can damage this nerve (ototoxicity). Symptoms of ototoxicity include vertigo, tinnitus, hearing loss, and ataxia. Facial paralysis would result from damage to the facial nerve (VII). Impaired vision would result from damage to the optic (II), oculomotor (III), or the trochlear (IV) nerves. Difficulty swallowing would result from damage to the glossopharyngeal (IX) or the </w:t>
      </w:r>
      <w:proofErr w:type="spellStart"/>
      <w:r w:rsidRPr="00A71BB5">
        <w:rPr>
          <w:rFonts w:ascii="Times New Roman" w:hAnsi="Times New Roman" w:cs="Times New Roman"/>
          <w:sz w:val="24"/>
          <w:szCs w:val="24"/>
        </w:rPr>
        <w:t>vagus</w:t>
      </w:r>
      <w:proofErr w:type="spellEnd"/>
      <w:r w:rsidRPr="00A71BB5">
        <w:rPr>
          <w:rFonts w:ascii="Times New Roman" w:hAnsi="Times New Roman" w:cs="Times New Roman"/>
          <w:sz w:val="24"/>
          <w:szCs w:val="24"/>
        </w:rPr>
        <w:t xml:space="preserve"> (X) nerve.</w:t>
      </w:r>
    </w:p>
    <w:p w14:paraId="389E218A" w14:textId="3AF918A4" w:rsidR="00A71BB5" w:rsidRDefault="00A71BB5" w:rsidP="000279C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C. </w:t>
      </w:r>
      <w:r w:rsidRPr="00A71BB5">
        <w:rPr>
          <w:rFonts w:ascii="Times New Roman" w:hAnsi="Times New Roman" w:cs="Times New Roman"/>
          <w:sz w:val="24"/>
          <w:szCs w:val="24"/>
        </w:rPr>
        <w:t>Immunoglobulin E (</w:t>
      </w:r>
      <w:proofErr w:type="spellStart"/>
      <w:r w:rsidRPr="00A71BB5">
        <w:rPr>
          <w:rFonts w:ascii="Times New Roman" w:hAnsi="Times New Roman" w:cs="Times New Roman"/>
          <w:sz w:val="24"/>
          <w:szCs w:val="24"/>
        </w:rPr>
        <w:t>IgE</w:t>
      </w:r>
      <w:proofErr w:type="spellEnd"/>
      <w:r w:rsidRPr="00A71BB5">
        <w:rPr>
          <w:rFonts w:ascii="Times New Roman" w:hAnsi="Times New Roman" w:cs="Times New Roman"/>
          <w:sz w:val="24"/>
          <w:szCs w:val="24"/>
        </w:rPr>
        <w:t xml:space="preserve">) is involved with an allergic reaction. IgA combines with antigens and activates the complement system. </w:t>
      </w:r>
      <w:proofErr w:type="spellStart"/>
      <w:r w:rsidRPr="00A71BB5">
        <w:rPr>
          <w:rFonts w:ascii="Times New Roman" w:hAnsi="Times New Roman" w:cs="Times New Roman"/>
          <w:sz w:val="24"/>
          <w:szCs w:val="24"/>
        </w:rPr>
        <w:t>IgB</w:t>
      </w:r>
      <w:proofErr w:type="spellEnd"/>
      <w:r w:rsidRPr="00A71BB5">
        <w:rPr>
          <w:rFonts w:ascii="Times New Roman" w:hAnsi="Times New Roman" w:cs="Times New Roman"/>
          <w:sz w:val="24"/>
          <w:szCs w:val="24"/>
        </w:rPr>
        <w:t xml:space="preserve"> coats the surface of B lymphocytes. IgG is the principal immunoglobulin formed in response to most infectious agents.</w:t>
      </w:r>
    </w:p>
    <w:p w14:paraId="01330E0B" w14:textId="114B12DD" w:rsidR="00A71BB5" w:rsidRDefault="00A71BB5"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125. </w:t>
      </w:r>
      <w:r w:rsidRPr="00A71BB5">
        <w:rPr>
          <w:rFonts w:ascii="Times New Roman" w:hAnsi="Times New Roman" w:cs="Times New Roman"/>
          <w:sz w:val="24"/>
          <w:szCs w:val="24"/>
        </w:rPr>
        <w:t>A 12.5 kg child with a prescription for 40 mg/kg/day will receive a total of 500 mg daily. Since the drug is given every 6 hours, the child will receive 4 doses each day. Therefore:</w:t>
      </w:r>
      <w:r>
        <w:rPr>
          <w:rFonts w:ascii="Times New Roman" w:hAnsi="Times New Roman" w:cs="Times New Roman"/>
          <w:sz w:val="24"/>
          <w:szCs w:val="24"/>
        </w:rPr>
        <w:t xml:space="preserve"> </w:t>
      </w:r>
      <w:r w:rsidRPr="00A71BB5">
        <w:rPr>
          <w:rFonts w:ascii="Times New Roman" w:hAnsi="Times New Roman" w:cs="Times New Roman"/>
          <w:sz w:val="24"/>
          <w:szCs w:val="24"/>
        </w:rPr>
        <w:t>Individual dose = 500 mg/day ÷ 4 doses/day = 125 mg per dose</w:t>
      </w:r>
    </w:p>
    <w:p w14:paraId="081F68E1" w14:textId="06F19983" w:rsidR="00A71BB5" w:rsidRDefault="00A71BB5"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42. </w:t>
      </w:r>
      <w:r w:rsidRPr="00A71BB5">
        <w:rPr>
          <w:rFonts w:ascii="Times New Roman" w:hAnsi="Times New Roman" w:cs="Times New Roman"/>
          <w:sz w:val="24"/>
          <w:szCs w:val="24"/>
        </w:rPr>
        <w:t xml:space="preserve">The flow rate is determined by the rate of infusion and the number of drops per milliliter of the fluid being administered. </w:t>
      </w:r>
      <w:proofErr w:type="spellStart"/>
      <w:r w:rsidRPr="00A71BB5">
        <w:rPr>
          <w:rFonts w:ascii="Times New Roman" w:hAnsi="Times New Roman" w:cs="Times New Roman"/>
          <w:sz w:val="24"/>
          <w:szCs w:val="24"/>
        </w:rPr>
        <w:t>gtt</w:t>
      </w:r>
      <w:proofErr w:type="spellEnd"/>
      <w:r w:rsidRPr="00A71BB5">
        <w:rPr>
          <w:rFonts w:ascii="Times New Roman" w:hAnsi="Times New Roman" w:cs="Times New Roman"/>
          <w:sz w:val="24"/>
          <w:szCs w:val="24"/>
        </w:rPr>
        <w:t xml:space="preserve">/ml x amount to be infused/number of minutes = the I.V. flow rate 15 </w:t>
      </w:r>
      <w:proofErr w:type="spellStart"/>
      <w:r w:rsidRPr="00A71BB5">
        <w:rPr>
          <w:rFonts w:ascii="Times New Roman" w:hAnsi="Times New Roman" w:cs="Times New Roman"/>
          <w:sz w:val="24"/>
          <w:szCs w:val="24"/>
        </w:rPr>
        <w:t>gtt</w:t>
      </w:r>
      <w:proofErr w:type="spellEnd"/>
      <w:r w:rsidRPr="00A71BB5">
        <w:rPr>
          <w:rFonts w:ascii="Times New Roman" w:hAnsi="Times New Roman" w:cs="Times New Roman"/>
          <w:sz w:val="24"/>
          <w:szCs w:val="24"/>
        </w:rPr>
        <w:t xml:space="preserve">/ml x 1,000 ml/360 min = 42 </w:t>
      </w:r>
      <w:proofErr w:type="spellStart"/>
      <w:r w:rsidRPr="00A71BB5">
        <w:rPr>
          <w:rFonts w:ascii="Times New Roman" w:hAnsi="Times New Roman" w:cs="Times New Roman"/>
          <w:sz w:val="24"/>
          <w:szCs w:val="24"/>
        </w:rPr>
        <w:t>gtt</w:t>
      </w:r>
      <w:proofErr w:type="spellEnd"/>
      <w:r w:rsidRPr="00A71BB5">
        <w:rPr>
          <w:rFonts w:ascii="Times New Roman" w:hAnsi="Times New Roman" w:cs="Times New Roman"/>
          <w:sz w:val="24"/>
          <w:szCs w:val="24"/>
        </w:rPr>
        <w:t>/min</w:t>
      </w:r>
    </w:p>
    <w:p w14:paraId="7D9AE112" w14:textId="345F1594" w:rsidR="00A71BB5" w:rsidRDefault="00A71BB5"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14. </w:t>
      </w:r>
      <w:r w:rsidRPr="00A71BB5">
        <w:rPr>
          <w:rFonts w:ascii="Times New Roman" w:hAnsi="Times New Roman" w:cs="Times New Roman"/>
          <w:sz w:val="24"/>
          <w:szCs w:val="24"/>
        </w:rPr>
        <w:t xml:space="preserve">To determine the total daily dosage, set up this proportion: 25 kg/X = 1 kg/56 mg X = 1,400 mg. Next, divide the daily dosage by four doses to determine the dose to administer every 6 hours: X = 1,400 mg/4 doses X = 350 mg/dose. The adolescent should receive 350 mg every 6 hours. Lastly, calculate the volume to give for each dose by setting up this proportion: X/350 mg = 5 mL/125 mg X = 14 </w:t>
      </w:r>
      <w:proofErr w:type="spellStart"/>
      <w:r w:rsidRPr="00A71BB5">
        <w:rPr>
          <w:rFonts w:ascii="Times New Roman" w:hAnsi="Times New Roman" w:cs="Times New Roman"/>
          <w:sz w:val="24"/>
          <w:szCs w:val="24"/>
        </w:rPr>
        <w:t>mL.</w:t>
      </w:r>
      <w:proofErr w:type="spellEnd"/>
    </w:p>
    <w:p w14:paraId="3ECBA71B" w14:textId="3ADA8725" w:rsidR="00A71BB5" w:rsidRDefault="00A71BB5" w:rsidP="00A71BB5">
      <w:pPr>
        <w:pStyle w:val="ListParagraph"/>
        <w:numPr>
          <w:ilvl w:val="0"/>
          <w:numId w:val="1"/>
        </w:numPr>
        <w:spacing w:line="48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B,C</w:t>
      </w:r>
      <w:proofErr w:type="gramEnd"/>
      <w:r>
        <w:rPr>
          <w:rFonts w:ascii="Times New Roman" w:hAnsi="Times New Roman" w:cs="Times New Roman"/>
          <w:sz w:val="24"/>
          <w:szCs w:val="24"/>
        </w:rPr>
        <w:t xml:space="preserve">,E. </w:t>
      </w:r>
      <w:r w:rsidRPr="00A71BB5">
        <w:rPr>
          <w:rFonts w:ascii="Times New Roman" w:hAnsi="Times New Roman" w:cs="Times New Roman"/>
          <w:sz w:val="24"/>
          <w:szCs w:val="24"/>
        </w:rPr>
        <w:t>The client who is taking disulfiram is advised to avoid all forms of alcohol, including beer, communal wine at church, and cough syrup; these can trigger a serious physical reaction. Aged cheeses and chocolate are to be avoided by the client taking monoamine oxidase inhibitors.</w:t>
      </w:r>
    </w:p>
    <w:p w14:paraId="6C7F7AEB" w14:textId="231303F7" w:rsidR="00A71BB5" w:rsidRDefault="00A84483"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 </w:t>
      </w:r>
      <w:r w:rsidRPr="00A84483">
        <w:rPr>
          <w:rFonts w:ascii="Times New Roman" w:hAnsi="Times New Roman" w:cs="Times New Roman"/>
          <w:sz w:val="24"/>
          <w:szCs w:val="24"/>
        </w:rPr>
        <w:t>Adverse effects of pseudoephedrine are experienced primarily in the cardiovascular system and through sympathetic effects on the central nervous system (CNS). The most common CNS adverse effects include restlessness, dizziness, tension, anxiety, insomnia, and weakness. Common cardiovascular adverse effects include tachycardia, hypertension, palpitations, and arrhythmias. Constipation and diplopia are not adverse effects of pseudoephedrine. Tachycardia, not bradycardia, is an adverse effect of pseudoephedrine.</w:t>
      </w:r>
    </w:p>
    <w:p w14:paraId="2B8BE1EA" w14:textId="11C0A823" w:rsidR="00A84483" w:rsidRDefault="00A84483"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C. </w:t>
      </w:r>
      <w:r w:rsidRPr="00A84483">
        <w:rPr>
          <w:rFonts w:ascii="Times New Roman" w:hAnsi="Times New Roman" w:cs="Times New Roman"/>
          <w:sz w:val="24"/>
          <w:szCs w:val="24"/>
        </w:rPr>
        <w:t>This response provides a simple explanation of how anticonvulsants help treat manic symptoms in people experiencing rapid mood swings caused by kindling. It is commonly prescribed in conjunction with lithium carbonate and other psychotropic medications. Dietary restrictions are unnecessary unless the client is taking a monoamine oxidase inhibitor. Although a rash or allergic response is always a possibility with any medication, lamotrigine, not clonazepam is the anticonvulsant most likely to cause Stevens-Johnson syndrome.</w:t>
      </w:r>
    </w:p>
    <w:p w14:paraId="26FEF373" w14:textId="1A83CCA6" w:rsidR="00A84483" w:rsidRDefault="00A84483"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C. </w:t>
      </w:r>
      <w:r w:rsidRPr="00A84483">
        <w:rPr>
          <w:rFonts w:ascii="Times New Roman" w:hAnsi="Times New Roman" w:cs="Times New Roman"/>
          <w:sz w:val="24"/>
          <w:szCs w:val="24"/>
        </w:rPr>
        <w:t>Loop diuretics block sodium reabsorption in the ascending loop of Henle, which promotes water diuresis. They also dilate renal vessels. Although loop diuretics block potassium reabsorption, this isn't a therapeutic action. Thiazide diuretics, not loop diuretics, promote sodium secretion into the distal tubule.</w:t>
      </w:r>
    </w:p>
    <w:p w14:paraId="4D4EC2F7" w14:textId="1E880B5D" w:rsidR="00A84483" w:rsidRDefault="00A84483"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C.  </w:t>
      </w:r>
      <w:r w:rsidRPr="00A84483">
        <w:rPr>
          <w:rFonts w:ascii="Times New Roman" w:hAnsi="Times New Roman" w:cs="Times New Roman"/>
          <w:sz w:val="24"/>
          <w:szCs w:val="24"/>
        </w:rPr>
        <w:t>To be effective, zidovudine must be taken every 4 hours around the clock. Food doesn't affect absorption of this drug, so the client may take zidovudine either with food or on an empty stomach. To avoid serious drug interactions, the client should check with the physician before taking OTC medications.</w:t>
      </w:r>
    </w:p>
    <w:p w14:paraId="6428AEFF" w14:textId="1B57131A" w:rsidR="00A84483" w:rsidRDefault="00A84483"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C. </w:t>
      </w:r>
      <w:r w:rsidRPr="00A84483">
        <w:rPr>
          <w:rFonts w:ascii="Times New Roman" w:hAnsi="Times New Roman" w:cs="Times New Roman"/>
          <w:sz w:val="24"/>
          <w:szCs w:val="24"/>
        </w:rPr>
        <w:t>Valproic acid causes sedation as well as nausea, vomiting, and indigestion. Sedation is important because the client needs to be cautioned about driving or operating machinery that could be dangerous while feeling sedated from the medication. Valproic acid does not cause increased urination, slowed thinking, or weight loss. However, some clients may experience weight gain.</w:t>
      </w:r>
    </w:p>
    <w:p w14:paraId="76848DDB" w14:textId="6D7D790E" w:rsidR="00A84483" w:rsidRDefault="00A84483"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A84483">
        <w:rPr>
          <w:rFonts w:ascii="Times New Roman" w:hAnsi="Times New Roman" w:cs="Times New Roman"/>
          <w:sz w:val="24"/>
          <w:szCs w:val="24"/>
        </w:rPr>
        <w:t>An inhaled beta2-adrenergic agonist helps promote bronchodilation, which improves oxygenation. Although an I.V. beta2-adrenergic agonist can be used, the client needs be monitored because of the drug's greater systemic effects. The I.V. form is typically used when the inhaled beta2-adrenergic agonist doesn't work. A corticosteroid is slow acting, so its use won't reduce hypoxia in the acute phase.</w:t>
      </w:r>
    </w:p>
    <w:p w14:paraId="0199EE99" w14:textId="405F4D85" w:rsidR="00A84483" w:rsidRDefault="00781ADF"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C, </w:t>
      </w:r>
      <w:r w:rsidRPr="00781ADF">
        <w:rPr>
          <w:rFonts w:ascii="Times New Roman" w:hAnsi="Times New Roman" w:cs="Times New Roman"/>
          <w:sz w:val="24"/>
          <w:szCs w:val="24"/>
        </w:rPr>
        <w:t>A client in renal failure develops hyperphosphatemia that causes a corresponding excretion of the body's calcium stores, leading to renal osteodystrophy. To decrease this loss, aluminum hydroxide gel is prescribed to bind phosphates in the intestine and facilitate their excretion. Gastric hyperacidity is not necessarily a problem associated with chronic renal failure. Antacids will not prevent Curling stress ulcers and do not affect metabolic acidosis.</w:t>
      </w:r>
    </w:p>
    <w:p w14:paraId="232DBD09" w14:textId="0EDBD257" w:rsidR="00781ADF" w:rsidRDefault="00781ADF"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781ADF">
        <w:rPr>
          <w:rFonts w:ascii="Times New Roman" w:hAnsi="Times New Roman" w:cs="Times New Roman"/>
          <w:sz w:val="24"/>
          <w:szCs w:val="24"/>
        </w:rPr>
        <w:t>Combining a benzodiazepine with an antacid impairs the absorption rate of the benzodiazepine. Acetaminophen, vitamins, and aspirin are safe to take with a benzodiazepine because no major drug interactions occur.</w:t>
      </w:r>
    </w:p>
    <w:p w14:paraId="22210882" w14:textId="0A1FAE03" w:rsidR="00781ADF" w:rsidRDefault="00781ADF"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D. </w:t>
      </w:r>
      <w:r w:rsidRPr="00781ADF">
        <w:rPr>
          <w:rFonts w:ascii="Times New Roman" w:hAnsi="Times New Roman" w:cs="Times New Roman"/>
          <w:sz w:val="24"/>
          <w:szCs w:val="24"/>
        </w:rPr>
        <w:t>Digoxin is used to decrease the heart rate; however, the apical pulse must be carefully monitored to detect a severe reduction. Administering digoxin to an infant with a heart rate of less than 90/bpm could further reduce the rate and compromise cardiac output. Mixing digoxin with food may interfere with accurate dosing. Double dosing should never be done. Antacids may decrease drug absorption.</w:t>
      </w:r>
    </w:p>
    <w:p w14:paraId="0187ED05" w14:textId="77777777" w:rsidR="00D52B1C" w:rsidRDefault="00781ADF" w:rsidP="00A71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C. </w:t>
      </w:r>
      <w:r w:rsidRPr="00781ADF">
        <w:rPr>
          <w:rFonts w:ascii="Times New Roman" w:hAnsi="Times New Roman" w:cs="Times New Roman"/>
          <w:sz w:val="24"/>
          <w:szCs w:val="24"/>
        </w:rPr>
        <w:t>The bronchodilator would be given first to open up the airways and alveoli. Prednisone is not correct because steroids are not used for the acute phase. The drug is to be held in the lungs for greater absorption. Two to three minutes is the incorrect length of time between puffs</w:t>
      </w:r>
    </w:p>
    <w:p w14:paraId="7C6364CE" w14:textId="5BF630F1" w:rsidR="00781ADF" w:rsidRDefault="00D52B1C"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A. </w:t>
      </w:r>
      <w:r w:rsidRPr="00D52B1C">
        <w:rPr>
          <w:rFonts w:ascii="Times New Roman" w:hAnsi="Times New Roman" w:cs="Times New Roman"/>
          <w:sz w:val="24"/>
          <w:szCs w:val="24"/>
        </w:rPr>
        <w:t>The error must be reported to the health care provider to obtain a new scheduling prescription. An incident report should be completed, and the agency policy for medication errors should be followed.</w:t>
      </w:r>
    </w:p>
    <w:p w14:paraId="0EC06286" w14:textId="37CC2E16" w:rsidR="00D52B1C" w:rsidRDefault="00D52B1C"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C. </w:t>
      </w:r>
      <w:r w:rsidRPr="00D52B1C">
        <w:rPr>
          <w:rFonts w:ascii="Times New Roman" w:hAnsi="Times New Roman" w:cs="Times New Roman"/>
          <w:sz w:val="24"/>
          <w:szCs w:val="24"/>
        </w:rPr>
        <w:t>The presence of dizziness could indicate orthostatic hypotension, which may cause injury to the client from falling. Nausea, sedation, and dry mouth do not require immediate intervention by the nurse.</w:t>
      </w:r>
    </w:p>
    <w:p w14:paraId="2F10D6AA" w14:textId="62CD2DD9" w:rsidR="00D52B1C" w:rsidRDefault="008D2387"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C. </w:t>
      </w:r>
      <w:r w:rsidRPr="008D2387">
        <w:rPr>
          <w:rFonts w:ascii="Times New Roman" w:hAnsi="Times New Roman" w:cs="Times New Roman"/>
          <w:sz w:val="24"/>
          <w:szCs w:val="24"/>
        </w:rPr>
        <w:t>Warfarin is an anticoagulant that is used in the treatment of atrial fibrillation and decreased left ventricular ejection fraction (less than 20%) to prevent thrombus formation and the release of emboli into the circulation. The client may also take other medications as needed to manage the heart failure. Warfarin does not reduce circulatory load or improve myocardial workload. Warfarin does not affect cardiac rhythm.</w:t>
      </w:r>
    </w:p>
    <w:p w14:paraId="7464D03F" w14:textId="371BF79D" w:rsidR="008D2387" w:rsidRDefault="008D2387"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D. </w:t>
      </w:r>
      <w:r w:rsidRPr="008D2387">
        <w:rPr>
          <w:rFonts w:ascii="Times New Roman" w:hAnsi="Times New Roman" w:cs="Times New Roman"/>
          <w:sz w:val="24"/>
          <w:szCs w:val="24"/>
        </w:rPr>
        <w:t>The nurse should infuse gentamicin sulfate I.V. over at least 30 minutes. Infusing the drug more rapidly may increase the client's risk of adverse reactions</w:t>
      </w:r>
    </w:p>
    <w:p w14:paraId="46F70565" w14:textId="609DF00D" w:rsidR="008D2387" w:rsidRDefault="008D2387"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***B. </w:t>
      </w:r>
      <w:r w:rsidRPr="008D2387">
        <w:rPr>
          <w:rFonts w:ascii="Times New Roman" w:hAnsi="Times New Roman" w:cs="Times New Roman"/>
          <w:sz w:val="24"/>
          <w:szCs w:val="24"/>
        </w:rPr>
        <w:t>One of the actions of propranolol, a drug used in the treatment of migraine headaches, is to inhibit arterial vasodilation. The nurse should assess the client's blood pressure to evaluate the overall circulatory response to the medication. Until the nurse determines the client's blood pressure, there is no immediate need to contact the HCP. There is no immediate need to administer oxygen. The client has not indicated pain; it is not necessary to administer the sumatriptan at this time.</w:t>
      </w:r>
    </w:p>
    <w:p w14:paraId="260F1597" w14:textId="7D46A210" w:rsidR="008D2387" w:rsidRDefault="008D2387"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D. </w:t>
      </w:r>
      <w:r w:rsidRPr="008D2387">
        <w:rPr>
          <w:rFonts w:ascii="Times New Roman" w:hAnsi="Times New Roman" w:cs="Times New Roman"/>
          <w:sz w:val="24"/>
          <w:szCs w:val="24"/>
        </w:rPr>
        <w:t>If the client is seen within 1 hour of ingestion, activated charcoal can be given to prevent absorption, or gastric lavage can be used. Blood work would be obtained but wouldn’t be the first priority. Intravenous fluids would also be administered, but administering -acetylcysteine, the specific antidote for acetaminophen poisoning, is the priority.</w:t>
      </w:r>
    </w:p>
    <w:p w14:paraId="19C447A9" w14:textId="04B58073" w:rsidR="008D2387" w:rsidRDefault="008D2387"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A. </w:t>
      </w:r>
      <w:r w:rsidRPr="008D2387">
        <w:rPr>
          <w:rFonts w:ascii="Times New Roman" w:hAnsi="Times New Roman" w:cs="Times New Roman"/>
          <w:sz w:val="24"/>
          <w:szCs w:val="24"/>
        </w:rPr>
        <w:t>The alpha-adrenergic blocker tamsulosin relaxes the smooth muscle of the bladder neck and prostate, so the urinary voiding symptoms of BPH are reduced in many clients. These drugs do not affect the size of the prostate, renal function, or the production or metabolism of testosterone.</w:t>
      </w:r>
    </w:p>
    <w:p w14:paraId="420D78FE" w14:textId="0D69B8C1" w:rsidR="006E44CD" w:rsidRDefault="006E44CD"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6E44CD">
        <w:rPr>
          <w:rFonts w:ascii="Times New Roman" w:hAnsi="Times New Roman" w:cs="Times New Roman"/>
          <w:sz w:val="24"/>
          <w:szCs w:val="24"/>
        </w:rPr>
        <w:t>Carbamazepine is taken twice daily, at 12-hour intervals, for seizure disorders. Taking additional doses at the first sign of seizure activity could result in toxicity. The drug can cause suicidal ideation in clients who take it. Bruising may indicate aplastic anemia, a potentially severe adverse effect, and should be reported to the health care provider immediately.</w:t>
      </w:r>
    </w:p>
    <w:p w14:paraId="2BE18813" w14:textId="0064FD7E" w:rsidR="006E44CD" w:rsidRDefault="006E44CD"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 </w:t>
      </w:r>
      <w:r w:rsidRPr="006E44CD">
        <w:rPr>
          <w:rFonts w:ascii="Times New Roman" w:hAnsi="Times New Roman" w:cs="Times New Roman"/>
          <w:sz w:val="24"/>
          <w:szCs w:val="24"/>
        </w:rPr>
        <w:t>Digoxin is a potent cardiovascular drug that both slows conduction and increases contractility of the heart. Digoxin is administered slowly via IV push.</w:t>
      </w:r>
      <w:r w:rsidRPr="006E44CD">
        <w:t xml:space="preserve"> </w:t>
      </w:r>
      <w:r w:rsidRPr="006E44CD">
        <w:rPr>
          <w:rFonts w:ascii="Times New Roman" w:hAnsi="Times New Roman" w:cs="Times New Roman"/>
          <w:sz w:val="24"/>
          <w:szCs w:val="24"/>
        </w:rPr>
        <w:t xml:space="preserve">Although each 1 mL can be diluted in 4 mL of fluid such as normal saline, for injection, it is not added to </w:t>
      </w:r>
      <w:r w:rsidRPr="006E44CD">
        <w:rPr>
          <w:rFonts w:ascii="Times New Roman" w:hAnsi="Times New Roman" w:cs="Times New Roman"/>
          <w:sz w:val="24"/>
          <w:szCs w:val="24"/>
        </w:rPr>
        <w:lastRenderedPageBreak/>
        <w:t>the IV bag of solution or given over a 30-minute duration.</w:t>
      </w:r>
      <w:r w:rsidRPr="006E44CD">
        <w:t xml:space="preserve"> </w:t>
      </w:r>
      <w:r w:rsidRPr="006E44CD">
        <w:rPr>
          <w:rFonts w:ascii="Times New Roman" w:hAnsi="Times New Roman" w:cs="Times New Roman"/>
          <w:sz w:val="24"/>
          <w:szCs w:val="24"/>
        </w:rPr>
        <w:t xml:space="preserve">There is no need to question the HCP’s prescription at this time. Because digoxin is a new medication for this client and because it takes this type of dosing to reach a therapeutic level, dosing such as the one described is typical when the medication is first initiated. </w:t>
      </w:r>
      <w:r w:rsidRPr="006E44CD">
        <w:rPr>
          <w:rFonts w:ascii="Times New Roman" w:hAnsi="Times New Roman" w:cs="Times New Roman"/>
          <w:b/>
          <w:bCs/>
          <w:sz w:val="24"/>
          <w:szCs w:val="24"/>
        </w:rPr>
        <w:t>It is a type of loading dose</w:t>
      </w:r>
      <w:r w:rsidRPr="006E44CD">
        <w:rPr>
          <w:rFonts w:ascii="Times New Roman" w:hAnsi="Times New Roman" w:cs="Times New Roman"/>
          <w:sz w:val="24"/>
          <w:szCs w:val="24"/>
        </w:rPr>
        <w:t xml:space="preserve"> </w:t>
      </w:r>
      <w:r w:rsidRPr="006E44CD">
        <w:rPr>
          <w:rFonts w:ascii="Times New Roman" w:hAnsi="Times New Roman" w:cs="Times New Roman"/>
          <w:b/>
          <w:bCs/>
          <w:sz w:val="24"/>
          <w:szCs w:val="24"/>
        </w:rPr>
        <w:t>protocol for digoxin, sometimes referred to as digitalization</w:t>
      </w:r>
      <w:r w:rsidRPr="006E44CD">
        <w:rPr>
          <w:rFonts w:ascii="Times New Roman" w:hAnsi="Times New Roman" w:cs="Times New Roman"/>
          <w:sz w:val="24"/>
          <w:szCs w:val="24"/>
        </w:rPr>
        <w:t>.</w:t>
      </w:r>
    </w:p>
    <w:p w14:paraId="3D5D7B7A" w14:textId="55304BB0" w:rsidR="006E44CD" w:rsidRDefault="006E44CD"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2. </w:t>
      </w:r>
      <w:r w:rsidRPr="006E44CD">
        <w:rPr>
          <w:rFonts w:ascii="Times New Roman" w:hAnsi="Times New Roman" w:cs="Times New Roman"/>
          <w:sz w:val="24"/>
          <w:szCs w:val="24"/>
        </w:rPr>
        <w:t>The client would have a regularly prescribed dose of 1.5mg X 3 (</w:t>
      </w:r>
      <w:proofErr w:type="spellStart"/>
      <w:r w:rsidRPr="006E44CD">
        <w:rPr>
          <w:rFonts w:ascii="Times New Roman" w:hAnsi="Times New Roman" w:cs="Times New Roman"/>
          <w:sz w:val="24"/>
          <w:szCs w:val="24"/>
        </w:rPr>
        <w:t>tid</w:t>
      </w:r>
      <w:proofErr w:type="spellEnd"/>
      <w:r w:rsidRPr="006E44CD">
        <w:rPr>
          <w:rFonts w:ascii="Times New Roman" w:hAnsi="Times New Roman" w:cs="Times New Roman"/>
          <w:sz w:val="24"/>
          <w:szCs w:val="24"/>
        </w:rPr>
        <w:t>)= 4.5mg. The client only has 2 doses or 3 mg possible to remain under the maximum dosage cap.</w:t>
      </w:r>
    </w:p>
    <w:p w14:paraId="38D48F2E" w14:textId="2CE26700" w:rsidR="00955AB1" w:rsidRDefault="00955AB1"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 </w:t>
      </w:r>
      <w:r w:rsidRPr="00955AB1">
        <w:rPr>
          <w:rFonts w:ascii="Times New Roman" w:hAnsi="Times New Roman" w:cs="Times New Roman"/>
          <w:sz w:val="24"/>
          <w:szCs w:val="24"/>
        </w:rPr>
        <w:t xml:space="preserve">A client who is allergic to cephalosporins may also be allergic to penicillin. For the same reason, penicillin must be used cautiously in clients who are allergic to </w:t>
      </w:r>
      <w:proofErr w:type="spellStart"/>
      <w:r w:rsidRPr="00955AB1">
        <w:rPr>
          <w:rFonts w:ascii="Times New Roman" w:hAnsi="Times New Roman" w:cs="Times New Roman"/>
          <w:sz w:val="24"/>
          <w:szCs w:val="24"/>
        </w:rPr>
        <w:t>cephamycins</w:t>
      </w:r>
      <w:proofErr w:type="spellEnd"/>
      <w:r w:rsidRPr="00955AB1">
        <w:rPr>
          <w:rFonts w:ascii="Times New Roman" w:hAnsi="Times New Roman" w:cs="Times New Roman"/>
          <w:sz w:val="24"/>
          <w:szCs w:val="24"/>
        </w:rPr>
        <w:t>, griseofulvin, or penicillamine. Cross-sensitivity between penicillin and tetracyclines, aminoglycosides, and erythromycins hasn't been observed.</w:t>
      </w:r>
    </w:p>
    <w:p w14:paraId="04962CCA" w14:textId="2FF0760B" w:rsidR="00955AB1" w:rsidRDefault="00955AB1"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C. </w:t>
      </w:r>
      <w:r w:rsidRPr="00955AB1">
        <w:rPr>
          <w:rFonts w:ascii="Times New Roman" w:hAnsi="Times New Roman" w:cs="Times New Roman"/>
          <w:sz w:val="24"/>
          <w:szCs w:val="24"/>
        </w:rPr>
        <w:t>Valproic acid is commonly used to treat manic symptoms. Therefore, a decrease in the valproic acid level could explain the increase in manic symptoms.</w:t>
      </w:r>
    </w:p>
    <w:p w14:paraId="36ED5033" w14:textId="44C36C58" w:rsidR="00955AB1" w:rsidRDefault="00955AB1"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A. </w:t>
      </w:r>
      <w:r w:rsidRPr="00955AB1">
        <w:rPr>
          <w:rFonts w:ascii="Times New Roman" w:hAnsi="Times New Roman" w:cs="Times New Roman"/>
          <w:sz w:val="24"/>
          <w:szCs w:val="24"/>
        </w:rPr>
        <w:t>Digoxin's effect is to slow the rate of electrical conduction through the heart and increase the strength of the heart's contraction. Signs of toxicity include anorexia and decreased heart rate, not visual changes or increases in heart rate. Digoxin should be taken 1 hour before meals or 2 hours after meals to obtain better absorption of the drug. If the child vomits within 15 minutes of administration, the dose should not be repeated because it is not known how much of the medication has been absorbed.</w:t>
      </w:r>
    </w:p>
    <w:p w14:paraId="182055B2" w14:textId="50A21D01" w:rsidR="00955AB1" w:rsidRDefault="00955AB1"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B. </w:t>
      </w:r>
      <w:r w:rsidRPr="00955AB1">
        <w:rPr>
          <w:rFonts w:ascii="Times New Roman" w:hAnsi="Times New Roman" w:cs="Times New Roman"/>
          <w:sz w:val="24"/>
          <w:szCs w:val="24"/>
        </w:rPr>
        <w:t>Gentamicin sulfate is an antibiotic that can cause ototoxicity and nephrotoxicity. Therefore, a decrease in urine output would be concerning. None of the other options would be of concern as a side effect of gentamicin.</w:t>
      </w:r>
    </w:p>
    <w:p w14:paraId="763F8ED2" w14:textId="20CE9D0E" w:rsidR="00955AB1" w:rsidRDefault="002E6F96"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Pr>
          <w:rFonts w:ascii="Times New Roman" w:hAnsi="Times New Roman" w:cs="Times New Roman"/>
          <w:sz w:val="24"/>
          <w:szCs w:val="24"/>
        </w:rPr>
        <w:t>A,B</w:t>
      </w:r>
      <w:proofErr w:type="gramEnd"/>
      <w:r>
        <w:rPr>
          <w:rFonts w:ascii="Times New Roman" w:hAnsi="Times New Roman" w:cs="Times New Roman"/>
          <w:sz w:val="24"/>
          <w:szCs w:val="24"/>
        </w:rPr>
        <w:t xml:space="preserve">,C. </w:t>
      </w:r>
      <w:r w:rsidRPr="002E6F96">
        <w:rPr>
          <w:rFonts w:ascii="Times New Roman" w:hAnsi="Times New Roman" w:cs="Times New Roman"/>
          <w:sz w:val="24"/>
          <w:szCs w:val="24"/>
        </w:rPr>
        <w:t>Symptoms of digoxin toxicity include severe sinus bradycardia, colorful halos around lights, nausea, anorexia, and vomiting.</w:t>
      </w:r>
    </w:p>
    <w:p w14:paraId="316BF422" w14:textId="2001934B" w:rsidR="002E6F96" w:rsidRDefault="002E6F96"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B. </w:t>
      </w:r>
      <w:r w:rsidRPr="002E6F96">
        <w:rPr>
          <w:rFonts w:ascii="Times New Roman" w:hAnsi="Times New Roman" w:cs="Times New Roman"/>
          <w:sz w:val="24"/>
          <w:szCs w:val="24"/>
        </w:rPr>
        <w:t>Headache, sweating, tremor, pallor, and nervousness typically result from hypoglycemia, an insulin reaction in which serum glucose level drops below 70 mg/dl (3.88 mmol/L). Isophane (NPH) insulin typically peaks at 4-12 hours after administration.</w:t>
      </w:r>
    </w:p>
    <w:p w14:paraId="777C6C53" w14:textId="6BC2B620" w:rsidR="002E6F96" w:rsidRDefault="002E6F96"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2E6F96">
        <w:rPr>
          <w:rFonts w:ascii="Times New Roman" w:hAnsi="Times New Roman" w:cs="Times New Roman"/>
          <w:sz w:val="24"/>
          <w:szCs w:val="24"/>
        </w:rPr>
        <w:t>Excess catecholamine release occurs with pheochromocytoma and causes hypertension. The nurse should prepare to administer nitroprusside to control the hypertension until the client undergoes adrenalectomy to remove the tumor.</w:t>
      </w:r>
    </w:p>
    <w:p w14:paraId="27D1CBDC" w14:textId="7852D1C4" w:rsidR="002E6F96" w:rsidRDefault="002E6F96"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A. </w:t>
      </w:r>
      <w:r w:rsidRPr="002E6F96">
        <w:rPr>
          <w:rFonts w:ascii="Times New Roman" w:hAnsi="Times New Roman" w:cs="Times New Roman"/>
          <w:sz w:val="24"/>
          <w:szCs w:val="24"/>
        </w:rPr>
        <w:t>The most serious adverse effects of PTU are leukopenia and agranulocytosis, which usually occur within the first 3 months of treatment. The client should be taught to promptly report to the health care provider signs and symptoms of infection, such as a sore throat and fever.</w:t>
      </w:r>
    </w:p>
    <w:p w14:paraId="1C465087" w14:textId="6DC315D7" w:rsidR="002E6F96" w:rsidRDefault="002E6F96"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B. </w:t>
      </w:r>
      <w:r w:rsidRPr="002E6F96">
        <w:rPr>
          <w:rFonts w:ascii="Times New Roman" w:hAnsi="Times New Roman" w:cs="Times New Roman"/>
          <w:sz w:val="24"/>
          <w:szCs w:val="24"/>
        </w:rPr>
        <w:t>The nurse should never inject into sensitive muscles, especially those that twitch or tremble during assessment of site landmarks and tissue depth. Injections into these trigger areas may cause sharp or referred pain, such as the pain caused by nerve trauma. Positioning the client supine and flexing the foot is correct for the injection site, but ignores the assessment findings. Positioning the client on the left or right side would allow access to the ventrogluteal site. Distraction also ignores the assessment finding.</w:t>
      </w:r>
    </w:p>
    <w:p w14:paraId="7029C659" w14:textId="0A3274AD" w:rsidR="00D50C93" w:rsidRDefault="00D50C93"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D50C93">
        <w:rPr>
          <w:rFonts w:ascii="Times New Roman" w:hAnsi="Times New Roman" w:cs="Times New Roman"/>
          <w:sz w:val="24"/>
          <w:szCs w:val="24"/>
        </w:rPr>
        <w:t>The client is experiencing a dystonic reaction to the administration of haloperidol that needs to be reversed by diphenhydramine. Chlorpromazine also causes this type of reaction and would not be indicated for use in this client. Midazolam and diazepam would cause drowsiness but do not have the properties to reverse the dystonic state.</w:t>
      </w:r>
    </w:p>
    <w:p w14:paraId="4CB2CF43" w14:textId="76D19AFF" w:rsidR="00D50C93" w:rsidRDefault="00D50C93"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 </w:t>
      </w:r>
      <w:r w:rsidRPr="00D50C93">
        <w:rPr>
          <w:rFonts w:ascii="Times New Roman" w:hAnsi="Times New Roman" w:cs="Times New Roman"/>
          <w:sz w:val="24"/>
          <w:szCs w:val="24"/>
        </w:rPr>
        <w:t>Low sodium levels may predispose clients to toxicity with lithium.</w:t>
      </w:r>
    </w:p>
    <w:p w14:paraId="62341308" w14:textId="562F0DD5" w:rsidR="00D50C93" w:rsidRDefault="00D50C93"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D50C93">
        <w:rPr>
          <w:rFonts w:ascii="Times New Roman" w:hAnsi="Times New Roman" w:cs="Times New Roman"/>
          <w:sz w:val="24"/>
          <w:szCs w:val="24"/>
        </w:rPr>
        <w:t xml:space="preserve">The prescribed dose is 250 mg every 6 hours, which is 1000 mg in 24 hours. The recommended dose is 20 to 50 mg times the weight of 55 </w:t>
      </w:r>
      <w:proofErr w:type="spellStart"/>
      <w:r w:rsidRPr="00D50C93">
        <w:rPr>
          <w:rFonts w:ascii="Times New Roman" w:hAnsi="Times New Roman" w:cs="Times New Roman"/>
          <w:sz w:val="24"/>
          <w:szCs w:val="24"/>
        </w:rPr>
        <w:t>lb</w:t>
      </w:r>
      <w:proofErr w:type="spellEnd"/>
      <w:r w:rsidRPr="00D50C93">
        <w:rPr>
          <w:rFonts w:ascii="Times New Roman" w:hAnsi="Times New Roman" w:cs="Times New Roman"/>
          <w:sz w:val="24"/>
          <w:szCs w:val="24"/>
        </w:rPr>
        <w:t xml:space="preserve"> (25 kg) in 24 hours, which is 500 to 1250 mg in 24 hours. Therefore, because the prescribed dose is within the recommended range</w:t>
      </w:r>
      <w:r>
        <w:rPr>
          <w:rFonts w:ascii="Times New Roman" w:hAnsi="Times New Roman" w:cs="Times New Roman"/>
          <w:sz w:val="24"/>
          <w:szCs w:val="24"/>
        </w:rPr>
        <w:t>.</w:t>
      </w:r>
    </w:p>
    <w:p w14:paraId="66328901" w14:textId="05C9A9BB" w:rsidR="00D50C93" w:rsidRDefault="00D50C93"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Pr="00D50C93">
        <w:rPr>
          <w:rFonts w:ascii="Times New Roman" w:hAnsi="Times New Roman" w:cs="Times New Roman"/>
          <w:sz w:val="24"/>
          <w:szCs w:val="24"/>
        </w:rPr>
        <w:t>Caffeine should be avoided because it increases urine output. Clients need to maintain adequate fluid intake to avoid lithium toxicity. Don't limit or increase salt intake; the kidneys will retain or excrete lithium if salt intake varies. Clients should remain on medication even though they're feeling better.</w:t>
      </w:r>
    </w:p>
    <w:p w14:paraId="248130EB" w14:textId="7D19D941" w:rsidR="00D50C93" w:rsidRDefault="00D50C93"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 </w:t>
      </w:r>
      <w:r w:rsidRPr="00D50C93">
        <w:rPr>
          <w:rFonts w:ascii="Times New Roman" w:hAnsi="Times New Roman" w:cs="Times New Roman"/>
          <w:sz w:val="24"/>
          <w:szCs w:val="24"/>
        </w:rPr>
        <w:t>Flumazenil reverses the effects of benzodiazepines such as midazolam. Naloxone is used to reverse opioids, such as morphine. Protamine sulfate reverses the effects of heparin. Phentolamine is injected into the tissues to reverse the damaging effects of a dopamine infiltration</w:t>
      </w:r>
    </w:p>
    <w:p w14:paraId="63B07CC9" w14:textId="5F1401D9" w:rsidR="00D50C93" w:rsidRPr="00D52B1C" w:rsidRDefault="00D50C93" w:rsidP="00D52B1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B. </w:t>
      </w:r>
      <w:r w:rsidRPr="00D50C93">
        <w:rPr>
          <w:rFonts w:ascii="Times New Roman" w:hAnsi="Times New Roman" w:cs="Times New Roman"/>
          <w:sz w:val="24"/>
          <w:szCs w:val="24"/>
        </w:rPr>
        <w:t>The expected effect of lactulose is for the client to have two to three soft stools a day to help reduce the pH and serum ammonia levels, which will prevent hepatic encephalopathy. Diarrhea, or frequent loose stools, is a potential adverse effect of the medication.</w:t>
      </w:r>
      <w:bookmarkStart w:id="0" w:name="_GoBack"/>
      <w:bookmarkEnd w:id="0"/>
    </w:p>
    <w:sectPr w:rsidR="00D50C93" w:rsidRPr="00D52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57DA7"/>
    <w:multiLevelType w:val="hybridMultilevel"/>
    <w:tmpl w:val="78C47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E1"/>
    <w:rsid w:val="000279C1"/>
    <w:rsid w:val="002E6F96"/>
    <w:rsid w:val="006E44CD"/>
    <w:rsid w:val="00781ADF"/>
    <w:rsid w:val="008D2387"/>
    <w:rsid w:val="00955AB1"/>
    <w:rsid w:val="00A71BB5"/>
    <w:rsid w:val="00A84483"/>
    <w:rsid w:val="00B057E1"/>
    <w:rsid w:val="00BF6E11"/>
    <w:rsid w:val="00D50C93"/>
    <w:rsid w:val="00D52B1C"/>
    <w:rsid w:val="00DA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99D7"/>
  <w15:chartTrackingRefBased/>
  <w15:docId w15:val="{251E5D5A-F3DB-49E2-B667-51029574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923383">
      <w:bodyDiv w:val="1"/>
      <w:marLeft w:val="0"/>
      <w:marRight w:val="0"/>
      <w:marTop w:val="0"/>
      <w:marBottom w:val="0"/>
      <w:divBdr>
        <w:top w:val="none" w:sz="0" w:space="0" w:color="auto"/>
        <w:left w:val="none" w:sz="0" w:space="0" w:color="auto"/>
        <w:bottom w:val="none" w:sz="0" w:space="0" w:color="auto"/>
        <w:right w:val="none" w:sz="0" w:space="0" w:color="auto"/>
      </w:divBdr>
    </w:div>
    <w:div w:id="803546225">
      <w:bodyDiv w:val="1"/>
      <w:marLeft w:val="0"/>
      <w:marRight w:val="0"/>
      <w:marTop w:val="0"/>
      <w:marBottom w:val="0"/>
      <w:divBdr>
        <w:top w:val="none" w:sz="0" w:space="0" w:color="auto"/>
        <w:left w:val="none" w:sz="0" w:space="0" w:color="auto"/>
        <w:bottom w:val="none" w:sz="0" w:space="0" w:color="auto"/>
        <w:right w:val="none" w:sz="0" w:space="0" w:color="auto"/>
      </w:divBdr>
      <w:divsChild>
        <w:div w:id="973490689">
          <w:marLeft w:val="0"/>
          <w:marRight w:val="0"/>
          <w:marTop w:val="300"/>
          <w:marBottom w:val="150"/>
          <w:divBdr>
            <w:top w:val="none" w:sz="0" w:space="0" w:color="auto"/>
            <w:left w:val="none" w:sz="0" w:space="0" w:color="auto"/>
            <w:bottom w:val="none" w:sz="0" w:space="0" w:color="auto"/>
            <w:right w:val="none" w:sz="0" w:space="0" w:color="auto"/>
          </w:divBdr>
        </w:div>
      </w:divsChild>
    </w:div>
    <w:div w:id="1082680281">
      <w:bodyDiv w:val="1"/>
      <w:marLeft w:val="0"/>
      <w:marRight w:val="0"/>
      <w:marTop w:val="0"/>
      <w:marBottom w:val="0"/>
      <w:divBdr>
        <w:top w:val="none" w:sz="0" w:space="0" w:color="auto"/>
        <w:left w:val="none" w:sz="0" w:space="0" w:color="auto"/>
        <w:bottom w:val="none" w:sz="0" w:space="0" w:color="auto"/>
        <w:right w:val="none" w:sz="0" w:space="0" w:color="auto"/>
      </w:divBdr>
      <w:divsChild>
        <w:div w:id="909928784">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2547</Words>
  <Characters>14522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Nicome</dc:creator>
  <cp:keywords/>
  <dc:description/>
  <cp:lastModifiedBy>Jade Nicome</cp:lastModifiedBy>
  <cp:revision>2</cp:revision>
  <dcterms:created xsi:type="dcterms:W3CDTF">2024-07-26T12:51:00Z</dcterms:created>
  <dcterms:modified xsi:type="dcterms:W3CDTF">2024-07-26T15:11:00Z</dcterms:modified>
</cp:coreProperties>
</file>