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X09f93dea0a52278d41bc34b5454d03f44066407"/>
    <w:p>
      <w:pPr>
        <w:pStyle w:val="Heading1"/>
      </w:pPr>
      <w:r>
        <w:t xml:space="preserve">Fifty High-Yield RENR Topics for Exam Study</w:t>
      </w:r>
    </w:p>
    <w:bookmarkStart w:id="23" w:name="executive-summary"/>
    <w:p>
      <w:pPr>
        <w:pStyle w:val="Heading2"/>
      </w:pPr>
      <w:r>
        <w:t xml:space="preserve">Executive summary</w:t>
      </w:r>
    </w:p>
    <w:p>
      <w:pPr>
        <w:pStyle w:val="FirstParagraph"/>
      </w:pPr>
      <w:r>
        <w:t xml:space="preserve">The Regional Examination for Nurse Registration (RENR) as described in the Caribbean Examinations Council</w:t>
      </w:r>
      <w:hyperlink r:id="rId21">
        <w:r>
          <w:rPr>
            <w:rStyle w:val="Hyperlink"/>
          </w:rPr>
          <w:t xml:space="preserve">[1]</w:t>
        </w:r>
      </w:hyperlink>
      <w:r>
        <w:t xml:space="preserve"> </w:t>
      </w:r>
      <w:r>
        <w:t xml:space="preserve">preparation guide is a two-paper, multiple-choice examination (100–120 items per paper; 2.5 hours per paper) with items presented as stand-alone questions and scenario-based question sets.</w:t>
      </w:r>
      <w:r>
        <w:t xml:space="preserve"> </w:t>
      </w:r>
      <w:hyperlink r:id="rId22">
        <w:r>
          <w:rPr>
            <w:rStyle w:val="Hyperlink"/>
          </w:rPr>
          <w:t xml:space="preserve">[2]</w:t>
        </w:r>
      </w:hyperlink>
      <w:r>
        <w:t xml:space="preserve"> </w:t>
      </w:r>
      <w:r>
        <w:t xml:space="preserve">The RENR blueprint framework is organized into seven nursing domains (with the largest emphasis on Nursing Practice and Clinical Decision Making and Intervention) and places the greatest cognitive weight on</w:t>
      </w:r>
      <w:r>
        <w:t xml:space="preserve"> </w:t>
      </w:r>
      <w:r>
        <w:rPr>
          <w:b/>
          <w:bCs/>
        </w:rPr>
        <w:t xml:space="preserve">application</w:t>
      </w:r>
      <w:r>
        <w:t xml:space="preserve"> </w:t>
      </w:r>
      <w:r>
        <w:t xml:space="preserve">(50%), followed by analysis/synthesis/evaluation (30%).</w:t>
      </w:r>
      <w:r>
        <w:t xml:space="preserve"> </w:t>
      </w:r>
      <w:hyperlink r:id="rId22">
        <w:r>
          <w:rPr>
            <w:rStyle w:val="Hyperlink"/>
          </w:rPr>
          <w:t xml:space="preserve">[3]</w:t>
        </w:r>
      </w:hyperlink>
      <w:r>
        <w:t xml:space="preserve"> </w:t>
      </w:r>
      <w:r>
        <w:t xml:space="preserve">The CARICOM blueprint text that underpinned the regional exam identifies</w:t>
      </w:r>
      <w:r>
        <w:t xml:space="preserve"> </w:t>
      </w:r>
      <w:r>
        <w:rPr>
          <w:b/>
          <w:bCs/>
        </w:rPr>
        <w:t xml:space="preserve">major emphasis</w:t>
      </w:r>
      <w:r>
        <w:t xml:space="preserve"> </w:t>
      </w:r>
      <w:r>
        <w:t xml:space="preserve">categories for health problems in the region—infectious/inflammatory, neoplastic, accident/trauma, degenerative, psychosocial/psychiatric, and environmental—and it frames testing across the lifespan and common Caribbean health problems.</w:t>
      </w:r>
      <w:r>
        <w:t xml:space="preserve"> </w:t>
      </w:r>
      <w:hyperlink r:id="rId21">
        <w:r>
          <w:rPr>
            <w:rStyle w:val="Hyperlink"/>
          </w:rPr>
          <w:t xml:space="preserve">[4]</w:t>
        </w:r>
      </w:hyperlink>
      <w:r>
        <w:t xml:space="preserve"> </w:t>
      </w:r>
      <w:r>
        <w:t xml:space="preserve">The 50 topics below are prioritized to reflect these published (a) domain and taxonomy weightings and (b) the blueprint’s “common health problems” and core nursing skills expectations.</w:t>
      </w:r>
      <w:r>
        <w:t xml:space="preserve"> </w:t>
      </w:r>
      <w:hyperlink r:id="rId22">
        <w:r>
          <w:rPr>
            <w:rStyle w:val="Hyperlink"/>
          </w:rPr>
          <w:t xml:space="preserve">[5]</w:t>
        </w:r>
      </w:hyperlink>
    </w:p>
    <w:bookmarkEnd w:id="23"/>
    <w:bookmarkStart w:id="24" w:name="X8b606660b28181d6a860b9b2e7bd15fe3b35d03"/>
    <w:p>
      <w:pPr>
        <w:pStyle w:val="Heading2"/>
      </w:pPr>
      <w:r>
        <w:t xml:space="preserve">RENR blueprint basis, exam structure, and item formats</w:t>
      </w:r>
    </w:p>
    <w:p>
      <w:pPr>
        <w:pStyle w:val="FirstParagraph"/>
      </w:pPr>
      <w:r>
        <w:t xml:space="preserve">The RENR preparation guide states that the actual test consists of</w:t>
      </w:r>
      <w:r>
        <w:t xml:space="preserve"> </w:t>
      </w:r>
      <w:r>
        <w:rPr>
          <w:b/>
          <w:bCs/>
        </w:rPr>
        <w:t xml:space="preserve">two papers</w:t>
      </w:r>
      <w:r>
        <w:t xml:space="preserve"> </w:t>
      </w:r>
      <w:r>
        <w:t xml:space="preserve">(Paper 1 and Paper 2), each with</w:t>
      </w:r>
      <w:r>
        <w:t xml:space="preserve"> </w:t>
      </w:r>
      <w:r>
        <w:rPr>
          <w:b/>
          <w:bCs/>
        </w:rPr>
        <w:t xml:space="preserve">100–120 multiple-choice items</w:t>
      </w:r>
      <w:r>
        <w:t xml:space="preserve">, with</w:t>
      </w:r>
      <w:r>
        <w:t xml:space="preserve"> </w:t>
      </w:r>
      <w:r>
        <w:rPr>
          <w:b/>
          <w:bCs/>
        </w:rPr>
        <w:t xml:space="preserve">2 hours and 30 minutes</w:t>
      </w:r>
      <w:r>
        <w:t xml:space="preserve"> </w:t>
      </w:r>
      <w:r>
        <w:t xml:space="preserve">allotted to answer each paper.</w:t>
      </w:r>
      <w:r>
        <w:t xml:space="preserve"> </w:t>
      </w:r>
      <w:hyperlink r:id="rId22">
        <w:r>
          <w:rPr>
            <w:rStyle w:val="Hyperlink"/>
          </w:rPr>
          <w:t xml:space="preserve">[2]</w:t>
        </w:r>
      </w:hyperlink>
      <w:r>
        <w:t xml:space="preserve"> </w:t>
      </w:r>
      <w:r>
        <w:t xml:space="preserve">The sample candidate instructions also clarify that items are</w:t>
      </w:r>
      <w:r>
        <w:t xml:space="preserve"> </w:t>
      </w:r>
      <w:r>
        <w:rPr>
          <w:b/>
          <w:bCs/>
        </w:rPr>
        <w:t xml:space="preserve">four-option</w:t>
      </w:r>
      <w:r>
        <w:t xml:space="preserve"> </w:t>
      </w:r>
      <w:r>
        <w:t xml:space="preserve">multiple-choice with</w:t>
      </w:r>
      <w:r>
        <w:t xml:space="preserve"> </w:t>
      </w:r>
      <w:r>
        <w:rPr>
          <w:b/>
          <w:bCs/>
        </w:rPr>
        <w:t xml:space="preserve">one best answer</w:t>
      </w:r>
      <w:r>
        <w:t xml:space="preserve">, and that questions include both</w:t>
      </w:r>
      <w:r>
        <w:t xml:space="preserve"> </w:t>
      </w:r>
      <w:r>
        <w:rPr>
          <w:b/>
          <w:bCs/>
        </w:rPr>
        <w:t xml:space="preserve">discrete, stand-alone items</w:t>
      </w:r>
      <w:r>
        <w:t xml:space="preserve"> </w:t>
      </w:r>
      <w:r>
        <w:t xml:space="preserve">and</w:t>
      </w:r>
      <w:r>
        <w:t xml:space="preserve"> </w:t>
      </w:r>
      <w:r>
        <w:rPr>
          <w:b/>
          <w:bCs/>
        </w:rPr>
        <w:t xml:space="preserve">series of questions based on a brief nursing scenario</w:t>
      </w:r>
      <w:r>
        <w:t xml:space="preserve">.</w:t>
      </w:r>
      <w:r>
        <w:t xml:space="preserve"> </w:t>
      </w:r>
      <w:hyperlink r:id="rId22">
        <w:r>
          <w:rPr>
            <w:rStyle w:val="Hyperlink"/>
          </w:rPr>
          <w:t xml:space="preserve">[6]</w:t>
        </w:r>
      </w:hyperlink>
    </w:p>
    <w:p>
      <w:pPr>
        <w:pStyle w:val="BodyText"/>
      </w:pPr>
      <w:r>
        <w:t xml:space="preserve">For prioritization, two blueprint elements are particularly test-relevant:</w:t>
      </w:r>
    </w:p>
    <w:p>
      <w:pPr>
        <w:pStyle w:val="Compact"/>
        <w:numPr>
          <w:ilvl w:val="0"/>
          <w:numId w:val="1001"/>
        </w:numPr>
      </w:pPr>
      <w:r>
        <w:rPr>
          <w:b/>
          <w:bCs/>
        </w:rPr>
        <w:t xml:space="preserve">Domain weighting</w:t>
      </w:r>
      <w:r>
        <w:t xml:space="preserve">: Nursing Practice (30%) and Clinical Decision Making and Intervention (20%) dominate, with substantial additional emphasis on Leadership/Management (15%) and Communication (10%).</w:t>
      </w:r>
      <w:r>
        <w:t xml:space="preserve"> </w:t>
      </w:r>
      <w:hyperlink r:id="rId22">
        <w:r>
          <w:rPr>
            <w:rStyle w:val="Hyperlink"/>
          </w:rPr>
          <w:t xml:space="preserve">[3]</w:t>
        </w:r>
      </w:hyperlink>
    </w:p>
    <w:p>
      <w:pPr>
        <w:pStyle w:val="Compact"/>
        <w:numPr>
          <w:ilvl w:val="0"/>
          <w:numId w:val="1001"/>
        </w:numPr>
      </w:pPr>
      <w:r>
        <w:rPr>
          <w:b/>
          <w:bCs/>
        </w:rPr>
        <w:t xml:space="preserve">Cognitive weighting</w:t>
      </w:r>
      <w:r>
        <w:t xml:space="preserve">: Application is the largest share (50%), indicating frequent “what should the nurse do next / first / best” and “how to apply principles in a vignette” items.</w:t>
      </w:r>
      <w:r>
        <w:t xml:space="preserve"> </w:t>
      </w:r>
      <w:hyperlink r:id="rId22">
        <w:r>
          <w:rPr>
            <w:rStyle w:val="Hyperlink"/>
          </w:rPr>
          <w:t xml:space="preserve">[7]</w:t>
        </w:r>
      </w:hyperlink>
    </w:p>
    <w:bookmarkEnd w:id="24"/>
    <w:bookmarkStart w:id="27" w:name="X38e7a99c60d638ff7c87d9d764e324a6422b454"/>
    <w:p>
      <w:pPr>
        <w:pStyle w:val="Heading2"/>
      </w:pPr>
      <w:r>
        <w:t xml:space="preserve">Evidence base and prioritization approach</w:t>
      </w:r>
    </w:p>
    <w:p>
      <w:pPr>
        <w:pStyle w:val="FirstParagraph"/>
      </w:pPr>
      <w:r>
        <w:t xml:space="preserve">This topic list was derived by triangulating three primary regional references:</w:t>
      </w:r>
    </w:p>
    <w:p>
      <w:pPr>
        <w:pStyle w:val="Compact"/>
        <w:numPr>
          <w:ilvl w:val="0"/>
          <w:numId w:val="1002"/>
        </w:numPr>
      </w:pPr>
      <w:r>
        <w:t xml:space="preserve">The CXC RENR Preparation Guide (domains, competencies, exam structure, and a 100-item practice test illustrating item styles and tested situations).</w:t>
      </w:r>
      <w:r>
        <w:t xml:space="preserve"> </w:t>
      </w:r>
      <w:hyperlink r:id="rId22">
        <w:r>
          <w:rPr>
            <w:rStyle w:val="Hyperlink"/>
          </w:rPr>
          <w:t xml:space="preserve">[8]</w:t>
        </w:r>
      </w:hyperlink>
    </w:p>
    <w:p>
      <w:pPr>
        <w:pStyle w:val="Compact"/>
        <w:numPr>
          <w:ilvl w:val="0"/>
          <w:numId w:val="1002"/>
        </w:numPr>
      </w:pPr>
      <w:r>
        <w:t xml:space="preserve">The CARICOM blueprint text (publicly available copy) that articulates (a) high-emphasis health-problem categories and (b) common Caribbean health problems by age group, plus a core skills list used for assessment expectations.</w:t>
      </w:r>
      <w:r>
        <w:t xml:space="preserve"> </w:t>
      </w:r>
      <w:hyperlink r:id="rId21">
        <w:r>
          <w:rPr>
            <w:rStyle w:val="Hyperlink"/>
          </w:rPr>
          <w:t xml:space="preserve">[9]</w:t>
        </w:r>
      </w:hyperlink>
    </w:p>
    <w:p>
      <w:pPr>
        <w:pStyle w:val="Compact"/>
        <w:numPr>
          <w:ilvl w:val="0"/>
          <w:numId w:val="1002"/>
        </w:numPr>
      </w:pPr>
      <w:r>
        <w:t xml:space="preserve">The CARICOM “Curriculum for Registered Nursing Education Programme” establishing that competency domains form the basis for the regional examination process, and detailing course-level content areas (adult health, child-bearing family, mental health, community nursing) that align with examined competencies.</w:t>
      </w:r>
      <w:r>
        <w:t xml:space="preserve"> </w:t>
      </w:r>
      <w:hyperlink r:id="rId25">
        <w:r>
          <w:rPr>
            <w:rStyle w:val="Hyperlink"/>
          </w:rPr>
          <w:t xml:space="preserve">[10]</w:t>
        </w:r>
      </w:hyperlink>
    </w:p>
    <w:p>
      <w:pPr>
        <w:pStyle w:val="FirstParagraph"/>
      </w:pPr>
      <w:r>
        <w:t xml:space="preserve">A peer-reviewed historical description corroborates that the regional examination model is built from mutually agreed competencies that form the basis for elaborating the blueprint and administrative manuals, even as exam formats have evolved over time.</w:t>
      </w:r>
      <w:r>
        <w:t xml:space="preserve"> </w:t>
      </w:r>
      <w:hyperlink r:id="rId26">
        <w:r>
          <w:rPr>
            <w:rStyle w:val="Hyperlink"/>
          </w:rPr>
          <w:t xml:space="preserve">[11]</w:t>
        </w:r>
      </w:hyperlink>
    </w:p>
    <w:bookmarkEnd w:id="27"/>
    <w:bookmarkStart w:id="28" w:name="topic-groupings-by-practical-category"/>
    <w:p>
      <w:pPr>
        <w:pStyle w:val="Heading2"/>
      </w:pPr>
      <w:r>
        <w:t xml:space="preserve">Topic groupings by practical category</w:t>
      </w:r>
    </w:p>
    <w:p>
      <w:pPr>
        <w:pStyle w:val="SourceCode"/>
      </w:pPr>
      <w:r>
        <w:rPr>
          <w:rStyle w:val="VerbatimChar"/>
        </w:rPr>
        <w:t xml:space="preserve">flowchart TB</w:t>
      </w:r>
      <w:r>
        <w:br/>
      </w:r>
      <w:r>
        <w:rPr>
          <w:rStyle w:val="VerbatimChar"/>
        </w:rPr>
        <w:t xml:space="preserve">A[RENR high-yield study topics] --&gt; B[Management, legal, professionalism]</w:t>
      </w:r>
      <w:r>
        <w:br/>
      </w:r>
      <w:r>
        <w:rPr>
          <w:rStyle w:val="VerbatimChar"/>
        </w:rPr>
        <w:t xml:space="preserve">A --&gt; C[Safety, infection control, core procedures]</w:t>
      </w:r>
      <w:r>
        <w:br/>
      </w:r>
      <w:r>
        <w:rPr>
          <w:rStyle w:val="VerbatimChar"/>
        </w:rPr>
        <w:t xml:space="preserve">A --&gt; D[Maternal-child &amp; family nursing]</w:t>
      </w:r>
      <w:r>
        <w:br/>
      </w:r>
      <w:r>
        <w:rPr>
          <w:rStyle w:val="VerbatimChar"/>
        </w:rPr>
        <w:t xml:space="preserve">A --&gt; E[Psychosocial &amp; therapeutic communication]</w:t>
      </w:r>
      <w:r>
        <w:br/>
      </w:r>
      <w:r>
        <w:rPr>
          <w:rStyle w:val="VerbatimChar"/>
        </w:rPr>
        <w:t xml:space="preserve">A --&gt; F[Medical-surgical &amp; community health priorities]</w:t>
      </w:r>
    </w:p>
    <w:bookmarkEnd w:id="28"/>
    <w:bookmarkStart w:id="29" w:name="prioritized-renr-topic-table"/>
    <w:p>
      <w:pPr>
        <w:pStyle w:val="Heading2"/>
      </w:pPr>
      <w:r>
        <w:t xml:space="preserve">Prioritized RENR topic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Topic</w:t>
            </w:r>
          </w:p>
        </w:tc>
        <w:tc>
          <w:tcPr/>
          <w:p>
            <w:pPr>
              <w:pStyle w:val="Compact"/>
            </w:pPr>
            <w:r>
              <w:t xml:space="preserve">Why tested (with source)</w:t>
            </w:r>
          </w:p>
        </w:tc>
        <w:tc>
          <w:tcPr/>
          <w:p>
            <w:pPr>
              <w:pStyle w:val="Compact"/>
            </w:pPr>
            <w:r>
              <w:t xml:space="preserve">Question formats</w:t>
            </w:r>
          </w:p>
        </w:tc>
        <w:tc>
          <w:tcPr/>
          <w:p>
            <w:pPr>
              <w:pStyle w:val="Compact"/>
            </w:pPr>
            <w:r>
              <w:t xml:space="preserve">High-yield subtopics/example stems</w:t>
            </w:r>
          </w:p>
        </w:tc>
      </w:tr>
      <w:tr>
        <w:tc>
          <w:tcPr/>
          <w:p>
            <w:pPr>
              <w:pStyle w:val="Compact"/>
            </w:pPr>
            <w:r>
              <w:t xml:space="preserve">Nursing process and care planning</w:t>
            </w:r>
          </w:p>
        </w:tc>
        <w:tc>
          <w:tcPr/>
          <w:p>
            <w:pPr>
              <w:pStyle w:val="Compact"/>
            </w:pPr>
            <w:r>
              <w:t xml:space="preserve">The Nursing Practice domain explicitly requires using the nursing process as the framework for safe, ethical, effective care (a heavily weighted domain).</w:t>
            </w:r>
            <w:r>
              <w:t xml:space="preserve"> </w:t>
            </w:r>
            <w:hyperlink r:id="rId22">
              <w:r>
                <w:rPr>
                  <w:rStyle w:val="Hyperlink"/>
                </w:rPr>
                <w:t xml:space="preserve">[12]</w:t>
              </w:r>
            </w:hyperlink>
          </w:p>
        </w:tc>
        <w:tc>
          <w:tcPr/>
          <w:p>
            <w:pPr>
              <w:pStyle w:val="Compact"/>
            </w:pPr>
            <w:r>
              <w:t xml:space="preserve">MC (4-option single best answer); stand-alone + scenario sets</w:t>
            </w:r>
          </w:p>
        </w:tc>
        <w:tc>
          <w:tcPr/>
          <w:p>
            <w:pPr>
              <w:pStyle w:val="Compact"/>
            </w:pPr>
            <w:r>
              <w:t xml:space="preserve">“Best nursing diagnosis/goal for this client”; “Which intervention belongs in the plan?”; “Which outcome best evaluates effectiveness?”</w:t>
            </w:r>
          </w:p>
        </w:tc>
      </w:tr>
      <w:tr>
        <w:tc>
          <w:tcPr/>
          <w:p>
            <w:pPr>
              <w:pStyle w:val="Compact"/>
            </w:pPr>
            <w:r>
              <w:t xml:space="preserve">Holistic assessment and vital sign interpretation</w:t>
            </w:r>
          </w:p>
        </w:tc>
        <w:tc>
          <w:tcPr/>
          <w:p>
            <w:pPr>
              <w:pStyle w:val="Compact"/>
            </w:pPr>
            <w:r>
              <w:t xml:space="preserve">Domain expectations include selecting valid assessment tools, systematic data collection, interpretation, and priority-setting from assessment data.</w:t>
            </w:r>
            <w:r>
              <w:t xml:space="preserve"> </w:t>
            </w:r>
            <w:hyperlink r:id="rId22">
              <w:r>
                <w:rPr>
                  <w:rStyle w:val="Hyperlink"/>
                </w:rPr>
                <w:t xml:space="preserve">[13]</w:t>
              </w:r>
            </w:hyperlink>
          </w:p>
        </w:tc>
        <w:tc>
          <w:tcPr/>
          <w:p>
            <w:pPr>
              <w:pStyle w:val="Compact"/>
            </w:pPr>
            <w:r>
              <w:t xml:space="preserve">MC; frequently vignette-based</w:t>
            </w:r>
          </w:p>
        </w:tc>
        <w:tc>
          <w:tcPr/>
          <w:p>
            <w:pPr>
              <w:pStyle w:val="Compact"/>
            </w:pPr>
            <w:r>
              <w:t xml:space="preserve">Focused assessment cues; abnormal VS interpretation; abdominal assessment sequence-style questions</w:t>
            </w:r>
            <w:r>
              <w:t xml:space="preserve"> </w:t>
            </w:r>
            <w:hyperlink r:id="rId22">
              <w:r>
                <w:rPr>
                  <w:rStyle w:val="Hyperlink"/>
                </w:rPr>
                <w:t xml:space="preserve">[6]</w:t>
              </w:r>
            </w:hyperlink>
          </w:p>
        </w:tc>
      </w:tr>
      <w:tr>
        <w:tc>
          <w:tcPr/>
          <w:p>
            <w:pPr>
              <w:pStyle w:val="Compact"/>
            </w:pPr>
            <w:r>
              <w:t xml:space="preserve">Clinical decision making and prioritization</w:t>
            </w:r>
          </w:p>
        </w:tc>
        <w:tc>
          <w:tcPr/>
          <w:p>
            <w:pPr>
              <w:pStyle w:val="Compact"/>
            </w:pPr>
            <w:r>
              <w:t xml:space="preserve">Clinical Decision Making and Intervention emphasizes critical thinking, pattern recognition, and selecting/justifying actions—aligned with the exam’s high application and ASE weighting.</w:t>
            </w:r>
            <w:r>
              <w:t xml:space="preserve"> </w:t>
            </w:r>
            <w:hyperlink r:id="rId22">
              <w:r>
                <w:rPr>
                  <w:rStyle w:val="Hyperlink"/>
                </w:rPr>
                <w:t xml:space="preserve">[3]</w:t>
              </w:r>
            </w:hyperlink>
          </w:p>
        </w:tc>
        <w:tc>
          <w:tcPr/>
          <w:p>
            <w:pPr>
              <w:pStyle w:val="Compact"/>
            </w:pPr>
            <w:r>
              <w:t xml:space="preserve">MC; scenario “first/priority/best” items</w:t>
            </w:r>
          </w:p>
        </w:tc>
        <w:tc>
          <w:tcPr/>
          <w:p>
            <w:pPr>
              <w:pStyle w:val="Compact"/>
            </w:pPr>
            <w:r>
              <w:t xml:space="preserve">“FIRST action” in deterioration; distinguishing relevant vs irrelevant data; prioritizing competing needs (ABCs/safety)</w:t>
            </w:r>
          </w:p>
        </w:tc>
      </w:tr>
      <w:tr>
        <w:tc>
          <w:tcPr/>
          <w:p>
            <w:pPr>
              <w:pStyle w:val="Compact"/>
            </w:pPr>
            <w:r>
              <w:t xml:space="preserve">Delegation, assignment, and supervision</w:t>
            </w:r>
          </w:p>
        </w:tc>
        <w:tc>
          <w:tcPr/>
          <w:p>
            <w:pPr>
              <w:pStyle w:val="Compact"/>
            </w:pPr>
            <w:r>
              <w:t xml:space="preserve">Leadership/Management competencies include effective delegation and team coordination in clinical environments.</w:t>
            </w:r>
            <w:r>
              <w:t xml:space="preserve"> </w:t>
            </w:r>
            <w:hyperlink r:id="rId22">
              <w:r>
                <w:rPr>
                  <w:rStyle w:val="Hyperlink"/>
                </w:rPr>
                <w:t xml:space="preserve">[14]</w:t>
              </w:r>
            </w:hyperlink>
          </w:p>
        </w:tc>
        <w:tc>
          <w:tcPr/>
          <w:p>
            <w:pPr>
              <w:pStyle w:val="Compact"/>
            </w:pPr>
            <w:r>
              <w:t xml:space="preserve">MC; management vignettes</w:t>
            </w:r>
          </w:p>
        </w:tc>
        <w:tc>
          <w:tcPr/>
          <w:p>
            <w:pPr>
              <w:pStyle w:val="Compact"/>
            </w:pPr>
            <w:r>
              <w:t xml:space="preserve">“Which task is appropriate to delegate?”; responsibility vs accountability; supervision activities and evaluation of delegated work</w:t>
            </w:r>
            <w:r>
              <w:t xml:space="preserve"> </w:t>
            </w:r>
            <w:hyperlink r:id="rId22">
              <w:r>
                <w:rPr>
                  <w:rStyle w:val="Hyperlink"/>
                </w:rPr>
                <w:t xml:space="preserve">[15]</w:t>
              </w:r>
            </w:hyperlink>
          </w:p>
        </w:tc>
      </w:tr>
      <w:tr>
        <w:tc>
          <w:tcPr/>
          <w:p>
            <w:pPr>
              <w:pStyle w:val="Compact"/>
            </w:pPr>
            <w:r>
              <w:t xml:space="preserve">Nursing leadership and management of resources</w:t>
            </w:r>
          </w:p>
        </w:tc>
        <w:tc>
          <w:tcPr/>
          <w:p>
            <w:pPr>
              <w:pStyle w:val="Compact"/>
            </w:pPr>
            <w:r>
              <w:t xml:space="preserve">The NLM domain explicitly tests planning, organizing, problem-solving, conflict management, and managing resources to provide safe, efficient care.</w:t>
            </w:r>
            <w:r>
              <w:t xml:space="preserve"> </w:t>
            </w:r>
            <w:hyperlink r:id="rId22">
              <w:r>
                <w:rPr>
                  <w:rStyle w:val="Hyperlink"/>
                </w:rPr>
                <w:t xml:space="preserve">[14]</w:t>
              </w:r>
            </w:hyperlink>
          </w:p>
        </w:tc>
        <w:tc>
          <w:tcPr/>
          <w:p>
            <w:pPr>
              <w:pStyle w:val="Compact"/>
            </w:pPr>
            <w:r>
              <w:t xml:space="preserve">MC; scenario sets common</w:t>
            </w:r>
          </w:p>
        </w:tc>
        <w:tc>
          <w:tcPr/>
          <w:p>
            <w:pPr>
              <w:pStyle w:val="Compact"/>
            </w:pPr>
            <w:r>
              <w:t xml:space="preserve">Leadership styles; change management steps; resource tracking/avoiding wastage</w:t>
            </w:r>
            <w:r>
              <w:t xml:space="preserve"> </w:t>
            </w:r>
            <w:hyperlink r:id="rId22">
              <w:r>
                <w:rPr>
                  <w:rStyle w:val="Hyperlink"/>
                </w:rPr>
                <w:t xml:space="preserve">[15]</w:t>
              </w:r>
            </w:hyperlink>
          </w:p>
        </w:tc>
      </w:tr>
      <w:tr>
        <w:tc>
          <w:tcPr/>
          <w:p>
            <w:pPr>
              <w:pStyle w:val="Compact"/>
            </w:pPr>
            <w:r>
              <w:t xml:space="preserve">Professional conduct and ethical decision making</w:t>
            </w:r>
          </w:p>
        </w:tc>
        <w:tc>
          <w:tcPr/>
          <w:p>
            <w:pPr>
              <w:pStyle w:val="Compact"/>
            </w:pPr>
            <w:r>
              <w:t xml:space="preserve">Professional Conduct requires care consistent with the International Council of Nurses</w:t>
            </w:r>
            <w:hyperlink r:id="rId22">
              <w:r>
                <w:rPr>
                  <w:rStyle w:val="Hyperlink"/>
                </w:rPr>
                <w:t xml:space="preserve">[16]</w:t>
              </w:r>
            </w:hyperlink>
            <w:r>
              <w:t xml:space="preserve"> </w:t>
            </w:r>
            <w:r>
              <w:t xml:space="preserve">code and legal/ethical accountability for actions.</w:t>
            </w:r>
            <w:r>
              <w:t xml:space="preserve"> </w:t>
            </w:r>
            <w:hyperlink r:id="rId22">
              <w:r>
                <w:rPr>
                  <w:rStyle w:val="Hyperlink"/>
                </w:rPr>
                <w:t xml:space="preserve">[14]</w:t>
              </w:r>
            </w:hyperlink>
          </w:p>
        </w:tc>
        <w:tc>
          <w:tcPr/>
          <w:p>
            <w:pPr>
              <w:pStyle w:val="Compact"/>
            </w:pPr>
            <w:r>
              <w:t xml:space="preserve">MC; principle-based</w:t>
            </w:r>
          </w:p>
        </w:tc>
        <w:tc>
          <w:tcPr/>
          <w:p>
            <w:pPr>
              <w:pStyle w:val="Compact"/>
            </w:pPr>
            <w:r>
              <w:t xml:space="preserve">ICN Code elements; beneficence/nonmaleficence; refusing/withholding care scenarios</w:t>
            </w:r>
            <w:r>
              <w:t xml:space="preserve"> </w:t>
            </w:r>
            <w:hyperlink r:id="rId22">
              <w:r>
                <w:rPr>
                  <w:rStyle w:val="Hyperlink"/>
                </w:rPr>
                <w:t xml:space="preserve">[15]</w:t>
              </w:r>
            </w:hyperlink>
          </w:p>
        </w:tc>
      </w:tr>
      <w:tr>
        <w:tc>
          <w:tcPr/>
          <w:p>
            <w:pPr>
              <w:pStyle w:val="Compact"/>
            </w:pPr>
            <w:r>
              <w:t xml:space="preserve">Legal nursing practice</w:t>
            </w:r>
          </w:p>
        </w:tc>
        <w:tc>
          <w:tcPr/>
          <w:p>
            <w:pPr>
              <w:pStyle w:val="Compact"/>
            </w:pPr>
            <w:r>
              <w:t xml:space="preserve">Nursing Practice and Professional Conduct domains explicitly reference informed consent, regulatory/legal frameworks, and respect for patient rights; practice items illustrate consent/assault/battery and privacy breaches.</w:t>
            </w:r>
            <w:r>
              <w:t xml:space="preserve"> </w:t>
            </w:r>
            <w:hyperlink r:id="rId22">
              <w:r>
                <w:rPr>
                  <w:rStyle w:val="Hyperlink"/>
                </w:rPr>
                <w:t xml:space="preserve">[17]</w:t>
              </w:r>
            </w:hyperlink>
          </w:p>
        </w:tc>
        <w:tc>
          <w:tcPr/>
          <w:p>
            <w:pPr>
              <w:pStyle w:val="Compact"/>
            </w:pPr>
            <w:r>
              <w:t xml:space="preserve">MC; often “which is legal/correct”</w:t>
            </w:r>
          </w:p>
        </w:tc>
        <w:tc>
          <w:tcPr/>
          <w:p>
            <w:pPr>
              <w:pStyle w:val="Compact"/>
            </w:pPr>
            <w:r>
              <w:t xml:space="preserve">Components of informed consent; negligence documentation failures; privacy breaches (unauthorized chart access)</w:t>
            </w:r>
            <w:r>
              <w:t xml:space="preserve"> </w:t>
            </w:r>
            <w:hyperlink r:id="rId22">
              <w:r>
                <w:rPr>
                  <w:rStyle w:val="Hyperlink"/>
                </w:rPr>
                <w:t xml:space="preserve">[18]</w:t>
              </w:r>
            </w:hyperlink>
          </w:p>
        </w:tc>
      </w:tr>
      <w:tr>
        <w:tc>
          <w:tcPr/>
          <w:p>
            <w:pPr>
              <w:pStyle w:val="Compact"/>
            </w:pPr>
            <w:r>
              <w:t xml:space="preserve">Therapeutic communication and counselling</w:t>
            </w:r>
          </w:p>
        </w:tc>
        <w:tc>
          <w:tcPr/>
          <w:p>
            <w:pPr>
              <w:pStyle w:val="Compact"/>
            </w:pPr>
            <w:r>
              <w:t xml:space="preserve">Communication competencies focus on therapeutic relationships, boundaries, sensitivity, and effective interpersonal skills; practice items include best therapeutic responses and empathy.</w:t>
            </w:r>
            <w:r>
              <w:t xml:space="preserve"> </w:t>
            </w:r>
            <w:hyperlink r:id="rId22">
              <w:r>
                <w:rPr>
                  <w:rStyle w:val="Hyperlink"/>
                </w:rPr>
                <w:t xml:space="preserve">[19]</w:t>
              </w:r>
            </w:hyperlink>
          </w:p>
        </w:tc>
        <w:tc>
          <w:tcPr/>
          <w:p>
            <w:pPr>
              <w:pStyle w:val="Compact"/>
            </w:pPr>
            <w:r>
              <w:t xml:space="preserve">MC; many “best response” items</w:t>
            </w:r>
          </w:p>
        </w:tc>
        <w:tc>
          <w:tcPr/>
          <w:p>
            <w:pPr>
              <w:pStyle w:val="Compact"/>
            </w:pPr>
            <w:r>
              <w:t xml:space="preserve">Responding to denial/distress; empathy vs false reassurance; interview environment setup</w:t>
            </w:r>
            <w:r>
              <w:t xml:space="preserve"> </w:t>
            </w:r>
            <w:hyperlink r:id="rId22">
              <w:r>
                <w:rPr>
                  <w:rStyle w:val="Hyperlink"/>
                </w:rPr>
                <w:t xml:space="preserve">[20]</w:t>
              </w:r>
            </w:hyperlink>
          </w:p>
        </w:tc>
      </w:tr>
      <w:tr>
        <w:tc>
          <w:tcPr/>
          <w:p>
            <w:pPr>
              <w:pStyle w:val="Compact"/>
            </w:pPr>
            <w:r>
              <w:t xml:space="preserve">Infection prevention and communicable disease control</w:t>
            </w:r>
          </w:p>
        </w:tc>
        <w:tc>
          <w:tcPr/>
          <w:p>
            <w:pPr>
              <w:pStyle w:val="Compact"/>
            </w:pPr>
            <w:r>
              <w:t xml:space="preserve">The blueprint lists infection control as a core nursing skill (barrier nursing, infection control, contact tracing) and emphasizes infectious/inflammatory conditions as a major testing category.</w:t>
            </w:r>
            <w:r>
              <w:t xml:space="preserve"> </w:t>
            </w:r>
            <w:hyperlink r:id="rId21">
              <w:r>
                <w:rPr>
                  <w:rStyle w:val="Hyperlink"/>
                </w:rPr>
                <w:t xml:space="preserve">[21]</w:t>
              </w:r>
            </w:hyperlink>
          </w:p>
        </w:tc>
        <w:tc>
          <w:tcPr/>
          <w:p>
            <w:pPr>
              <w:pStyle w:val="Compact"/>
            </w:pPr>
            <w:r>
              <w:t xml:space="preserve">MC; scenario-based</w:t>
            </w:r>
          </w:p>
        </w:tc>
        <w:tc>
          <w:tcPr/>
          <w:p>
            <w:pPr>
              <w:pStyle w:val="Compact"/>
            </w:pPr>
            <w:r>
              <w:t xml:space="preserve">Standard precautions/PPE selection; sterile vs clean technique; contact tracing/case finding concepts</w:t>
            </w:r>
            <w:r>
              <w:t xml:space="preserve"> </w:t>
            </w:r>
            <w:hyperlink r:id="rId21">
              <w:r>
                <w:rPr>
                  <w:rStyle w:val="Hyperlink"/>
                </w:rPr>
                <w:t xml:space="preserve">[22]</w:t>
              </w:r>
            </w:hyperlink>
          </w:p>
        </w:tc>
      </w:tr>
      <w:tr>
        <w:tc>
          <w:tcPr/>
          <w:p>
            <w:pPr>
              <w:pStyle w:val="Compact"/>
            </w:pPr>
            <w:r>
              <w:t xml:space="preserve">Medication administration safety and storage</w:t>
            </w:r>
          </w:p>
        </w:tc>
        <w:tc>
          <w:tcPr/>
          <w:p>
            <w:pPr>
              <w:pStyle w:val="Compact"/>
            </w:pPr>
            <w:r>
              <w:t xml:space="preserve">Core skills include administering medications and storing drugs; Nursing Practice requires safe psychomotor and cognitive skill application and rapid action on safety risks.</w:t>
            </w:r>
            <w:r>
              <w:t xml:space="preserve"> </w:t>
            </w:r>
            <w:hyperlink r:id="rId21">
              <w:r>
                <w:rPr>
                  <w:rStyle w:val="Hyperlink"/>
                </w:rPr>
                <w:t xml:space="preserve">[23]</w:t>
              </w:r>
            </w:hyperlink>
          </w:p>
        </w:tc>
        <w:tc>
          <w:tcPr/>
          <w:p>
            <w:pPr>
              <w:pStyle w:val="Compact"/>
            </w:pPr>
            <w:r>
              <w:t xml:space="preserve">MC; calculation + safety vignettes</w:t>
            </w:r>
          </w:p>
        </w:tc>
        <w:tc>
          <w:tcPr/>
          <w:p>
            <w:pPr>
              <w:pStyle w:val="Compact"/>
            </w:pPr>
            <w:r>
              <w:t xml:space="preserve">“Which is the priority safety check?”; medication refusal response; high-risk med monitoring (e.g., digoxin teaching-style items)</w:t>
            </w:r>
            <w:r>
              <w:t xml:space="preserve"> </w:t>
            </w:r>
            <w:hyperlink r:id="rId22">
              <w:r>
                <w:rPr>
                  <w:rStyle w:val="Hyperlink"/>
                </w:rPr>
                <w:t xml:space="preserve">[24]</w:t>
              </w:r>
            </w:hyperlink>
          </w:p>
        </w:tc>
      </w:tr>
      <w:tr>
        <w:tc>
          <w:tcPr/>
          <w:p>
            <w:pPr>
              <w:pStyle w:val="Compact"/>
            </w:pPr>
            <w:r>
              <w:t xml:space="preserve">Dosage calculations and IV flow rate math</w:t>
            </w:r>
          </w:p>
        </w:tc>
        <w:tc>
          <w:tcPr/>
          <w:p>
            <w:pPr>
              <w:pStyle w:val="Compact"/>
            </w:pPr>
            <w:r>
              <w:t xml:space="preserve">Practice items explicitly test drip-rate calculation, and the exam emphasizes application of rules/methods in realistic nursing situations.</w:t>
            </w:r>
            <w:r>
              <w:t xml:space="preserve"> </w:t>
            </w:r>
            <w:hyperlink r:id="rId22">
              <w:r>
                <w:rPr>
                  <w:rStyle w:val="Hyperlink"/>
                </w:rPr>
                <w:t xml:space="preserve">[25]</w:t>
              </w:r>
            </w:hyperlink>
          </w:p>
        </w:tc>
        <w:tc>
          <w:tcPr/>
          <w:p>
            <w:pPr>
              <w:pStyle w:val="Compact"/>
            </w:pPr>
            <w:r>
              <w:t xml:space="preserve">MC calculation item (compute → choose option)</w:t>
            </w:r>
          </w:p>
        </w:tc>
        <w:tc>
          <w:tcPr/>
          <w:p>
            <w:pPr>
              <w:pStyle w:val="Compact"/>
            </w:pPr>
            <w:r>
              <w:t xml:space="preserve">Drip-rate formula (gtt/min); weight-based dosing logic; “Which value is correct?” with unit conversions</w:t>
            </w:r>
          </w:p>
        </w:tc>
      </w:tr>
      <w:tr>
        <w:tc>
          <w:tcPr/>
          <w:p>
            <w:pPr>
              <w:pStyle w:val="Compact"/>
            </w:pPr>
            <w:r>
              <w:t xml:space="preserve">IV therapy and infusion monitoring</w:t>
            </w:r>
          </w:p>
        </w:tc>
        <w:tc>
          <w:tcPr/>
          <w:p>
            <w:pPr>
              <w:pStyle w:val="Compact"/>
            </w:pPr>
            <w:r>
              <w:t xml:space="preserve">The blueprint core skills include preparing/administering parenteral fluids and recording intake/output; practice items also test recognizing unsafe infusion rates and first nursing actions.</w:t>
            </w:r>
            <w:r>
              <w:t xml:space="preserve"> </w:t>
            </w:r>
            <w:hyperlink r:id="rId21">
              <w:r>
                <w:rPr>
                  <w:rStyle w:val="Hyperlink"/>
                </w:rPr>
                <w:t xml:space="preserve">[26]</w:t>
              </w:r>
            </w:hyperlink>
          </w:p>
        </w:tc>
        <w:tc>
          <w:tcPr/>
          <w:p>
            <w:pPr>
              <w:pStyle w:val="Compact"/>
            </w:pPr>
            <w:r>
              <w:t xml:space="preserve">MC; scenario-based</w:t>
            </w:r>
          </w:p>
        </w:tc>
        <w:tc>
          <w:tcPr/>
          <w:p>
            <w:pPr>
              <w:pStyle w:val="Compact"/>
            </w:pPr>
            <w:r>
              <w:t xml:space="preserve">Infiltration/phlebitis cues; verifying orders vs adjusting rate; tubing/line safety during repositioning</w:t>
            </w:r>
            <w:r>
              <w:t xml:space="preserve"> </w:t>
            </w:r>
            <w:hyperlink r:id="rId22">
              <w:r>
                <w:rPr>
                  <w:rStyle w:val="Hyperlink"/>
                </w:rPr>
                <w:t xml:space="preserve">[20]</w:t>
              </w:r>
            </w:hyperlink>
          </w:p>
        </w:tc>
      </w:tr>
      <w:tr>
        <w:tc>
          <w:tcPr/>
          <w:p>
            <w:pPr>
              <w:pStyle w:val="Compact"/>
            </w:pPr>
            <w:r>
              <w:t xml:space="preserve">Oxygen therapy and respiratory assessment</w:t>
            </w:r>
          </w:p>
        </w:tc>
        <w:tc>
          <w:tcPr/>
          <w:p>
            <w:pPr>
              <w:pStyle w:val="Compact"/>
            </w:pPr>
            <w:r>
              <w:t xml:space="preserve">Core skills include oxygen administration by multiple devices and pulmonary hygiene; respiratory priorities are common in scenarios (e.g., PE deterioration priority action).</w:t>
            </w:r>
            <w:r>
              <w:t xml:space="preserve"> </w:t>
            </w:r>
            <w:hyperlink r:id="rId21">
              <w:r>
                <w:rPr>
                  <w:rStyle w:val="Hyperlink"/>
                </w:rPr>
                <w:t xml:space="preserve">[26]</w:t>
              </w:r>
            </w:hyperlink>
          </w:p>
        </w:tc>
        <w:tc>
          <w:tcPr/>
          <w:p>
            <w:pPr>
              <w:pStyle w:val="Compact"/>
            </w:pPr>
            <w:r>
              <w:t xml:space="preserve">MC; scenario sets</w:t>
            </w:r>
          </w:p>
        </w:tc>
        <w:tc>
          <w:tcPr/>
          <w:p>
            <w:pPr>
              <w:pStyle w:val="Compact"/>
            </w:pPr>
            <w:r>
              <w:t xml:space="preserve">Choosing oxygen delivery device; escalating oxygen and positioning; breath sound interpretation and “no breath sounds” findings in lung compromise</w:t>
            </w:r>
            <w:r>
              <w:t xml:space="preserve"> </w:t>
            </w:r>
            <w:hyperlink r:id="rId22">
              <w:r>
                <w:rPr>
                  <w:rStyle w:val="Hyperlink"/>
                </w:rPr>
                <w:t xml:space="preserve">[27]</w:t>
              </w:r>
            </w:hyperlink>
          </w:p>
        </w:tc>
      </w:tr>
      <w:tr>
        <w:tc>
          <w:tcPr/>
          <w:p>
            <w:pPr>
              <w:pStyle w:val="Compact"/>
            </w:pPr>
            <w:r>
              <w:t xml:space="preserve">Airway clearance and respiratory procedures</w:t>
            </w:r>
          </w:p>
        </w:tc>
        <w:tc>
          <w:tcPr/>
          <w:p>
            <w:pPr>
              <w:pStyle w:val="Compact"/>
            </w:pPr>
            <w:r>
              <w:t xml:space="preserve">The core list includes steam inhalation, suctioning, cough/deep breathing, tracheostomy, nebulization, and underwater seal drainage care elements.</w:t>
            </w:r>
            <w:r>
              <w:t xml:space="preserve"> </w:t>
            </w:r>
            <w:hyperlink r:id="rId21">
              <w:r>
                <w:rPr>
                  <w:rStyle w:val="Hyperlink"/>
                </w:rPr>
                <w:t xml:space="preserve">[28]</w:t>
              </w:r>
            </w:hyperlink>
          </w:p>
        </w:tc>
        <w:tc>
          <w:tcPr/>
          <w:p>
            <w:pPr>
              <w:pStyle w:val="Compact"/>
            </w:pPr>
            <w:r>
              <w:t xml:space="preserve">MC; procedure-priority items</w:t>
            </w:r>
          </w:p>
        </w:tc>
        <w:tc>
          <w:tcPr/>
          <w:p>
            <w:pPr>
              <w:pStyle w:val="Compact"/>
            </w:pPr>
            <w:r>
              <w:t xml:space="preserve">Suction safety and indications; nebulized bronchodilator rationale; deep breathing/coughing teaching and return demonstration</w:t>
            </w:r>
            <w:r>
              <w:t xml:space="preserve"> </w:t>
            </w:r>
            <w:hyperlink r:id="rId22">
              <w:r>
                <w:rPr>
                  <w:rStyle w:val="Hyperlink"/>
                </w:rPr>
                <w:t xml:space="preserve">[29]</w:t>
              </w:r>
            </w:hyperlink>
          </w:p>
        </w:tc>
      </w:tr>
      <w:tr>
        <w:tc>
          <w:tcPr/>
          <w:p>
            <w:pPr>
              <w:pStyle w:val="Compact"/>
            </w:pPr>
            <w:r>
              <w:t xml:space="preserve">CPR and emergency response</w:t>
            </w:r>
          </w:p>
        </w:tc>
        <w:tc>
          <w:tcPr/>
          <w:p>
            <w:pPr>
              <w:pStyle w:val="Compact"/>
            </w:pPr>
            <w:r>
              <w:t xml:space="preserve">CPR is explicitly listed as a core nursing skill; the exam also includes emergency decision-making sequencing and disaster-related needs prioritization.</w:t>
            </w:r>
            <w:r>
              <w:t xml:space="preserve"> </w:t>
            </w:r>
            <w:hyperlink r:id="rId21">
              <w:r>
                <w:rPr>
                  <w:rStyle w:val="Hyperlink"/>
                </w:rPr>
                <w:t xml:space="preserve">[30]</w:t>
              </w:r>
            </w:hyperlink>
          </w:p>
        </w:tc>
        <w:tc>
          <w:tcPr/>
          <w:p>
            <w:pPr>
              <w:pStyle w:val="Compact"/>
            </w:pPr>
            <w:r>
              <w:t xml:space="preserve">MC; rapid-response vignettes</w:t>
            </w:r>
          </w:p>
        </w:tc>
        <w:tc>
          <w:tcPr/>
          <w:p>
            <w:pPr>
              <w:pStyle w:val="Compact"/>
            </w:pPr>
            <w:r>
              <w:t xml:space="preserve">“FIRST action” in collapse; emergency decision-making sequence; immediate needs priority in disaster aftermath</w:t>
            </w:r>
            <w:r>
              <w:t xml:space="preserve"> </w:t>
            </w:r>
            <w:hyperlink r:id="rId22">
              <w:r>
                <w:rPr>
                  <w:rStyle w:val="Hyperlink"/>
                </w:rPr>
                <w:t xml:space="preserve">[15]</w:t>
              </w:r>
            </w:hyperlink>
          </w:p>
        </w:tc>
      </w:tr>
      <w:tr>
        <w:tc>
          <w:tcPr/>
          <w:p>
            <w:pPr>
              <w:pStyle w:val="Compact"/>
            </w:pPr>
            <w:r>
              <w:t xml:space="preserve">Wound care and aseptic technique</w:t>
            </w:r>
          </w:p>
        </w:tc>
        <w:tc>
          <w:tcPr/>
          <w:p>
            <w:pPr>
              <w:pStyle w:val="Compact"/>
            </w:pPr>
            <w:r>
              <w:t xml:space="preserve">Core skills include wound dressing, suture/clip removal, drain pack removal, and wound irrigation; practice items emphasize strict asepsis in invasive device dressing care.</w:t>
            </w:r>
            <w:r>
              <w:t xml:space="preserve"> </w:t>
            </w:r>
            <w:hyperlink r:id="rId21">
              <w:r>
                <w:rPr>
                  <w:rStyle w:val="Hyperlink"/>
                </w:rPr>
                <w:t xml:space="preserve">[28]</w:t>
              </w:r>
            </w:hyperlink>
          </w:p>
        </w:tc>
        <w:tc>
          <w:tcPr/>
          <w:p>
            <w:pPr>
              <w:pStyle w:val="Compact"/>
            </w:pPr>
            <w:r>
              <w:t xml:space="preserve">MC; procedure + infection risk items</w:t>
            </w:r>
          </w:p>
        </w:tc>
        <w:tc>
          <w:tcPr/>
          <w:p>
            <w:pPr>
              <w:pStyle w:val="Compact"/>
            </w:pPr>
            <w:r>
              <w:t xml:space="preserve">Sterile field breaks; dressing change priorities; wound infection indicators and documentation</w:t>
            </w:r>
          </w:p>
        </w:tc>
      </w:tr>
      <w:tr>
        <w:tc>
          <w:tcPr/>
          <w:p>
            <w:pPr>
              <w:pStyle w:val="Compact"/>
            </w:pPr>
            <w:r>
              <w:t xml:space="preserve">Skin integrity and pressure injury prevention</w:t>
            </w:r>
          </w:p>
        </w:tc>
        <w:tc>
          <w:tcPr/>
          <w:p>
            <w:pPr>
              <w:pStyle w:val="Compact"/>
            </w:pPr>
            <w:r>
              <w:t xml:space="preserve">The core list includes bed bath, mouth care, and “skin and pressure care,” reflecting basic care critical to safe outcomes.</w:t>
            </w:r>
            <w:r>
              <w:t xml:space="preserve"> </w:t>
            </w:r>
            <w:hyperlink r:id="rId21">
              <w:r>
                <w:rPr>
                  <w:rStyle w:val="Hyperlink"/>
                </w:rPr>
                <w:t xml:space="preserve">[22]</w:t>
              </w:r>
            </w:hyperlink>
          </w:p>
        </w:tc>
        <w:tc>
          <w:tcPr/>
          <w:p>
            <w:pPr>
              <w:pStyle w:val="Compact"/>
            </w:pPr>
            <w:r>
              <w:t xml:space="preserve">MC; often stand-alone</w:t>
            </w:r>
          </w:p>
        </w:tc>
        <w:tc>
          <w:tcPr/>
          <w:p>
            <w:pPr>
              <w:pStyle w:val="Compact"/>
            </w:pPr>
            <w:r>
              <w:t xml:space="preserve">Pressure injury staging basics; turning/positioning priorities with lines/tubes in place</w:t>
            </w:r>
            <w:r>
              <w:t xml:space="preserve"> </w:t>
            </w:r>
            <w:hyperlink r:id="rId22">
              <w:r>
                <w:rPr>
                  <w:rStyle w:val="Hyperlink"/>
                </w:rPr>
                <w:t xml:space="preserve">[29]</w:t>
              </w:r>
            </w:hyperlink>
            <w:r>
              <w:t xml:space="preserve">; skin care teaching for dermatitis-style items</w:t>
            </w:r>
            <w:r>
              <w:t xml:space="preserve"> </w:t>
            </w:r>
            <w:hyperlink r:id="rId22">
              <w:r>
                <w:rPr>
                  <w:rStyle w:val="Hyperlink"/>
                </w:rPr>
                <w:t xml:space="preserve">[15]</w:t>
              </w:r>
            </w:hyperlink>
          </w:p>
        </w:tc>
      </w:tr>
      <w:tr>
        <w:tc>
          <w:tcPr/>
          <w:p>
            <w:pPr>
              <w:pStyle w:val="Compact"/>
            </w:pPr>
            <w:r>
              <w:t xml:space="preserve">Fluid balance and intake/output management</w:t>
            </w:r>
          </w:p>
        </w:tc>
        <w:tc>
          <w:tcPr/>
          <w:p>
            <w:pPr>
              <w:pStyle w:val="Compact"/>
            </w:pPr>
            <w:r>
              <w:t xml:space="preserve">Core skills include recording intake/output; practice items show renal diagnoses where the main goal is maintaining fluid balance.</w:t>
            </w:r>
            <w:r>
              <w:t xml:space="preserve"> </w:t>
            </w:r>
            <w:hyperlink r:id="rId21">
              <w:r>
                <w:rPr>
                  <w:rStyle w:val="Hyperlink"/>
                </w:rPr>
                <w:t xml:space="preserve">[28]</w:t>
              </w:r>
            </w:hyperlink>
          </w:p>
        </w:tc>
        <w:tc>
          <w:tcPr/>
          <w:p>
            <w:pPr>
              <w:pStyle w:val="Compact"/>
            </w:pPr>
            <w:r>
              <w:t xml:space="preserve">MC; scenario-based</w:t>
            </w:r>
          </w:p>
        </w:tc>
        <w:tc>
          <w:tcPr/>
          <w:p>
            <w:pPr>
              <w:pStyle w:val="Compact"/>
            </w:pPr>
            <w:r>
              <w:t xml:space="preserve">I&amp;O calculation; dehydration vs overload cues; edema/renal perfusion priorities in nephritic presentations</w:t>
            </w:r>
            <w:r>
              <w:t xml:space="preserve"> </w:t>
            </w:r>
            <w:hyperlink r:id="rId22">
              <w:r>
                <w:rPr>
                  <w:rStyle w:val="Hyperlink"/>
                </w:rPr>
                <w:t xml:space="preserve">[29]</w:t>
              </w:r>
            </w:hyperlink>
          </w:p>
        </w:tc>
      </w:tr>
      <w:tr>
        <w:tc>
          <w:tcPr/>
          <w:p>
            <w:pPr>
              <w:pStyle w:val="Compact"/>
            </w:pPr>
            <w:r>
              <w:t xml:space="preserve">Nutrition support and feeding</w:t>
            </w:r>
          </w:p>
        </w:tc>
        <w:tc>
          <w:tcPr/>
          <w:p>
            <w:pPr>
              <w:pStyle w:val="Compact"/>
            </w:pPr>
            <w:r>
              <w:t xml:space="preserve">The blueprint’s skills cover special diets and feeding assistance, and the common health problems table includes malnutrition and related metabolic/nutritional issues.</w:t>
            </w:r>
            <w:r>
              <w:t xml:space="preserve"> </w:t>
            </w:r>
            <w:hyperlink r:id="rId21">
              <w:r>
                <w:rPr>
                  <w:rStyle w:val="Hyperlink"/>
                </w:rPr>
                <w:t xml:space="preserve">[21]</w:t>
              </w:r>
            </w:hyperlink>
          </w:p>
        </w:tc>
        <w:tc>
          <w:tcPr/>
          <w:p>
            <w:pPr>
              <w:pStyle w:val="Compact"/>
            </w:pPr>
            <w:r>
              <w:t xml:space="preserve">MC; stand-alone + scenario</w:t>
            </w:r>
          </w:p>
        </w:tc>
        <w:tc>
          <w:tcPr/>
          <w:p>
            <w:pPr>
              <w:pStyle w:val="Compact"/>
            </w:pPr>
            <w:r>
              <w:t xml:space="preserve">Selecting appropriate diet modification; failure to thrive concepts; patient education on sodium restriction/weight needs in cardiac conditions</w:t>
            </w:r>
            <w:r>
              <w:t xml:space="preserve"> </w:t>
            </w:r>
            <w:hyperlink r:id="rId22">
              <w:r>
                <w:rPr>
                  <w:rStyle w:val="Hyperlink"/>
                </w:rPr>
                <w:t xml:space="preserve">[18]</w:t>
              </w:r>
            </w:hyperlink>
          </w:p>
        </w:tc>
      </w:tr>
      <w:tr>
        <w:tc>
          <w:tcPr/>
          <w:p>
            <w:pPr>
              <w:pStyle w:val="Compact"/>
            </w:pPr>
            <w:r>
              <w:t xml:space="preserve">Maternal-child: antenatal care and high-risk pregnancy</w:t>
            </w:r>
          </w:p>
        </w:tc>
        <w:tc>
          <w:tcPr/>
          <w:p>
            <w:pPr>
              <w:pStyle w:val="Compact"/>
            </w:pPr>
            <w:r>
              <w:t xml:space="preserve">Pregnancy appears as a clinical nursing content area, and the CARICOM curriculum specifies identifying the high-risk mother plus assessment/teaching and antenatal protocols.</w:t>
            </w:r>
            <w:r>
              <w:t xml:space="preserve"> </w:t>
            </w:r>
            <w:hyperlink r:id="rId21">
              <w:r>
                <w:rPr>
                  <w:rStyle w:val="Hyperlink"/>
                </w:rPr>
                <w:t xml:space="preserve">[31]</w:t>
              </w:r>
            </w:hyperlink>
          </w:p>
        </w:tc>
        <w:tc>
          <w:tcPr/>
          <w:p>
            <w:pPr>
              <w:pStyle w:val="Compact"/>
            </w:pPr>
            <w:r>
              <w:t xml:space="preserve">MC; vignette-based</w:t>
            </w:r>
          </w:p>
        </w:tc>
        <w:tc>
          <w:tcPr/>
          <w:p>
            <w:pPr>
              <w:pStyle w:val="Compact"/>
            </w:pPr>
            <w:r>
              <w:t xml:space="preserve">High-risk pregnancy indicators; antenatal assessment priorities; client teaching (nutrition, warning signs)</w:t>
            </w:r>
            <w:r>
              <w:t xml:space="preserve"> </w:t>
            </w:r>
            <w:hyperlink r:id="rId25">
              <w:r>
                <w:rPr>
                  <w:rStyle w:val="Hyperlink"/>
                </w:rPr>
                <w:t xml:space="preserve">[32]</w:t>
              </w:r>
            </w:hyperlink>
          </w:p>
        </w:tc>
      </w:tr>
      <w:tr>
        <w:tc>
          <w:tcPr/>
          <w:p>
            <w:pPr>
              <w:pStyle w:val="Compact"/>
            </w:pPr>
            <w:r>
              <w:t xml:space="preserve">Maternal-child: obstetric emergencies (ectopic pregnancy, abortion)</w:t>
            </w:r>
          </w:p>
        </w:tc>
        <w:tc>
          <w:tcPr/>
          <w:p>
            <w:pPr>
              <w:pStyle w:val="Compact"/>
            </w:pPr>
            <w:r>
              <w:t xml:space="preserve">The blueprint’s common health problems table explicitly lists abortion and ectopic gestation in accident/trauma-related health problems.</w:t>
            </w:r>
            <w:r>
              <w:t xml:space="preserve"> </w:t>
            </w:r>
            <w:hyperlink r:id="rId21">
              <w:r>
                <w:rPr>
                  <w:rStyle w:val="Hyperlink"/>
                </w:rPr>
                <w:t xml:space="preserve">[4]</w:t>
              </w:r>
            </w:hyperlink>
          </w:p>
        </w:tc>
        <w:tc>
          <w:tcPr/>
          <w:p>
            <w:pPr>
              <w:pStyle w:val="Compact"/>
            </w:pPr>
            <w:r>
              <w:t xml:space="preserve">MC; emergency-priority items</w:t>
            </w:r>
          </w:p>
        </w:tc>
        <w:tc>
          <w:tcPr/>
          <w:p>
            <w:pPr>
              <w:pStyle w:val="Compact"/>
            </w:pPr>
            <w:r>
              <w:t xml:space="preserve">Hemorrhage/shock cues; post-abortion complication recognition; “FIRST action” for unstable patient</w:t>
            </w:r>
          </w:p>
        </w:tc>
      </w:tr>
      <w:tr>
        <w:tc>
          <w:tcPr/>
          <w:p>
            <w:pPr>
              <w:pStyle w:val="Compact"/>
            </w:pPr>
            <w:r>
              <w:t xml:space="preserve">Maternal-child: intrapartum care and delivery preparation</w:t>
            </w:r>
          </w:p>
        </w:tc>
        <w:tc>
          <w:tcPr/>
          <w:p>
            <w:pPr>
              <w:pStyle w:val="Compact"/>
            </w:pPr>
            <w:r>
              <w:t xml:space="preserve">Core skills include preparing the patient and equipment for delivery and observing ante/intra/postpartum patients.</w:t>
            </w:r>
            <w:r>
              <w:t xml:space="preserve"> </w:t>
            </w:r>
            <w:hyperlink r:id="rId21">
              <w:r>
                <w:rPr>
                  <w:rStyle w:val="Hyperlink"/>
                </w:rPr>
                <w:t xml:space="preserve">[22]</w:t>
              </w:r>
            </w:hyperlink>
          </w:p>
        </w:tc>
        <w:tc>
          <w:tcPr/>
          <w:p>
            <w:pPr>
              <w:pStyle w:val="Compact"/>
            </w:pPr>
            <w:r>
              <w:t xml:space="preserve">MC; procedure-priority items</w:t>
            </w:r>
          </w:p>
        </w:tc>
        <w:tc>
          <w:tcPr/>
          <w:p>
            <w:pPr>
              <w:pStyle w:val="Compact"/>
            </w:pPr>
            <w:r>
              <w:t xml:space="preserve">Preparation steps for delivery; intrapartum observation priorities; infection control and safety during delivery prep</w:t>
            </w:r>
          </w:p>
        </w:tc>
      </w:tr>
      <w:tr>
        <w:tc>
          <w:tcPr/>
          <w:p>
            <w:pPr>
              <w:pStyle w:val="Compact"/>
            </w:pPr>
            <w:r>
              <w:t xml:space="preserve">Maternal-child: postpartum assessment and care</w:t>
            </w:r>
          </w:p>
        </w:tc>
        <w:tc>
          <w:tcPr/>
          <w:p>
            <w:pPr>
              <w:pStyle w:val="Compact"/>
            </w:pPr>
            <w:r>
              <w:t xml:space="preserve">Postpartum observation and perineal care skills (sitz bath, vulval swab, episiotomy care) are explicitly listed as core nursing skills.</w:t>
            </w:r>
            <w:r>
              <w:t xml:space="preserve"> </w:t>
            </w:r>
            <w:hyperlink r:id="rId21">
              <w:r>
                <w:rPr>
                  <w:rStyle w:val="Hyperlink"/>
                </w:rPr>
                <w:t xml:space="preserve">[22]</w:t>
              </w:r>
            </w:hyperlink>
          </w:p>
        </w:tc>
        <w:tc>
          <w:tcPr/>
          <w:p>
            <w:pPr>
              <w:pStyle w:val="Compact"/>
            </w:pPr>
            <w:r>
              <w:t xml:space="preserve">MC; basic care + complication recognition</w:t>
            </w:r>
          </w:p>
        </w:tc>
        <w:tc>
          <w:tcPr/>
          <w:p>
            <w:pPr>
              <w:pStyle w:val="Compact"/>
            </w:pPr>
            <w:r>
              <w:t xml:space="preserve">Postpartum hemorrhage red flags; infection indicators; perineal/episiotomy comfort and hygiene measures</w:t>
            </w:r>
          </w:p>
        </w:tc>
      </w:tr>
      <w:tr>
        <w:tc>
          <w:tcPr/>
          <w:p>
            <w:pPr>
              <w:pStyle w:val="Compact"/>
            </w:pPr>
            <w:r>
              <w:t xml:space="preserve">Newborn immediate care and basic assessment</w:t>
            </w:r>
          </w:p>
        </w:tc>
        <w:tc>
          <w:tcPr/>
          <w:p>
            <w:pPr>
              <w:pStyle w:val="Compact"/>
            </w:pPr>
            <w:r>
              <w:t xml:space="preserve">Practice items include newborn physical assessment parameters requiring physician notification, indicating newborn assessment is examined.</w:t>
            </w:r>
            <w:r>
              <w:t xml:space="preserve"> </w:t>
            </w:r>
            <w:hyperlink r:id="rId22">
              <w:r>
                <w:rPr>
                  <w:rStyle w:val="Hyperlink"/>
                </w:rPr>
                <w:t xml:space="preserve">[15]</w:t>
              </w:r>
            </w:hyperlink>
          </w:p>
        </w:tc>
        <w:tc>
          <w:tcPr/>
          <w:p>
            <w:pPr>
              <w:pStyle w:val="Compact"/>
            </w:pPr>
            <w:r>
              <w:t xml:space="preserve">MC; stand-alone</w:t>
            </w:r>
          </w:p>
        </w:tc>
        <w:tc>
          <w:tcPr/>
          <w:p>
            <w:pPr>
              <w:pStyle w:val="Compact"/>
            </w:pPr>
            <w:r>
              <w:t xml:space="preserve">Head/chest measures and vital signs; distinguishing normal newborn findings vs abnormal; “Which finding should be reported?”</w:t>
            </w:r>
          </w:p>
        </w:tc>
      </w:tr>
      <w:tr>
        <w:tc>
          <w:tcPr/>
          <w:p>
            <w:pPr>
              <w:pStyle w:val="Compact"/>
            </w:pPr>
            <w:r>
              <w:t xml:space="preserve">Neonatal jaundice</w:t>
            </w:r>
          </w:p>
        </w:tc>
        <w:tc>
          <w:tcPr/>
          <w:p>
            <w:pPr>
              <w:pStyle w:val="Compact"/>
            </w:pPr>
            <w:r>
              <w:t xml:space="preserve">Neonatal jaundice is explicitly listed among common Caribbean health problems in the blueprint table.</w:t>
            </w:r>
            <w:r>
              <w:t xml:space="preserve"> </w:t>
            </w:r>
            <w:hyperlink r:id="rId21">
              <w:r>
                <w:rPr>
                  <w:rStyle w:val="Hyperlink"/>
                </w:rPr>
                <w:t xml:space="preserve">[4]</w:t>
              </w:r>
            </w:hyperlink>
          </w:p>
        </w:tc>
        <w:tc>
          <w:tcPr/>
          <w:p>
            <w:pPr>
              <w:pStyle w:val="Compact"/>
            </w:pPr>
            <w:r>
              <w:t xml:space="preserve">MC; stand-alone + scenario</w:t>
            </w:r>
          </w:p>
        </w:tc>
        <w:tc>
          <w:tcPr/>
          <w:p>
            <w:pPr>
              <w:pStyle w:val="Compact"/>
            </w:pPr>
            <w:r>
              <w:t xml:space="preserve">Risk factors; bilirubin-related assessment cues; parent teaching for monitoring and follow-up</w:t>
            </w:r>
          </w:p>
        </w:tc>
      </w:tr>
      <w:tr>
        <w:tc>
          <w:tcPr/>
          <w:p>
            <w:pPr>
              <w:pStyle w:val="Compact"/>
            </w:pPr>
            <w:r>
              <w:t xml:space="preserve">Pediatric growth and development</w:t>
            </w:r>
          </w:p>
        </w:tc>
        <w:tc>
          <w:tcPr/>
          <w:p>
            <w:pPr>
              <w:pStyle w:val="Compact"/>
            </w:pPr>
            <w:r>
              <w:t xml:space="preserve">The blueprint states equal weighting across age groups and includes growth and development as a major concept to be tested.</w:t>
            </w:r>
            <w:r>
              <w:t xml:space="preserve"> </w:t>
            </w:r>
            <w:hyperlink r:id="rId21">
              <w:r>
                <w:rPr>
                  <w:rStyle w:val="Hyperlink"/>
                </w:rPr>
                <w:t xml:space="preserve">[4]</w:t>
              </w:r>
            </w:hyperlink>
          </w:p>
        </w:tc>
        <w:tc>
          <w:tcPr/>
          <w:p>
            <w:pPr>
              <w:pStyle w:val="Compact"/>
            </w:pPr>
            <w:r>
              <w:t xml:space="preserve">MC; stand-alone</w:t>
            </w:r>
          </w:p>
        </w:tc>
        <w:tc>
          <w:tcPr/>
          <w:p>
            <w:pPr>
              <w:pStyle w:val="Compact"/>
            </w:pPr>
            <w:r>
              <w:t xml:space="preserve">Age-appropriate expectations; safety anticipatory guidance; developmental “which is expected at age X?” stems</w:t>
            </w:r>
          </w:p>
        </w:tc>
      </w:tr>
      <w:tr>
        <w:tc>
          <w:tcPr/>
          <w:p>
            <w:pPr>
              <w:pStyle w:val="Compact"/>
            </w:pPr>
            <w:r>
              <w:t xml:space="preserve">Pediatric diarrheal disease and dehydration</w:t>
            </w:r>
          </w:p>
        </w:tc>
        <w:tc>
          <w:tcPr/>
          <w:p>
            <w:pPr>
              <w:pStyle w:val="Compact"/>
            </w:pPr>
            <w:r>
              <w:t xml:space="preserve">Diarrheal diseases are listed under infectious/inflammatory health problems for young ages in the blueprint common-problems table.</w:t>
            </w:r>
            <w:r>
              <w:t xml:space="preserve"> </w:t>
            </w:r>
            <w:hyperlink r:id="rId21">
              <w:r>
                <w:rPr>
                  <w:rStyle w:val="Hyperlink"/>
                </w:rPr>
                <w:t xml:space="preserve">[4]</w:t>
              </w:r>
            </w:hyperlink>
          </w:p>
        </w:tc>
        <w:tc>
          <w:tcPr/>
          <w:p>
            <w:pPr>
              <w:pStyle w:val="Compact"/>
            </w:pPr>
            <w:r>
              <w:t xml:space="preserve">MC; scenario-based</w:t>
            </w:r>
          </w:p>
        </w:tc>
        <w:tc>
          <w:tcPr/>
          <w:p>
            <w:pPr>
              <w:pStyle w:val="Compact"/>
            </w:pPr>
            <w:r>
              <w:t xml:space="preserve">ORT priorities; dehydration signs; intake/output and electrolyte reasoning for children</w:t>
            </w:r>
          </w:p>
        </w:tc>
      </w:tr>
      <w:tr>
        <w:tc>
          <w:tcPr/>
          <w:p>
            <w:pPr>
              <w:pStyle w:val="Compact"/>
            </w:pPr>
            <w:r>
              <w:t xml:space="preserve">Pediatric respiratory disorders (asthma/bronchiolitis/pneumonia)</w:t>
            </w:r>
          </w:p>
        </w:tc>
        <w:tc>
          <w:tcPr/>
          <w:p>
            <w:pPr>
              <w:pStyle w:val="Compact"/>
            </w:pPr>
            <w:r>
              <w:t xml:space="preserve">The blueprint table lists bronchiolitis and bronchopneumonia; the practice test includes a pediatric asthma scenario with pathophysiology and nursing diagnoses.</w:t>
            </w:r>
            <w:r>
              <w:t xml:space="preserve"> </w:t>
            </w:r>
            <w:hyperlink r:id="rId21">
              <w:r>
                <w:rPr>
                  <w:rStyle w:val="Hyperlink"/>
                </w:rPr>
                <w:t xml:space="preserve">[33]</w:t>
              </w:r>
            </w:hyperlink>
          </w:p>
        </w:tc>
        <w:tc>
          <w:tcPr/>
          <w:p>
            <w:pPr>
              <w:pStyle w:val="Compact"/>
            </w:pPr>
            <w:r>
              <w:t xml:space="preserve">MC; scenario sets common</w:t>
            </w:r>
          </w:p>
        </w:tc>
        <w:tc>
          <w:tcPr/>
          <w:p>
            <w:pPr>
              <w:pStyle w:val="Compact"/>
            </w:pPr>
            <w:r>
              <w:t xml:space="preserve">Asthma pathophysiology cues; nebulized bronchodilator rationale; calming anxiety and family presence during procedures</w:t>
            </w:r>
            <w:r>
              <w:t xml:space="preserve"> </w:t>
            </w:r>
            <w:hyperlink r:id="rId22">
              <w:r>
                <w:rPr>
                  <w:rStyle w:val="Hyperlink"/>
                </w:rPr>
                <w:t xml:space="preserve">[29]</w:t>
              </w:r>
            </w:hyperlink>
          </w:p>
        </w:tc>
      </w:tr>
      <w:tr>
        <w:tc>
          <w:tcPr/>
          <w:p>
            <w:pPr>
              <w:pStyle w:val="Compact"/>
            </w:pPr>
            <w:r>
              <w:t xml:space="preserve">Child injury prevention (burns, poisoning, fractures)</w:t>
            </w:r>
          </w:p>
        </w:tc>
        <w:tc>
          <w:tcPr/>
          <w:p>
            <w:pPr>
              <w:pStyle w:val="Compact"/>
            </w:pPr>
            <w:r>
              <w:t xml:space="preserve">Accident/trauma conditions—including burns, poisoning, fractures, head injuries—are explicitly listed as common problems, and accident prevention is included in health teaching/counselling concepts.</w:t>
            </w:r>
            <w:r>
              <w:t xml:space="preserve"> </w:t>
            </w:r>
            <w:hyperlink r:id="rId21">
              <w:r>
                <w:rPr>
                  <w:rStyle w:val="Hyperlink"/>
                </w:rPr>
                <w:t xml:space="preserve">[34]</w:t>
              </w:r>
            </w:hyperlink>
          </w:p>
        </w:tc>
        <w:tc>
          <w:tcPr/>
          <w:p>
            <w:pPr>
              <w:pStyle w:val="Compact"/>
            </w:pPr>
            <w:r>
              <w:t xml:space="preserve">MC; triage-first actions</w:t>
            </w:r>
          </w:p>
        </w:tc>
        <w:tc>
          <w:tcPr/>
          <w:p>
            <w:pPr>
              <w:pStyle w:val="Compact"/>
            </w:pPr>
            <w:r>
              <w:t xml:space="preserve">Burn severity basics and first aid; poisoning ingestion priorities; fracture immobilization and neurovascular checks</w:t>
            </w:r>
          </w:p>
        </w:tc>
      </w:tr>
      <w:tr>
        <w:tc>
          <w:tcPr/>
          <w:p>
            <w:pPr>
              <w:pStyle w:val="Compact"/>
            </w:pPr>
            <w:r>
              <w:t xml:space="preserve">Child abuse recognition and safeguarding</w:t>
            </w:r>
          </w:p>
        </w:tc>
        <w:tc>
          <w:tcPr/>
          <w:p>
            <w:pPr>
              <w:pStyle w:val="Compact"/>
            </w:pPr>
            <w:r>
              <w:t xml:space="preserve">Child abuse is explicitly listed within accident/trauma health problems in the blueprint table.</w:t>
            </w:r>
            <w:r>
              <w:t xml:space="preserve"> </w:t>
            </w:r>
            <w:hyperlink r:id="rId21">
              <w:r>
                <w:rPr>
                  <w:rStyle w:val="Hyperlink"/>
                </w:rPr>
                <w:t xml:space="preserve">[4]</w:t>
              </w:r>
            </w:hyperlink>
          </w:p>
        </w:tc>
        <w:tc>
          <w:tcPr/>
          <w:p>
            <w:pPr>
              <w:pStyle w:val="Compact"/>
            </w:pPr>
            <w:r>
              <w:t xml:space="preserve">MC; recognition + reporting</w:t>
            </w:r>
          </w:p>
        </w:tc>
        <w:tc>
          <w:tcPr/>
          <w:p>
            <w:pPr>
              <w:pStyle w:val="Compact"/>
            </w:pPr>
            <w:r>
              <w:t xml:space="preserve">Injury pattern red flags; immediate safety and reporting steps; therapeutic, non-leading history approach</w:t>
            </w:r>
          </w:p>
        </w:tc>
      </w:tr>
      <w:tr>
        <w:tc>
          <w:tcPr/>
          <w:p>
            <w:pPr>
              <w:pStyle w:val="Compact"/>
            </w:pPr>
            <w:r>
              <w:t xml:space="preserve">Schizophrenia and psychosis nursing management</w:t>
            </w:r>
          </w:p>
        </w:tc>
        <w:tc>
          <w:tcPr/>
          <w:p>
            <w:pPr>
              <w:pStyle w:val="Compact"/>
            </w:pPr>
            <w:r>
              <w:t xml:space="preserve">Psychosocial/psychiatric problems are a major blueprint emphasis category, and the practice test explicitly includes schizophrenia assessment and nursing strategies.</w:t>
            </w:r>
            <w:r>
              <w:t xml:space="preserve"> </w:t>
            </w:r>
            <w:hyperlink r:id="rId21">
              <w:r>
                <w:rPr>
                  <w:rStyle w:val="Hyperlink"/>
                </w:rPr>
                <w:t xml:space="preserve">[35]</w:t>
              </w:r>
            </w:hyperlink>
          </w:p>
        </w:tc>
        <w:tc>
          <w:tcPr/>
          <w:p>
            <w:pPr>
              <w:pStyle w:val="Compact"/>
            </w:pPr>
            <w:r>
              <w:t xml:space="preserve">MC; scenario set</w:t>
            </w:r>
          </w:p>
        </w:tc>
        <w:tc>
          <w:tcPr/>
          <w:p>
            <w:pPr>
              <w:pStyle w:val="Compact"/>
            </w:pPr>
            <w:r>
              <w:t xml:space="preserve">Mental status assessment priorities; managing withdrawal/engagement strategies; antipsychotic vs non-antipsychotic selection concepts</w:t>
            </w:r>
            <w:r>
              <w:t xml:space="preserve"> </w:t>
            </w:r>
            <w:hyperlink r:id="rId22">
              <w:r>
                <w:rPr>
                  <w:rStyle w:val="Hyperlink"/>
                </w:rPr>
                <w:t xml:space="preserve">[6]</w:t>
              </w:r>
            </w:hyperlink>
          </w:p>
        </w:tc>
      </w:tr>
      <w:tr>
        <w:tc>
          <w:tcPr/>
          <w:p>
            <w:pPr>
              <w:pStyle w:val="Compact"/>
            </w:pPr>
            <w:r>
              <w:t xml:space="preserve">Anxiety/depression and coping mechanisms</w:t>
            </w:r>
          </w:p>
        </w:tc>
        <w:tc>
          <w:tcPr/>
          <w:p>
            <w:pPr>
              <w:pStyle w:val="Compact"/>
            </w:pPr>
            <w:r>
              <w:t xml:space="preserve">The CARICOM mental health nursing curriculum includes anxiety disorders and depression and emphasizes therapeutic relationships and nursing process application in mental health care.</w:t>
            </w:r>
            <w:r>
              <w:t xml:space="preserve"> </w:t>
            </w:r>
            <w:hyperlink r:id="rId25">
              <w:r>
                <w:rPr>
                  <w:rStyle w:val="Hyperlink"/>
                </w:rPr>
                <w:t xml:space="preserve">[36]</w:t>
              </w:r>
            </w:hyperlink>
          </w:p>
        </w:tc>
        <w:tc>
          <w:tcPr/>
          <w:p>
            <w:pPr>
              <w:pStyle w:val="Compact"/>
            </w:pPr>
            <w:r>
              <w:t xml:space="preserve">MC; therapeutic response items</w:t>
            </w:r>
          </w:p>
        </w:tc>
        <w:tc>
          <w:tcPr/>
          <w:p>
            <w:pPr>
              <w:pStyle w:val="Compact"/>
            </w:pPr>
            <w:r>
              <w:t xml:space="preserve">Defense mechanisms (denial/rationalization) in illness; crisis management basics; “best nursing response” in distress</w:t>
            </w:r>
            <w:r>
              <w:t xml:space="preserve"> </w:t>
            </w:r>
            <w:hyperlink r:id="rId22">
              <w:r>
                <w:rPr>
                  <w:rStyle w:val="Hyperlink"/>
                </w:rPr>
                <w:t xml:space="preserve">[20]</w:t>
              </w:r>
            </w:hyperlink>
          </w:p>
        </w:tc>
      </w:tr>
      <w:tr>
        <w:tc>
          <w:tcPr/>
          <w:p>
            <w:pPr>
              <w:pStyle w:val="Compact"/>
            </w:pPr>
            <w:r>
              <w:t xml:space="preserve">Substance abuse and withdrawal safety</w:t>
            </w:r>
          </w:p>
        </w:tc>
        <w:tc>
          <w:tcPr/>
          <w:p>
            <w:pPr>
              <w:pStyle w:val="Compact"/>
            </w:pPr>
            <w:r>
              <w:t xml:space="preserve">The CARICOM curriculum explicitly names “substance abuse” as a content area, aligning with psychosocial/psychiatric emphasis and safety-focused nursing care.</w:t>
            </w:r>
            <w:r>
              <w:t xml:space="preserve"> </w:t>
            </w:r>
            <w:hyperlink r:id="rId25">
              <w:r>
                <w:rPr>
                  <w:rStyle w:val="Hyperlink"/>
                </w:rPr>
                <w:t xml:space="preserve">[37]</w:t>
              </w:r>
            </w:hyperlink>
          </w:p>
        </w:tc>
        <w:tc>
          <w:tcPr/>
          <w:p>
            <w:pPr>
              <w:pStyle w:val="Compact"/>
            </w:pPr>
            <w:r>
              <w:t xml:space="preserve">MC; safety-priority vignettes</w:t>
            </w:r>
          </w:p>
        </w:tc>
        <w:tc>
          <w:tcPr/>
          <w:p>
            <w:pPr>
              <w:pStyle w:val="Compact"/>
            </w:pPr>
            <w:r>
              <w:t xml:space="preserve">Withdrawal monitoring (autonomic instability); overdose risk recognition; safety planning and referral concepts</w:t>
            </w:r>
          </w:p>
        </w:tc>
      </w:tr>
      <w:tr>
        <w:tc>
          <w:tcPr/>
          <w:p>
            <w:pPr>
              <w:pStyle w:val="Compact"/>
            </w:pPr>
            <w:r>
              <w:t xml:space="preserve">Family dynamics and counselling during illness</w:t>
            </w:r>
          </w:p>
        </w:tc>
        <w:tc>
          <w:tcPr/>
          <w:p>
            <w:pPr>
              <w:pStyle w:val="Compact"/>
            </w:pPr>
            <w:r>
              <w:t xml:space="preserve">Practice scenarios explicitly test family role change and priority during family counselling, reflecting communication and psychosocial care demands.</w:t>
            </w:r>
            <w:r>
              <w:t xml:space="preserve"> </w:t>
            </w:r>
            <w:hyperlink r:id="rId22">
              <w:r>
                <w:rPr>
                  <w:rStyle w:val="Hyperlink"/>
                </w:rPr>
                <w:t xml:space="preserve">[15]</w:t>
              </w:r>
            </w:hyperlink>
          </w:p>
        </w:tc>
        <w:tc>
          <w:tcPr/>
          <w:p>
            <w:pPr>
              <w:pStyle w:val="Compact"/>
            </w:pPr>
            <w:r>
              <w:t xml:space="preserve">MC; scenario-based</w:t>
            </w:r>
          </w:p>
        </w:tc>
        <w:tc>
          <w:tcPr/>
          <w:p>
            <w:pPr>
              <w:pStyle w:val="Compact"/>
            </w:pPr>
            <w:r>
              <w:t xml:space="preserve">Family adjustment priorities; facilitating roles/responsibilities discussion; maintaining privacy during counselling</w:t>
            </w:r>
            <w:r>
              <w:t xml:space="preserve"> </w:t>
            </w:r>
            <w:hyperlink r:id="rId22">
              <w:r>
                <w:rPr>
                  <w:rStyle w:val="Hyperlink"/>
                </w:rPr>
                <w:t xml:space="preserve">[15]</w:t>
              </w:r>
            </w:hyperlink>
          </w:p>
        </w:tc>
      </w:tr>
      <w:tr>
        <w:tc>
          <w:tcPr/>
          <w:p>
            <w:pPr>
              <w:pStyle w:val="Compact"/>
            </w:pPr>
            <w:r>
              <w:t xml:space="preserve">Cultural competence and health beliefs affecting adherence</w:t>
            </w:r>
          </w:p>
        </w:tc>
        <w:tc>
          <w:tcPr/>
          <w:p>
            <w:pPr>
              <w:pStyle w:val="Compact"/>
            </w:pPr>
            <w:r>
              <w:t xml:space="preserve">Nursing Practice expects sensitivity to socio-cultural practices and beliefs; practice scenarios test culturally appropriate communication and negotiating adherence with traditional healing beliefs.</w:t>
            </w:r>
            <w:r>
              <w:t xml:space="preserve"> </w:t>
            </w:r>
            <w:hyperlink r:id="rId22">
              <w:r>
                <w:rPr>
                  <w:rStyle w:val="Hyperlink"/>
                </w:rPr>
                <w:t xml:space="preserve">[38]</w:t>
              </w:r>
            </w:hyperlink>
          </w:p>
        </w:tc>
        <w:tc>
          <w:tcPr/>
          <w:p>
            <w:pPr>
              <w:pStyle w:val="Compact"/>
            </w:pPr>
            <w:r>
              <w:t xml:space="preserve">MC; scenario-based</w:t>
            </w:r>
          </w:p>
        </w:tc>
        <w:tc>
          <w:tcPr/>
          <w:p>
            <w:pPr>
              <w:pStyle w:val="Compact"/>
            </w:pPr>
            <w:r>
              <w:t xml:space="preserve">Cultural assessment questions (“significance to you?”); integrating safety requirements with cultural items (e.g., religious medal); respectful negotiation vs confrontation</w:t>
            </w:r>
            <w:r>
              <w:t xml:space="preserve"> </w:t>
            </w:r>
            <w:hyperlink r:id="rId22">
              <w:r>
                <w:rPr>
                  <w:rStyle w:val="Hyperlink"/>
                </w:rPr>
                <w:t xml:space="preserve">[39]</w:t>
              </w:r>
            </w:hyperlink>
          </w:p>
        </w:tc>
      </w:tr>
      <w:tr>
        <w:tc>
          <w:tcPr/>
          <w:p>
            <w:pPr>
              <w:pStyle w:val="Compact"/>
            </w:pPr>
            <w:r>
              <w:t xml:space="preserve">Hypertension and cardiovascular risk reduction</w:t>
            </w:r>
          </w:p>
        </w:tc>
        <w:tc>
          <w:tcPr/>
          <w:p>
            <w:pPr>
              <w:pStyle w:val="Compact"/>
            </w:pPr>
            <w:r>
              <w:t xml:space="preserve">Hypertension appears in the blueprint’s degenerative health problems list, supporting its priority as a common chronic condition requiring education and prevention.</w:t>
            </w:r>
            <w:r>
              <w:t xml:space="preserve"> </w:t>
            </w:r>
            <w:hyperlink r:id="rId21">
              <w:r>
                <w:rPr>
                  <w:rStyle w:val="Hyperlink"/>
                </w:rPr>
                <w:t xml:space="preserve">[22]</w:t>
              </w:r>
            </w:hyperlink>
          </w:p>
        </w:tc>
        <w:tc>
          <w:tcPr/>
          <w:p>
            <w:pPr>
              <w:pStyle w:val="Compact"/>
            </w:pPr>
            <w:r>
              <w:t xml:space="preserve">MC; stand-alone + vignette</w:t>
            </w:r>
          </w:p>
        </w:tc>
        <w:tc>
          <w:tcPr/>
          <w:p>
            <w:pPr>
              <w:pStyle w:val="Compact"/>
            </w:pPr>
            <w:r>
              <w:t xml:space="preserve">Lifestyle risk factor questions; priority teaching points; recognizing complications (stroke/MI risk)</w:t>
            </w:r>
          </w:p>
        </w:tc>
      </w:tr>
      <w:tr>
        <w:tc>
          <w:tcPr/>
          <w:p>
            <w:pPr>
              <w:pStyle w:val="Compact"/>
            </w:pPr>
            <w:r>
              <w:t xml:space="preserve">Acute coronary syndrome / myocardial infarction</w:t>
            </w:r>
          </w:p>
        </w:tc>
        <w:tc>
          <w:tcPr/>
          <w:p>
            <w:pPr>
              <w:pStyle w:val="Compact"/>
            </w:pPr>
            <w:r>
              <w:t xml:space="preserve">MI is listed in degenerative health problems, and practice items test confirmatory cardiac labs (e.g., troponin) in MI scenarios.</w:t>
            </w:r>
            <w:r>
              <w:t xml:space="preserve"> </w:t>
            </w:r>
            <w:hyperlink r:id="rId21">
              <w:r>
                <w:rPr>
                  <w:rStyle w:val="Hyperlink"/>
                </w:rPr>
                <w:t xml:space="preserve">[30]</w:t>
              </w:r>
            </w:hyperlink>
          </w:p>
        </w:tc>
        <w:tc>
          <w:tcPr/>
          <w:p>
            <w:pPr>
              <w:pStyle w:val="Compact"/>
            </w:pPr>
            <w:r>
              <w:t xml:space="preserve">MC; scenario-based</w:t>
            </w:r>
          </w:p>
        </w:tc>
        <w:tc>
          <w:tcPr/>
          <w:p>
            <w:pPr>
              <w:pStyle w:val="Compact"/>
            </w:pPr>
            <w:r>
              <w:t xml:space="preserve">Interpreting troponin/CK-MB; first nursing priorities in chest pain; risk factor identification and counseling</w:t>
            </w:r>
            <w:r>
              <w:t xml:space="preserve"> </w:t>
            </w:r>
            <w:hyperlink r:id="rId22">
              <w:r>
                <w:rPr>
                  <w:rStyle w:val="Hyperlink"/>
                </w:rPr>
                <w:t xml:space="preserve">[15]</w:t>
              </w:r>
            </w:hyperlink>
          </w:p>
        </w:tc>
      </w:tr>
      <w:tr>
        <w:tc>
          <w:tcPr/>
          <w:p>
            <w:pPr>
              <w:pStyle w:val="Compact"/>
            </w:pPr>
            <w:r>
              <w:t xml:space="preserve">Heart failure and fluid overload/perfusion</w:t>
            </w:r>
          </w:p>
        </w:tc>
        <w:tc>
          <w:tcPr/>
          <w:p>
            <w:pPr>
              <w:pStyle w:val="Compact"/>
            </w:pPr>
            <w:r>
              <w:t xml:space="preserve">Congestive cardiac failure is listed among degenerative health problems; practice items include CHF education priorities and cardiac medication teaching (digoxin).</w:t>
            </w:r>
            <w:r>
              <w:t xml:space="preserve"> </w:t>
            </w:r>
            <w:hyperlink r:id="rId21">
              <w:r>
                <w:rPr>
                  <w:rStyle w:val="Hyperlink"/>
                </w:rPr>
                <w:t xml:space="preserve">[40]</w:t>
              </w:r>
            </w:hyperlink>
          </w:p>
        </w:tc>
        <w:tc>
          <w:tcPr/>
          <w:p>
            <w:pPr>
              <w:pStyle w:val="Compact"/>
            </w:pPr>
            <w:r>
              <w:t xml:space="preserve">MC; education + management vignettes</w:t>
            </w:r>
          </w:p>
        </w:tc>
        <w:tc>
          <w:tcPr/>
          <w:p>
            <w:pPr>
              <w:pStyle w:val="Compact"/>
            </w:pPr>
            <w:r>
              <w:t xml:space="preserve">Sodium restriction teaching; medication effects and monitoring; recognizing decompensation signs</w:t>
            </w:r>
          </w:p>
        </w:tc>
      </w:tr>
      <w:tr>
        <w:tc>
          <w:tcPr/>
          <w:p>
            <w:pPr>
              <w:pStyle w:val="Compact"/>
            </w:pPr>
            <w:r>
              <w:t xml:space="preserve">Cerebrovascular disease (stroke/TIA)</w:t>
            </w:r>
          </w:p>
        </w:tc>
        <w:tc>
          <w:tcPr/>
          <w:p>
            <w:pPr>
              <w:pStyle w:val="Compact"/>
            </w:pPr>
            <w:r>
              <w:t xml:space="preserve">The blueprint lists transient ischaemia and cerebrovascular disease among degenerative health problems, supporting frequent testing of recognition and rapid priorities.</w:t>
            </w:r>
            <w:r>
              <w:t xml:space="preserve"> </w:t>
            </w:r>
            <w:hyperlink r:id="rId21">
              <w:r>
                <w:rPr>
                  <w:rStyle w:val="Hyperlink"/>
                </w:rPr>
                <w:t xml:space="preserve">[22]</w:t>
              </w:r>
            </w:hyperlink>
          </w:p>
        </w:tc>
        <w:tc>
          <w:tcPr/>
          <w:p>
            <w:pPr>
              <w:pStyle w:val="Compact"/>
            </w:pPr>
            <w:r>
              <w:t xml:space="preserve">MC; “time-critical” items</w:t>
            </w:r>
          </w:p>
        </w:tc>
        <w:tc>
          <w:tcPr/>
          <w:p>
            <w:pPr>
              <w:pStyle w:val="Compact"/>
            </w:pPr>
            <w:r>
              <w:t xml:space="preserve">FAST/acute neuro change recognition; aspiration precautions; post-stroke safety and rehab basics</w:t>
            </w:r>
          </w:p>
        </w:tc>
      </w:tr>
      <w:tr>
        <w:tc>
          <w:tcPr/>
          <w:p>
            <w:pPr>
              <w:pStyle w:val="Compact"/>
            </w:pPr>
            <w:r>
              <w:t xml:space="preserve">Endocrine and metabolic disorders</w:t>
            </w:r>
          </w:p>
        </w:tc>
        <w:tc>
          <w:tcPr/>
          <w:p>
            <w:pPr>
              <w:pStyle w:val="Compact"/>
            </w:pPr>
            <w:r>
              <w:t xml:space="preserve">The blueprint table lists diabetes mellitus and also metabolic/endocrine issues such as obesity, gout, and thyroid disorders (goitre/thyrotoxicosis/myxoedema).</w:t>
            </w:r>
            <w:r>
              <w:t xml:space="preserve"> </w:t>
            </w:r>
            <w:hyperlink r:id="rId21">
              <w:r>
                <w:rPr>
                  <w:rStyle w:val="Hyperlink"/>
                </w:rPr>
                <w:t xml:space="preserve">[30]</w:t>
              </w:r>
            </w:hyperlink>
          </w:p>
        </w:tc>
        <w:tc>
          <w:tcPr/>
          <w:p>
            <w:pPr>
              <w:pStyle w:val="Compact"/>
            </w:pPr>
            <w:r>
              <w:t xml:space="preserve">MC; scenario-based</w:t>
            </w:r>
          </w:p>
        </w:tc>
        <w:tc>
          <w:tcPr/>
          <w:p>
            <w:pPr>
              <w:pStyle w:val="Compact"/>
            </w:pPr>
            <w:r>
              <w:t xml:space="preserve">Hypo/hyperglycemia recognition; sick-day rules and ketone checks; weight/diet priorities and teaching</w:t>
            </w:r>
            <w:r>
              <w:t xml:space="preserve"> </w:t>
            </w:r>
            <w:hyperlink r:id="rId22">
              <w:r>
                <w:rPr>
                  <w:rStyle w:val="Hyperlink"/>
                </w:rPr>
                <w:t xml:space="preserve">[39]</w:t>
              </w:r>
            </w:hyperlink>
          </w:p>
        </w:tc>
      </w:tr>
      <w:tr>
        <w:tc>
          <w:tcPr/>
          <w:p>
            <w:pPr>
              <w:pStyle w:val="Compact"/>
            </w:pPr>
            <w:r>
              <w:t xml:space="preserve">Renal disorders (glomerulonephritis/nephritic/UTI/renal calculi)</w:t>
            </w:r>
          </w:p>
        </w:tc>
        <w:tc>
          <w:tcPr/>
          <w:p>
            <w:pPr>
              <w:pStyle w:val="Compact"/>
            </w:pPr>
            <w:r>
              <w:t xml:space="preserve">Acute glomerulonephritis and nephritic syndrome appear in the blueprint lists, and practice items emphasize fluid balance as the primary goal of care.</w:t>
            </w:r>
            <w:r>
              <w:t xml:space="preserve"> </w:t>
            </w:r>
            <w:hyperlink r:id="rId21">
              <w:r>
                <w:rPr>
                  <w:rStyle w:val="Hyperlink"/>
                </w:rPr>
                <w:t xml:space="preserve">[28]</w:t>
              </w:r>
            </w:hyperlink>
          </w:p>
        </w:tc>
        <w:tc>
          <w:tcPr/>
          <w:p>
            <w:pPr>
              <w:pStyle w:val="Compact"/>
            </w:pPr>
            <w:r>
              <w:t xml:space="preserve">MC; scenario-based</w:t>
            </w:r>
          </w:p>
        </w:tc>
        <w:tc>
          <w:tcPr/>
          <w:p>
            <w:pPr>
              <w:pStyle w:val="Compact"/>
            </w:pPr>
            <w:r>
              <w:t xml:space="preserve">Edema/HTN/fluid restriction priorities; UTI prevention (catheter care); renal colic/stone red flags</w:t>
            </w:r>
          </w:p>
        </w:tc>
      </w:tr>
      <w:tr>
        <w:tc>
          <w:tcPr/>
          <w:p>
            <w:pPr>
              <w:pStyle w:val="Compact"/>
            </w:pPr>
            <w:r>
              <w:t xml:space="preserve">Chronic respiratory disease (bronchitis/emphysema/COPD)</w:t>
            </w:r>
          </w:p>
        </w:tc>
        <w:tc>
          <w:tcPr/>
          <w:p>
            <w:pPr>
              <w:pStyle w:val="Compact"/>
            </w:pPr>
            <w:r>
              <w:t xml:space="preserve">Bronchitis and emphysema appear in the blueprint’s infectious/inflammatory and degenerative listings, reflecting common adult respiratory disease content.</w:t>
            </w:r>
            <w:r>
              <w:t xml:space="preserve"> </w:t>
            </w:r>
            <w:hyperlink r:id="rId21">
              <w:r>
                <w:rPr>
                  <w:rStyle w:val="Hyperlink"/>
                </w:rPr>
                <w:t xml:space="preserve">[22]</w:t>
              </w:r>
            </w:hyperlink>
          </w:p>
        </w:tc>
        <w:tc>
          <w:tcPr/>
          <w:p>
            <w:pPr>
              <w:pStyle w:val="Compact"/>
            </w:pPr>
            <w:r>
              <w:t xml:space="preserve">MC; vignette-based</w:t>
            </w:r>
          </w:p>
        </w:tc>
        <w:tc>
          <w:tcPr/>
          <w:p>
            <w:pPr>
              <w:pStyle w:val="Compact"/>
            </w:pPr>
            <w:r>
              <w:t xml:space="preserve">Oxygen/CO2 retention cautions; pulmonary hygiene priorities; exacerbation recognition and escalation</w:t>
            </w:r>
          </w:p>
        </w:tc>
      </w:tr>
      <w:tr>
        <w:tc>
          <w:tcPr/>
          <w:p>
            <w:pPr>
              <w:pStyle w:val="Compact"/>
            </w:pPr>
            <w:r>
              <w:t xml:space="preserve">Tuberculosis</w:t>
            </w:r>
          </w:p>
        </w:tc>
        <w:tc>
          <w:tcPr/>
          <w:p>
            <w:pPr>
              <w:pStyle w:val="Compact"/>
            </w:pPr>
            <w:r>
              <w:t xml:space="preserve">Pulmonary tuberculosis is explicitly listed among common infectious/inflammatory problems, and the skills list includes contact tracing/case finding as tested competencies.</w:t>
            </w:r>
            <w:r>
              <w:t xml:space="preserve"> </w:t>
            </w:r>
            <w:hyperlink r:id="rId21">
              <w:r>
                <w:rPr>
                  <w:rStyle w:val="Hyperlink"/>
                </w:rPr>
                <w:t xml:space="preserve">[21]</w:t>
              </w:r>
            </w:hyperlink>
          </w:p>
        </w:tc>
        <w:tc>
          <w:tcPr/>
          <w:p>
            <w:pPr>
              <w:pStyle w:val="Compact"/>
            </w:pPr>
            <w:r>
              <w:t xml:space="preserve">MC; public health + clinical vignettes</w:t>
            </w:r>
          </w:p>
        </w:tc>
        <w:tc>
          <w:tcPr/>
          <w:p>
            <w:pPr>
              <w:pStyle w:val="Compact"/>
            </w:pPr>
            <w:r>
              <w:t xml:space="preserve">Airborne precautions; adherence/DOT-style teaching; contact tracing and community prevention concepts</w:t>
            </w:r>
            <w:r>
              <w:t xml:space="preserve"> </w:t>
            </w:r>
            <w:hyperlink r:id="rId21">
              <w:r>
                <w:rPr>
                  <w:rStyle w:val="Hyperlink"/>
                </w:rPr>
                <w:t xml:space="preserve">[22]</w:t>
              </w:r>
            </w:hyperlink>
          </w:p>
        </w:tc>
      </w:tr>
      <w:tr>
        <w:tc>
          <w:tcPr/>
          <w:p>
            <w:pPr>
              <w:pStyle w:val="Compact"/>
            </w:pPr>
            <w:r>
              <w:t xml:space="preserve">HIV/AIDS and stigma/confidentiality</w:t>
            </w:r>
          </w:p>
        </w:tc>
        <w:tc>
          <w:tcPr/>
          <w:p>
            <w:pPr>
              <w:pStyle w:val="Compact"/>
            </w:pPr>
            <w:r>
              <w:t xml:space="preserve">HIV+ is listed among common infectious/inflammatory health problems; practice items test confidentiality breaches and ethical obligations in HIV/AIDS care and education.</w:t>
            </w:r>
            <w:r>
              <w:t xml:space="preserve"> </w:t>
            </w:r>
            <w:hyperlink r:id="rId21">
              <w:r>
                <w:rPr>
                  <w:rStyle w:val="Hyperlink"/>
                </w:rPr>
                <w:t xml:space="preserve">[41]</w:t>
              </w:r>
            </w:hyperlink>
          </w:p>
        </w:tc>
        <w:tc>
          <w:tcPr/>
          <w:p>
            <w:pPr>
              <w:pStyle w:val="Compact"/>
            </w:pPr>
            <w:r>
              <w:t xml:space="preserve">MC; ethics + teaching</w:t>
            </w:r>
          </w:p>
        </w:tc>
        <w:tc>
          <w:tcPr/>
          <w:p>
            <w:pPr>
              <w:pStyle w:val="Compact"/>
            </w:pPr>
            <w:r>
              <w:t xml:space="preserve">Privacy/confidentiality scenarios; health education planning priorities (attitudes/values/beliefs); opportunistic infection awareness basics</w:t>
            </w:r>
            <w:r>
              <w:t xml:space="preserve"> </w:t>
            </w:r>
            <w:hyperlink r:id="rId22">
              <w:r>
                <w:rPr>
                  <w:rStyle w:val="Hyperlink"/>
                </w:rPr>
                <w:t xml:space="preserve">[15]</w:t>
              </w:r>
            </w:hyperlink>
          </w:p>
        </w:tc>
      </w:tr>
      <w:tr>
        <w:tc>
          <w:tcPr/>
          <w:p>
            <w:pPr>
              <w:pStyle w:val="Compact"/>
            </w:pPr>
            <w:r>
              <w:t xml:space="preserve">Meningitis and neurologic infection management</w:t>
            </w:r>
          </w:p>
        </w:tc>
        <w:tc>
          <w:tcPr/>
          <w:p>
            <w:pPr>
              <w:pStyle w:val="Compact"/>
            </w:pPr>
            <w:r>
              <w:t xml:space="preserve">Meningitis is explicitly listed as an infectious/inflammatory health problem, supporting urgent recognition and early intervention priorities.</w:t>
            </w:r>
            <w:r>
              <w:t xml:space="preserve"> </w:t>
            </w:r>
            <w:hyperlink r:id="rId21">
              <w:r>
                <w:rPr>
                  <w:rStyle w:val="Hyperlink"/>
                </w:rPr>
                <w:t xml:space="preserve">[4]</w:t>
              </w:r>
            </w:hyperlink>
          </w:p>
        </w:tc>
        <w:tc>
          <w:tcPr/>
          <w:p>
            <w:pPr>
              <w:pStyle w:val="Compact"/>
            </w:pPr>
            <w:r>
              <w:t xml:space="preserve">MC; urgent-care vignettes</w:t>
            </w:r>
          </w:p>
        </w:tc>
        <w:tc>
          <w:tcPr/>
          <w:p>
            <w:pPr>
              <w:pStyle w:val="Compact"/>
            </w:pPr>
            <w:r>
              <w:t xml:space="preserve">Early red flags (fever/neck stiffness/LOC); isolation/prophylaxis basics; seizure precautions and neuro monitoring</w:t>
            </w:r>
          </w:p>
        </w:tc>
      </w:tr>
      <w:tr>
        <w:tc>
          <w:tcPr/>
          <w:p>
            <w:pPr>
              <w:pStyle w:val="Compact"/>
            </w:pPr>
            <w:r>
              <w:t xml:space="preserve">Gastrointestinal and hepatobiliary disorders</w:t>
            </w:r>
          </w:p>
        </w:tc>
        <w:tc>
          <w:tcPr/>
          <w:p>
            <w:pPr>
              <w:pStyle w:val="Compact"/>
            </w:pPr>
            <w:r>
              <w:t xml:space="preserve">The blueprint table lists appendicitis, peptic ulcer, viral hepatitis, cholecystitis, and pancreatitis, reflecting common regional adult health problems.</w:t>
            </w:r>
            <w:r>
              <w:t xml:space="preserve"> </w:t>
            </w:r>
            <w:hyperlink r:id="rId21">
              <w:r>
                <w:rPr>
                  <w:rStyle w:val="Hyperlink"/>
                </w:rPr>
                <w:t xml:space="preserve">[21]</w:t>
              </w:r>
            </w:hyperlink>
          </w:p>
        </w:tc>
        <w:tc>
          <w:tcPr/>
          <w:p>
            <w:pPr>
              <w:pStyle w:val="Compact"/>
            </w:pPr>
            <w:r>
              <w:t xml:space="preserve">MC; scenario-based</w:t>
            </w:r>
          </w:p>
        </w:tc>
        <w:tc>
          <w:tcPr/>
          <w:p>
            <w:pPr>
              <w:pStyle w:val="Compact"/>
            </w:pPr>
            <w:r>
              <w:t xml:space="preserve">Abdominal pain differential priorities; NPO/NG decompression positioning priorities</w:t>
            </w:r>
            <w:r>
              <w:t xml:space="preserve"> </w:t>
            </w:r>
            <w:hyperlink r:id="rId22">
              <w:r>
                <w:rPr>
                  <w:rStyle w:val="Hyperlink"/>
                </w:rPr>
                <w:t xml:space="preserve">[29]</w:t>
              </w:r>
            </w:hyperlink>
            <w:r>
              <w:t xml:space="preserve">; hepatitis infection control and teaching</w:t>
            </w:r>
          </w:p>
        </w:tc>
      </w:tr>
      <w:tr>
        <w:tc>
          <w:tcPr/>
          <w:p>
            <w:pPr>
              <w:pStyle w:val="Compact"/>
            </w:pPr>
            <w:r>
              <w:t xml:space="preserve">Musculoskeletal disorders and infections</w:t>
            </w:r>
          </w:p>
        </w:tc>
        <w:tc>
          <w:tcPr/>
          <w:p>
            <w:pPr>
              <w:pStyle w:val="Compact"/>
            </w:pPr>
            <w:r>
              <w:t xml:space="preserve">Osteomyelitis and degenerative arthritis appear in the blueprint; core skills include care for splints/casts/tractions and ROM exercises.</w:t>
            </w:r>
            <w:r>
              <w:t xml:space="preserve"> </w:t>
            </w:r>
            <w:hyperlink r:id="rId21">
              <w:r>
                <w:rPr>
                  <w:rStyle w:val="Hyperlink"/>
                </w:rPr>
                <w:t xml:space="preserve">[9]</w:t>
              </w:r>
            </w:hyperlink>
          </w:p>
        </w:tc>
        <w:tc>
          <w:tcPr/>
          <w:p>
            <w:pPr>
              <w:pStyle w:val="Compact"/>
            </w:pPr>
            <w:r>
              <w:t xml:space="preserve">MC; procedure + condition vignettes</w:t>
            </w:r>
          </w:p>
        </w:tc>
        <w:tc>
          <w:tcPr/>
          <w:p>
            <w:pPr>
              <w:pStyle w:val="Compact"/>
            </w:pPr>
            <w:r>
              <w:t xml:space="preserve">Neurovascular checks with casts; osteomyelitis infection cues; mobility and fall prevention in arthritis</w:t>
            </w:r>
          </w:p>
        </w:tc>
      </w:tr>
      <w:tr>
        <w:tc>
          <w:tcPr/>
          <w:p>
            <w:pPr>
              <w:pStyle w:val="Compact"/>
            </w:pPr>
            <w:r>
              <w:t xml:space="preserve">Trauma emergencies (burns, head injury, motor vehicle injuries)</w:t>
            </w:r>
          </w:p>
        </w:tc>
        <w:tc>
          <w:tcPr/>
          <w:p>
            <w:pPr>
              <w:pStyle w:val="Compact"/>
            </w:pPr>
            <w:r>
              <w:t xml:space="preserve">Accident/trauma is a major emphasis category, with burns/head injuries/multiple injuries listed as common problems; practice scenarios include motor vehicle injury with chest tube care and immediate actions if dislodged.</w:t>
            </w:r>
            <w:r>
              <w:t xml:space="preserve"> </w:t>
            </w:r>
            <w:hyperlink r:id="rId21">
              <w:r>
                <w:rPr>
                  <w:rStyle w:val="Hyperlink"/>
                </w:rPr>
                <w:t xml:space="preserve">[42]</w:t>
              </w:r>
            </w:hyperlink>
          </w:p>
        </w:tc>
        <w:tc>
          <w:tcPr/>
          <w:p>
            <w:pPr>
              <w:pStyle w:val="Compact"/>
            </w:pPr>
            <w:r>
              <w:t xml:space="preserve">MC; high-priority “first action”</w:t>
            </w:r>
          </w:p>
        </w:tc>
        <w:tc>
          <w:tcPr/>
          <w:p>
            <w:pPr>
              <w:pStyle w:val="Compact"/>
            </w:pPr>
            <w:r>
              <w:t xml:space="preserve">Burn initial priorities; chest tube safety (upright below insertion; occlusive dressing if dislodged)</w:t>
            </w:r>
            <w:r>
              <w:t xml:space="preserve"> </w:t>
            </w:r>
            <w:hyperlink r:id="rId22">
              <w:r>
                <w:rPr>
                  <w:rStyle w:val="Hyperlink"/>
                </w:rPr>
                <w:t xml:space="preserve">[43]</w:t>
              </w:r>
            </w:hyperlink>
            <w:r>
              <w:t xml:space="preserve">; shock recognition basics</w:t>
            </w:r>
          </w:p>
        </w:tc>
      </w:tr>
      <w:tr>
        <w:tc>
          <w:tcPr/>
          <w:p>
            <w:pPr>
              <w:pStyle w:val="Compact"/>
            </w:pPr>
            <w:r>
              <w:t xml:space="preserve">Neoplastic disorders and cancer nursing</w:t>
            </w:r>
          </w:p>
        </w:tc>
        <w:tc>
          <w:tcPr/>
          <w:p>
            <w:pPr>
              <w:pStyle w:val="Compact"/>
            </w:pPr>
            <w:r>
              <w:t xml:space="preserve">Neoplastic problems are designated a major blueprint emphasis category, and the common-problems table lists multiple cancers (breast/uterine/prostate/leukemia); practice items also test communication/support for distress in cancer diagnoses.</w:t>
            </w:r>
            <w:r>
              <w:t xml:space="preserve"> </w:t>
            </w:r>
            <w:hyperlink r:id="rId21">
              <w:r>
                <w:rPr>
                  <w:rStyle w:val="Hyperlink"/>
                </w:rPr>
                <w:t xml:space="preserve">[44]</w:t>
              </w:r>
            </w:hyperlink>
          </w:p>
        </w:tc>
        <w:tc>
          <w:tcPr/>
          <w:p>
            <w:pPr>
              <w:pStyle w:val="Compact"/>
            </w:pPr>
            <w:r>
              <w:t xml:space="preserve">MC; psychosocial + clinical</w:t>
            </w:r>
          </w:p>
        </w:tc>
        <w:tc>
          <w:tcPr/>
          <w:p>
            <w:pPr>
              <w:pStyle w:val="Compact"/>
            </w:pPr>
            <w:r>
              <w:t xml:space="preserve">Screening/early symptom recognition; coping/denial responses and best therapeutic support</w:t>
            </w:r>
            <w:r>
              <w:t xml:space="preserve"> </w:t>
            </w:r>
            <w:hyperlink r:id="rId22">
              <w:r>
                <w:rPr>
                  <w:rStyle w:val="Hyperlink"/>
                </w:rPr>
                <w:t xml:space="preserve">[20]</w:t>
              </w:r>
            </w:hyperlink>
            <w:r>
              <w:t xml:space="preserve">; treatment side-effect safety concepts (general)</w:t>
            </w:r>
          </w:p>
        </w:tc>
      </w:tr>
      <w:tr>
        <w:tc>
          <w:tcPr/>
          <w:p>
            <w:pPr>
              <w:pStyle w:val="Compact"/>
            </w:pPr>
            <w:r>
              <w:t xml:space="preserve">Environmental and vector-borne/zoonotic threats</w:t>
            </w:r>
          </w:p>
        </w:tc>
        <w:tc>
          <w:tcPr/>
          <w:p>
            <w:pPr>
              <w:pStyle w:val="Compact"/>
            </w:pPr>
            <w:r>
              <w:t xml:space="preserve">Environmental health is a major emphasis category; the blueprint lists vectors and diseases such as dengue/malaria/leptospirosis plus sanitation risks (water, sewage, disasters).</w:t>
            </w:r>
            <w:r>
              <w:t xml:space="preserve"> </w:t>
            </w:r>
            <w:hyperlink r:id="rId21">
              <w:r>
                <w:rPr>
                  <w:rStyle w:val="Hyperlink"/>
                </w:rPr>
                <w:t xml:space="preserve">[21]</w:t>
              </w:r>
            </w:hyperlink>
          </w:p>
        </w:tc>
        <w:tc>
          <w:tcPr/>
          <w:p>
            <w:pPr>
              <w:pStyle w:val="Compact"/>
            </w:pPr>
            <w:r>
              <w:t xml:space="preserve">MC; community-health vignettes</w:t>
            </w:r>
          </w:p>
        </w:tc>
        <w:tc>
          <w:tcPr/>
          <w:p>
            <w:pPr>
              <w:pStyle w:val="Compact"/>
            </w:pPr>
            <w:r>
              <w:t xml:space="preserve">Vector control and prevention teaching; disaster-related health risks (water/food hygiene); outbreak-aware nursing actions and referral/reporting</w:t>
            </w:r>
          </w:p>
        </w:tc>
      </w:tr>
    </w:tbl>
    <w:bookmarkEnd w:id="29"/>
    <w:bookmarkStart w:id="30" w:name="primary-references-and-links"/>
    <w:p>
      <w:pPr>
        <w:pStyle w:val="Heading2"/>
      </w:pPr>
      <w:r>
        <w:t xml:space="preserve">Primary references and links</w:t>
      </w:r>
    </w:p>
    <w:p>
      <w:pPr>
        <w:pStyle w:val="FirstParagraph"/>
      </w:pPr>
      <w:r>
        <w:t xml:space="preserve">The most exam-direct primary references used to build and justify the topic list are the CXC RENR Preparation Guide (domains/competencies, exam format, cognitive weighting, and sample items) and the CARICOM blueprint/curriculum materials that outline common health problems and core nursing skills expected of entry-level nurses.</w:t>
      </w:r>
      <w:r>
        <w:t xml:space="preserve"> </w:t>
      </w:r>
      <w:hyperlink r:id="rId22">
        <w:r>
          <w:rPr>
            <w:rStyle w:val="Hyperlink"/>
          </w:rPr>
          <w:t xml:space="preserve">[45]</w:t>
        </w:r>
      </w:hyperlink>
      <w:r>
        <w:t xml:space="preserve"> </w:t>
      </w:r>
      <w:r>
        <w:t xml:space="preserve">A peer-reviewed paper provides corroborating historical context that the regional examination blueprint and administration manuals are elaborated from mutually agreed competencies across countries.</w:t>
      </w:r>
      <w:r>
        <w:t xml:space="preserve"> </w:t>
      </w:r>
      <w:hyperlink r:id="rId26">
        <w:r>
          <w:rPr>
            <w:rStyle w:val="Hyperlink"/>
          </w:rPr>
          <w:t xml:space="preserve">[11]</w:t>
        </w:r>
      </w:hyperlink>
    </w:p>
    <w:p>
      <w:pPr>
        <w:pStyle w:val="SourceCode"/>
      </w:pPr>
      <w:r>
        <w:rPr>
          <w:rStyle w:val="VerbatimChar"/>
        </w:rPr>
        <w:t xml:space="preserve">CXC RENR Preparation Guide with Sample Test (PDF):</w:t>
      </w:r>
      <w:r>
        <w:br/>
      </w:r>
      <w:r>
        <w:rPr>
          <w:rStyle w:val="VerbatimChar"/>
        </w:rPr>
        <w:t xml:space="preserve">https://www.cxc.org/SiteAssets/RENR/RENR%20Prep%20Guide%20with%20Sample%20Test_5September2014.pdf</w:t>
      </w:r>
      <w:r>
        <w:br/>
      </w:r>
      <w:r>
        <w:br/>
      </w:r>
      <w:r>
        <w:rPr>
          <w:rStyle w:val="VerbatimChar"/>
        </w:rPr>
        <w:t xml:space="preserve">CARICOM Curriculum for Registered Nursing Education Programme (PDF):</w:t>
      </w:r>
      <w:r>
        <w:br/>
      </w:r>
      <w:r>
        <w:rPr>
          <w:rStyle w:val="VerbatimChar"/>
        </w:rPr>
        <w:t xml:space="preserve">https://caricom.org/documents/12064-curriculum_for_registered_nursing_education_programme.pdf</w:t>
      </w:r>
      <w:r>
        <w:br/>
      </w:r>
      <w:r>
        <w:br/>
      </w:r>
      <w:r>
        <w:rPr>
          <w:rStyle w:val="VerbatimChar"/>
        </w:rPr>
        <w:t xml:space="preserve">CARICOM Blueprint – Regional Examination for Nurse Registration (public copy hosted online):</w:t>
      </w:r>
      <w:r>
        <w:br/>
      </w:r>
      <w:r>
        <w:rPr>
          <w:rStyle w:val="VerbatimChar"/>
        </w:rPr>
        <w:t xml:space="preserve">https://www.scribd.com/doc/26574137/Blueprint-Regional-Examination-for-Nurse-Registration-Caricom</w:t>
      </w:r>
      <w:r>
        <w:br/>
      </w:r>
      <w:r>
        <w:br/>
      </w:r>
      <w:r>
        <w:rPr>
          <w:rStyle w:val="VerbatimChar"/>
        </w:rPr>
        <w:t xml:space="preserve">Reid UV. Regional Examination for Nurse Registration, Commonwealth Caribbean. Int Nurs Rev. 2000;47(3):174–183 (PubMed record):</w:t>
      </w:r>
      <w:r>
        <w:br/>
      </w:r>
      <w:r>
        <w:rPr>
          <w:rStyle w:val="VerbatimChar"/>
        </w:rPr>
        <w:t xml:space="preserve">https://pubmed.ncbi.nlm.nih.gov/11043487/</w:t>
      </w:r>
    </w:p>
    <w:bookmarkEnd w:id="30"/>
    <w:bookmarkEnd w:id="31"/>
    <w:bookmarkEnd w:id="32"/>
    <w:p>
      <w:r>
        <w:pict>
          <v:rect style="width:0;height:1.5pt" o:hralign="center" o:hrstd="t" o:hr="t"/>
        </w:pict>
      </w:r>
    </w:p>
    <w:bookmarkStart w:id="33"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[9]</w:t>
        </w:r>
      </w:hyperlink>
      <w:r>
        <w:t xml:space="preserve"> </w:t>
      </w:r>
      <w:hyperlink r:id="rId21">
        <w:r>
          <w:rPr>
            <w:rStyle w:val="Hyperlink"/>
          </w:rPr>
          <w:t xml:space="preserve">[21]</w:t>
        </w:r>
      </w:hyperlink>
      <w:r>
        <w:t xml:space="preserve"> </w:t>
      </w:r>
      <w:hyperlink r:id="rId21">
        <w:r>
          <w:rPr>
            <w:rStyle w:val="Hyperlink"/>
          </w:rPr>
          <w:t xml:space="preserve">[22]</w:t>
        </w:r>
      </w:hyperlink>
      <w:r>
        <w:t xml:space="preserve"> </w:t>
      </w:r>
      <w:hyperlink r:id="rId21">
        <w:r>
          <w:rPr>
            <w:rStyle w:val="Hyperlink"/>
          </w:rPr>
          <w:t xml:space="preserve">[23]</w:t>
        </w:r>
      </w:hyperlink>
      <w:r>
        <w:t xml:space="preserve"> </w:t>
      </w:r>
      <w:hyperlink r:id="rId21">
        <w:r>
          <w:rPr>
            <w:rStyle w:val="Hyperlink"/>
          </w:rPr>
          <w:t xml:space="preserve">[26]</w:t>
        </w:r>
      </w:hyperlink>
      <w:r>
        <w:t xml:space="preserve"> </w:t>
      </w:r>
      <w:hyperlink r:id="rId21">
        <w:r>
          <w:rPr>
            <w:rStyle w:val="Hyperlink"/>
          </w:rPr>
          <w:t xml:space="preserve">[28]</w:t>
        </w:r>
      </w:hyperlink>
      <w:r>
        <w:t xml:space="preserve"> </w:t>
      </w:r>
      <w:hyperlink r:id="rId21">
        <w:r>
          <w:rPr>
            <w:rStyle w:val="Hyperlink"/>
          </w:rPr>
          <w:t xml:space="preserve">[30]</w:t>
        </w:r>
      </w:hyperlink>
      <w:r>
        <w:t xml:space="preserve"> </w:t>
      </w:r>
      <w:hyperlink r:id="rId21">
        <w:r>
          <w:rPr>
            <w:rStyle w:val="Hyperlink"/>
          </w:rPr>
          <w:t xml:space="preserve">[31]</w:t>
        </w:r>
      </w:hyperlink>
      <w:r>
        <w:t xml:space="preserve"> </w:t>
      </w:r>
      <w:hyperlink r:id="rId21">
        <w:r>
          <w:rPr>
            <w:rStyle w:val="Hyperlink"/>
          </w:rPr>
          <w:t xml:space="preserve">[33]</w:t>
        </w:r>
      </w:hyperlink>
      <w:r>
        <w:t xml:space="preserve"> </w:t>
      </w:r>
      <w:hyperlink r:id="rId21">
        <w:r>
          <w:rPr>
            <w:rStyle w:val="Hyperlink"/>
          </w:rPr>
          <w:t xml:space="preserve">[34]</w:t>
        </w:r>
      </w:hyperlink>
      <w:r>
        <w:t xml:space="preserve"> </w:t>
      </w:r>
      <w:hyperlink r:id="rId21">
        <w:r>
          <w:rPr>
            <w:rStyle w:val="Hyperlink"/>
          </w:rPr>
          <w:t xml:space="preserve">[35]</w:t>
        </w:r>
      </w:hyperlink>
      <w:r>
        <w:t xml:space="preserve"> </w:t>
      </w:r>
      <w:hyperlink r:id="rId21">
        <w:r>
          <w:rPr>
            <w:rStyle w:val="Hyperlink"/>
          </w:rPr>
          <w:t xml:space="preserve">[40]</w:t>
        </w:r>
      </w:hyperlink>
      <w:r>
        <w:t xml:space="preserve"> </w:t>
      </w:r>
      <w:hyperlink r:id="rId21">
        <w:r>
          <w:rPr>
            <w:rStyle w:val="Hyperlink"/>
          </w:rPr>
          <w:t xml:space="preserve">[41]</w:t>
        </w:r>
      </w:hyperlink>
      <w:r>
        <w:t xml:space="preserve"> </w:t>
      </w:r>
      <w:hyperlink r:id="rId21">
        <w:r>
          <w:rPr>
            <w:rStyle w:val="Hyperlink"/>
          </w:rPr>
          <w:t xml:space="preserve">[42]</w:t>
        </w:r>
      </w:hyperlink>
      <w:r>
        <w:t xml:space="preserve"> </w:t>
      </w:r>
      <w:hyperlink r:id="rId21">
        <w:r>
          <w:rPr>
            <w:rStyle w:val="Hyperlink"/>
          </w:rPr>
          <w:t xml:space="preserve">[44]</w:t>
        </w:r>
      </w:hyperlink>
      <w:r>
        <w:t xml:space="preserve"> </w:t>
      </w:r>
      <w:r>
        <w:t xml:space="preserve">https://www.scribd.com/doc/26574137/Blueprint-Regional-Examination-for-Nurse-Registration-Caricom</w:t>
      </w:r>
    </w:p>
    <w:p>
      <w:pPr>
        <w:pStyle w:val="BodyText"/>
      </w:pPr>
      <w:hyperlink r:id="rId21">
        <w:r>
          <w:rPr>
            <w:rStyle w:val="Hyperlink"/>
          </w:rPr>
          <w:t xml:space="preserve">https://www.scribd.com/doc/26574137/Blueprint-Regional-Examination-for-Nurse-Registration-Caricom</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[5]</w:t>
        </w:r>
      </w:hyperlink>
      <w:r>
        <w:t xml:space="preserve"> </w:t>
      </w:r>
      <w:hyperlink r:id="rId22">
        <w:r>
          <w:rPr>
            <w:rStyle w:val="Hyperlink"/>
          </w:rPr>
          <w:t xml:space="preserve">[6]</w:t>
        </w:r>
      </w:hyperlink>
      <w:r>
        <w:t xml:space="preserve"> </w:t>
      </w:r>
      <w:hyperlink r:id="rId22">
        <w:r>
          <w:rPr>
            <w:rStyle w:val="Hyperlink"/>
          </w:rPr>
          <w:t xml:space="preserve">[7]</w:t>
        </w:r>
      </w:hyperlink>
      <w:r>
        <w:t xml:space="preserve"> </w:t>
      </w:r>
      <w:hyperlink r:id="rId22">
        <w:r>
          <w:rPr>
            <w:rStyle w:val="Hyperlink"/>
          </w:rPr>
          <w:t xml:space="preserve">[8]</w:t>
        </w:r>
      </w:hyperlink>
      <w:r>
        <w:t xml:space="preserve"> </w:t>
      </w:r>
      <w:hyperlink r:id="rId22">
        <w:r>
          <w:rPr>
            <w:rStyle w:val="Hyperlink"/>
          </w:rPr>
          <w:t xml:space="preserve">[12]</w:t>
        </w:r>
      </w:hyperlink>
      <w:r>
        <w:t xml:space="preserve"> </w:t>
      </w:r>
      <w:hyperlink r:id="rId22">
        <w:r>
          <w:rPr>
            <w:rStyle w:val="Hyperlink"/>
          </w:rPr>
          <w:t xml:space="preserve">[13]</w:t>
        </w:r>
      </w:hyperlink>
      <w:r>
        <w:t xml:space="preserve"> </w:t>
      </w:r>
      <w:hyperlink r:id="rId22">
        <w:r>
          <w:rPr>
            <w:rStyle w:val="Hyperlink"/>
          </w:rPr>
          <w:t xml:space="preserve">[14]</w:t>
        </w:r>
      </w:hyperlink>
      <w:r>
        <w:t xml:space="preserve"> </w:t>
      </w:r>
      <w:hyperlink r:id="rId22">
        <w:r>
          <w:rPr>
            <w:rStyle w:val="Hyperlink"/>
          </w:rPr>
          <w:t xml:space="preserve">[15]</w:t>
        </w:r>
      </w:hyperlink>
      <w:r>
        <w:t xml:space="preserve"> </w:t>
      </w:r>
      <w:hyperlink r:id="rId22">
        <w:r>
          <w:rPr>
            <w:rStyle w:val="Hyperlink"/>
          </w:rPr>
          <w:t xml:space="preserve">[16]</w:t>
        </w:r>
      </w:hyperlink>
      <w:r>
        <w:t xml:space="preserve"> </w:t>
      </w:r>
      <w:hyperlink r:id="rId22">
        <w:r>
          <w:rPr>
            <w:rStyle w:val="Hyperlink"/>
          </w:rPr>
          <w:t xml:space="preserve">[17]</w:t>
        </w:r>
      </w:hyperlink>
      <w:r>
        <w:t xml:space="preserve"> </w:t>
      </w:r>
      <w:hyperlink r:id="rId22">
        <w:r>
          <w:rPr>
            <w:rStyle w:val="Hyperlink"/>
          </w:rPr>
          <w:t xml:space="preserve">[18]</w:t>
        </w:r>
      </w:hyperlink>
      <w:r>
        <w:t xml:space="preserve"> </w:t>
      </w:r>
      <w:hyperlink r:id="rId22">
        <w:r>
          <w:rPr>
            <w:rStyle w:val="Hyperlink"/>
          </w:rPr>
          <w:t xml:space="preserve">[19]</w:t>
        </w:r>
      </w:hyperlink>
      <w:r>
        <w:t xml:space="preserve"> </w:t>
      </w:r>
      <w:hyperlink r:id="rId22">
        <w:r>
          <w:rPr>
            <w:rStyle w:val="Hyperlink"/>
          </w:rPr>
          <w:t xml:space="preserve">[20]</w:t>
        </w:r>
      </w:hyperlink>
      <w:r>
        <w:t xml:space="preserve"> </w:t>
      </w:r>
      <w:hyperlink r:id="rId22">
        <w:r>
          <w:rPr>
            <w:rStyle w:val="Hyperlink"/>
          </w:rPr>
          <w:t xml:space="preserve">[24]</w:t>
        </w:r>
      </w:hyperlink>
      <w:r>
        <w:t xml:space="preserve"> </w:t>
      </w:r>
      <w:hyperlink r:id="rId22">
        <w:r>
          <w:rPr>
            <w:rStyle w:val="Hyperlink"/>
          </w:rPr>
          <w:t xml:space="preserve">[25]</w:t>
        </w:r>
      </w:hyperlink>
      <w:r>
        <w:t xml:space="preserve"> </w:t>
      </w:r>
      <w:hyperlink r:id="rId22">
        <w:r>
          <w:rPr>
            <w:rStyle w:val="Hyperlink"/>
          </w:rPr>
          <w:t xml:space="preserve">[27]</w:t>
        </w:r>
      </w:hyperlink>
      <w:r>
        <w:t xml:space="preserve"> </w:t>
      </w:r>
      <w:hyperlink r:id="rId22">
        <w:r>
          <w:rPr>
            <w:rStyle w:val="Hyperlink"/>
          </w:rPr>
          <w:t xml:space="preserve">[29]</w:t>
        </w:r>
      </w:hyperlink>
      <w:r>
        <w:t xml:space="preserve"> </w:t>
      </w:r>
      <w:hyperlink r:id="rId22">
        <w:r>
          <w:rPr>
            <w:rStyle w:val="Hyperlink"/>
          </w:rPr>
          <w:t xml:space="preserve">[38]</w:t>
        </w:r>
      </w:hyperlink>
      <w:r>
        <w:t xml:space="preserve"> </w:t>
      </w:r>
      <w:hyperlink r:id="rId22">
        <w:r>
          <w:rPr>
            <w:rStyle w:val="Hyperlink"/>
          </w:rPr>
          <w:t xml:space="preserve">[39]</w:t>
        </w:r>
      </w:hyperlink>
      <w:r>
        <w:t xml:space="preserve"> </w:t>
      </w:r>
      <w:hyperlink r:id="rId22">
        <w:r>
          <w:rPr>
            <w:rStyle w:val="Hyperlink"/>
          </w:rPr>
          <w:t xml:space="preserve">[43]</w:t>
        </w:r>
      </w:hyperlink>
      <w:r>
        <w:t xml:space="preserve"> </w:t>
      </w:r>
      <w:hyperlink r:id="rId22">
        <w:r>
          <w:rPr>
            <w:rStyle w:val="Hyperlink"/>
          </w:rPr>
          <w:t xml:space="preserve">[45]</w:t>
        </w:r>
      </w:hyperlink>
      <w:r>
        <w:t xml:space="preserve"> </w:t>
      </w:r>
      <w:r>
        <w:t xml:space="preserve">https://www.cxc.org/SiteAssets/RENR/RENR%20Prep%20Guide%20with%20Sample%20Test_5September2014.pdf</w:t>
      </w:r>
    </w:p>
    <w:p>
      <w:pPr>
        <w:pStyle w:val="BodyText"/>
      </w:pPr>
      <w:hyperlink r:id="rId22">
        <w:r>
          <w:rPr>
            <w:rStyle w:val="Hyperlink"/>
          </w:rPr>
          <w:t xml:space="preserve">https://www.cxc.org/SiteAssets/RENR/RENR%20Prep%20Guide%20with%20Sample%20Test_5September2014.pdf</w:t>
        </w:r>
      </w:hyperlink>
    </w:p>
    <w:p>
      <w:pPr>
        <w:pStyle w:val="BodyText"/>
      </w:pPr>
      <w:hyperlink r:id="rId25">
        <w:r>
          <w:rPr>
            <w:rStyle w:val="Hyperlink"/>
          </w:rPr>
          <w:t xml:space="preserve">[10]</w:t>
        </w:r>
      </w:hyperlink>
      <w:r>
        <w:t xml:space="preserve"> </w:t>
      </w:r>
      <w:hyperlink r:id="rId25">
        <w:r>
          <w:rPr>
            <w:rStyle w:val="Hyperlink"/>
          </w:rPr>
          <w:t xml:space="preserve">[32]</w:t>
        </w:r>
      </w:hyperlink>
      <w:r>
        <w:t xml:space="preserve"> </w:t>
      </w:r>
      <w:hyperlink r:id="rId25">
        <w:r>
          <w:rPr>
            <w:rStyle w:val="Hyperlink"/>
          </w:rPr>
          <w:t xml:space="preserve">[36]</w:t>
        </w:r>
      </w:hyperlink>
      <w:r>
        <w:t xml:space="preserve"> </w:t>
      </w:r>
      <w:hyperlink r:id="rId25">
        <w:r>
          <w:rPr>
            <w:rStyle w:val="Hyperlink"/>
          </w:rPr>
          <w:t xml:space="preserve">[37]</w:t>
        </w:r>
      </w:hyperlink>
      <w:r>
        <w:t xml:space="preserve"> </w:t>
      </w:r>
      <w:r>
        <w:t xml:space="preserve">https://caricom.org/documents/12064-curriculum_for_registered_nursing_education_programme.pdf</w:t>
      </w:r>
    </w:p>
    <w:p>
      <w:pPr>
        <w:pStyle w:val="BodyText"/>
      </w:pPr>
      <w:hyperlink r:id="rId25">
        <w:r>
          <w:rPr>
            <w:rStyle w:val="Hyperlink"/>
          </w:rPr>
          <w:t xml:space="preserve">https://caricom.org/documents/12064-curriculum_for_registered_nursing_education_programme.pdf</w:t>
        </w:r>
      </w:hyperlink>
    </w:p>
    <w:p>
      <w:pPr>
        <w:pStyle w:val="BodyText"/>
      </w:pPr>
      <w:hyperlink r:id="rId26">
        <w:r>
          <w:rPr>
            <w:rStyle w:val="Hyperlink"/>
          </w:rPr>
          <w:t xml:space="preserve">[11]</w:t>
        </w:r>
      </w:hyperlink>
      <w:r>
        <w:t xml:space="preserve"> </w:t>
      </w:r>
      <w:r>
        <w:t xml:space="preserve">Regional Examination for Nurse Registration, Commonwealth Caribbean - PubMed</w:t>
      </w:r>
    </w:p>
    <w:p>
      <w:pPr>
        <w:pStyle w:val="BodyText"/>
      </w:pPr>
      <w:hyperlink r:id="rId26">
        <w:r>
          <w:rPr>
            <w:rStyle w:val="Hyperlink"/>
          </w:rPr>
          <w:t xml:space="preserve">https://pubmed.ncbi.nlm.nih.gov/11043487/</w:t>
        </w:r>
      </w:hyperlink>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caricom.org/documents/12064-curriculum_for_registered_nursing_education_programme.pdf" TargetMode="External" /><Relationship Type="http://schemas.openxmlformats.org/officeDocument/2006/relationships/hyperlink" Id="rId26" Target="https://pubmed.ncbi.nlm.nih.gov/11043487/" TargetMode="External" /><Relationship Type="http://schemas.openxmlformats.org/officeDocument/2006/relationships/hyperlink" Id="rId22" Target="https://www.cxc.org/SiteAssets/RENR/RENR%20Prep%20Guide%20with%20Sample%20Test_5September2014.pdf" TargetMode="External" /><Relationship Type="http://schemas.openxmlformats.org/officeDocument/2006/relationships/hyperlink" Id="rId21" Target="https://www.scribd.com/doc/26574137/Blueprint-Regional-Examination-for-Nurse-Registration-Caricom" TargetMode="External" /></Relationships>
</file>

<file path=word/_rels/footnotes.xml.rels><?xml version="1.0" encoding="UTF-8"?><Relationships xmlns="http://schemas.openxmlformats.org/package/2006/relationships"><Relationship Type="http://schemas.openxmlformats.org/officeDocument/2006/relationships/hyperlink" Id="rId25" Target="https://caricom.org/documents/12064-curriculum_for_registered_nursing_education_programme.pdf" TargetMode="External" /><Relationship Type="http://schemas.openxmlformats.org/officeDocument/2006/relationships/hyperlink" Id="rId26" Target="https://pubmed.ncbi.nlm.nih.gov/11043487/" TargetMode="External" /><Relationship Type="http://schemas.openxmlformats.org/officeDocument/2006/relationships/hyperlink" Id="rId22" Target="https://www.cxc.org/SiteAssets/RENR/RENR%20Prep%20Guide%20with%20Sample%20Test_5September2014.pdf" TargetMode="External" /><Relationship Type="http://schemas.openxmlformats.org/officeDocument/2006/relationships/hyperlink" Id="rId21" Target="https://www.scribd.com/doc/26574137/Blueprint-Regional-Examination-for-Nurse-Registration-Cari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2026-03-19T20:04:55Z</dcterms:created>
  <dcterms:modified xsi:type="dcterms:W3CDTF">2026-03-19T20:04:55Z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