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9936"/>
      </w:tblGrid>
      <w:tr>
        <w:tc>
          <w:tcPr>
            <w:tcW w:type="dxa" w:w="10224"/>
            <w:shd w:fill="EEE8F8"/>
            <w:tcMar>
              <w:top w:w="160" w:type="dxa"/>
              <w:start w:w="180" w:type="dxa"/>
              <w:bottom w:w="140" w:type="dxa"/>
              <w:end w:w="180" w:type="dxa"/>
            </w:tcMar>
          </w:tcPr>
          <w:p>
            <w:pPr>
              <w:pStyle w:val="NRGTitle"/>
              <w:jc w:val="left"/>
            </w:pPr>
            <w:r>
              <w:t>NRG Master Prompt Template</w:t>
              <w:br/>
            </w:r>
            <w:r>
              <w:rPr>
                <w:b/>
                <w:color w:val="582C83"/>
                <w:sz w:val="40"/>
              </w:rPr>
              <w:t>for RENR-Style Question Generation</w:t>
            </w:r>
          </w:p>
          <w:p>
            <w:pPr>
              <w:pStyle w:val="NRGSubtitle"/>
            </w:pPr>
            <w:r>
              <w:t>Use this document to build question-generation prompts that align with common RENR topics, official domain weighting, and official taxonomy weighting.</w:t>
            </w:r>
          </w:p>
          <w:p>
            <w:r>
              <w:rPr>
                <w:rFonts w:ascii="Aptos" w:hAnsi="Aptos"/>
                <w:b w:val="0"/>
                <w:i w:val="0"/>
                <w:color w:val="28282D"/>
                <w:sz w:val="21"/>
              </w:rPr>
              <w:t>Edit the bracketed fields, then copy the master prompt into ChatGPT or your preferred question-writing workflow.</w:t>
            </w:r>
          </w:p>
        </w:tc>
      </w:tr>
    </w:tbl>
    <w:p/>
    <w:tbl>
      <w:tblPr>
        <w:tblW w:type="auto" w:w="0"/>
        <w:jc w:val="center"/>
        <w:tblLayout w:type="fixed"/>
        <w:tblLook w:firstColumn="1" w:firstRow="1" w:lastColumn="0" w:lastRow="0" w:noHBand="0" w:noVBand="1" w:val="04A0"/>
        <w:tblBorders>
          <w:top w:val="single" w:sz="6" w:color="D8D8E0"/>
          <w:left w:val="single" w:sz="6" w:color="D8D8E0"/>
          <w:bottom w:val="single" w:sz="6" w:color="D8D8E0"/>
          <w:right w:val="single" w:sz="6" w:color="D8D8E0"/>
          <w:insideH w:val="single" w:sz="6" w:color="D8D8E0"/>
          <w:insideV w:val="single" w:sz="6" w:color="D8D8E0"/>
        </w:tblBorders>
      </w:tblPr>
      <w:tblGrid>
        <w:gridCol w:w="2016"/>
        <w:gridCol w:w="7776"/>
      </w:tblGrid>
      <w:tr>
        <w:tc>
          <w:tcPr>
            <w:tcW w:type="dxa" w:w="5112"/>
            <w:tcMar>
              <w:top w:w="110" w:type="dxa"/>
              <w:start w:w="110" w:type="dxa"/>
              <w:bottom w:w="110" w:type="dxa"/>
              <w:end w:w="110" w:type="dxa"/>
            </w:tcMar>
            <w:shd w:fill="EEE8F8"/>
            <w:vAlign w:val="center"/>
          </w:tcPr>
          <w:p>
            <w:pPr>
              <w:jc w:val="center"/>
            </w:pPr>
            <w:r>
              <w:rPr>
                <w:rFonts w:ascii="Aptos" w:hAnsi="Aptos"/>
                <w:b/>
                <w:i w:val="0"/>
                <w:color w:val="582C83"/>
                <w:sz w:val="22"/>
              </w:rPr>
              <w:t>Purpose</w:t>
            </w:r>
          </w:p>
        </w:tc>
        <w:tc>
          <w:tcPr>
            <w:tcW w:type="dxa" w:w="5112"/>
            <w:tcMar>
              <w:top w:w="110" w:type="dxa"/>
              <w:start w:w="110" w:type="dxa"/>
              <w:bottom w:w="110" w:type="dxa"/>
              <w:end w:w="110" w:type="dxa"/>
            </w:tcMar>
          </w:tcPr>
          <w:p>
            <w:r>
              <w:rPr>
                <w:rFonts w:ascii="Aptos" w:hAnsi="Aptos"/>
                <w:b w:val="0"/>
                <w:i w:val="0"/>
                <w:color w:val="28282D"/>
                <w:sz w:val="21"/>
              </w:rPr>
              <w:t xml:space="preserve">This template helps you request NRG questions in a controlled way so the final set reflects: </w:t>
            </w:r>
            <w:r>
              <w:rPr>
                <w:rFonts w:ascii="Aptos" w:hAnsi="Aptos"/>
                <w:b/>
                <w:i w:val="0"/>
                <w:color w:val="28282D"/>
                <w:sz w:val="21"/>
              </w:rPr>
              <w:t>topic priority</w:t>
            </w:r>
            <w:r>
              <w:rPr>
                <w:rFonts w:ascii="Aptos" w:hAnsi="Aptos"/>
                <w:b w:val="0"/>
                <w:i w:val="0"/>
                <w:color w:val="28282D"/>
                <w:sz w:val="21"/>
              </w:rPr>
              <w:t xml:space="preserve">, </w:t>
            </w:r>
            <w:r>
              <w:rPr>
                <w:rFonts w:ascii="Aptos" w:hAnsi="Aptos"/>
                <w:b/>
                <w:i w:val="0"/>
                <w:color w:val="28282D"/>
                <w:sz w:val="21"/>
              </w:rPr>
              <w:t>RENR domain weighting</w:t>
            </w:r>
            <w:r>
              <w:rPr>
                <w:rFonts w:ascii="Aptos" w:hAnsi="Aptos"/>
                <w:b w:val="0"/>
                <w:i w:val="0"/>
                <w:color w:val="28282D"/>
                <w:sz w:val="21"/>
              </w:rPr>
              <w:t xml:space="preserve">, and </w:t>
            </w:r>
            <w:r>
              <w:rPr>
                <w:rFonts w:ascii="Aptos" w:hAnsi="Aptos"/>
                <w:b/>
                <w:i w:val="0"/>
                <w:color w:val="28282D"/>
                <w:sz w:val="21"/>
              </w:rPr>
              <w:t>taxonomy weighting</w:t>
            </w:r>
            <w:r>
              <w:rPr>
                <w:rFonts w:ascii="Aptos" w:hAnsi="Aptos"/>
                <w:b w:val="0"/>
                <w:i w:val="0"/>
                <w:color w:val="28282D"/>
                <w:sz w:val="21"/>
              </w:rPr>
              <w:t>. It also leaves space for your own NRG rules such as distractor design, stem style, answer-key structure, and source use.</w:t>
            </w:r>
          </w:p>
        </w:tc>
      </w:tr>
    </w:tbl>
    <w:p>
      <w:pPr>
        <w:pStyle w:val="NRGHeading1"/>
      </w:pPr>
      <w:r>
        <w:t>1. Fixed weighting references to keep inside the prompt</w:t>
      </w:r>
    </w:p>
    <w:p>
      <w:r>
        <w:t>Use these reference weights whenever you want the question set to mirror the published RENR emphasis. For totals other than 100 questions, ask the model to keep the same proportions and round logically while preserving the final total.</w:t>
      </w:r>
    </w:p>
    <w:p>
      <w:pPr>
        <w:pStyle w:val="NRGHeading2"/>
      </w:pPr>
      <w:r>
        <w:t>Official RENR domain weighting</w:t>
      </w:r>
    </w:p>
    <w:tbl>
      <w:tblPr>
        <w:tblStyle w:val="TableGrid"/>
        <w:tblW w:type="auto" w:w="0"/>
        <w:jc w:val="center"/>
        <w:tblLayout w:type="fixed"/>
        <w:tblLook w:firstColumn="1" w:firstRow="1" w:lastColumn="0" w:lastRow="0" w:noHBand="0" w:noVBand="1" w:val="04A0"/>
        <w:tblBorders>
          <w:top w:val="single" w:sz="6" w:color="CFCFDC"/>
          <w:left w:val="single" w:sz="6" w:color="CFCFDC"/>
          <w:bottom w:val="single" w:sz="6" w:color="CFCFDC"/>
          <w:right w:val="single" w:sz="6" w:color="CFCFDC"/>
          <w:insideH w:val="single" w:sz="6" w:color="CFCFDC"/>
          <w:insideV w:val="single" w:sz="6" w:color="CFCFDC"/>
        </w:tblBorders>
      </w:tblPr>
      <w:tblGrid>
        <w:gridCol w:w="5328"/>
        <w:gridCol w:w="1728"/>
        <w:gridCol w:w="2736"/>
      </w:tblGrid>
      <w:tr>
        <w:tc>
          <w:tcPr>
            <w:tcW w:type="dxa" w:w="3408"/>
            <w:shd w:fill="EEE8F8"/>
            <w:tcMar>
              <w:top w:w="120" w:type="dxa"/>
              <w:start w:w="110" w:type="dxa"/>
              <w:bottom w:w="120" w:type="dxa"/>
              <w:end w:w="110" w:type="dxa"/>
            </w:tcMar>
            <w:vAlign w:val="center"/>
          </w:tcPr>
          <w:p>
            <w:pPr>
              <w:jc w:val="center"/>
            </w:pPr>
            <w:r>
              <w:rPr>
                <w:rFonts w:ascii="Aptos" w:hAnsi="Aptos"/>
                <w:b/>
                <w:i w:val="0"/>
                <w:color w:val="582C83"/>
                <w:sz w:val="20"/>
              </w:rPr>
              <w:t>Domain</w:t>
            </w:r>
          </w:p>
        </w:tc>
        <w:tc>
          <w:tcPr>
            <w:tcW w:type="dxa" w:w="3408"/>
            <w:shd w:fill="EEE8F8"/>
            <w:tcMar>
              <w:top w:w="120" w:type="dxa"/>
              <w:start w:w="110" w:type="dxa"/>
              <w:bottom w:w="120" w:type="dxa"/>
              <w:end w:w="110" w:type="dxa"/>
            </w:tcMar>
            <w:vAlign w:val="center"/>
          </w:tcPr>
          <w:p>
            <w:pPr>
              <w:jc w:val="center"/>
            </w:pPr>
            <w:r>
              <w:rPr>
                <w:rFonts w:ascii="Aptos" w:hAnsi="Aptos"/>
                <w:b/>
                <w:i w:val="0"/>
                <w:color w:val="582C83"/>
                <w:sz w:val="20"/>
              </w:rPr>
              <w:t>Weight</w:t>
            </w:r>
          </w:p>
        </w:tc>
        <w:tc>
          <w:tcPr>
            <w:tcW w:type="dxa" w:w="3408"/>
            <w:shd w:fill="EEE8F8"/>
            <w:tcMar>
              <w:top w:w="120" w:type="dxa"/>
              <w:start w:w="110" w:type="dxa"/>
              <w:bottom w:w="120" w:type="dxa"/>
              <w:end w:w="110" w:type="dxa"/>
            </w:tcMar>
            <w:vAlign w:val="center"/>
          </w:tcPr>
          <w:p>
            <w:pPr>
              <w:jc w:val="center"/>
            </w:pPr>
            <w:r>
              <w:rPr>
                <w:rFonts w:ascii="Aptos" w:hAnsi="Aptos"/>
                <w:b/>
                <w:i w:val="0"/>
                <w:color w:val="582C83"/>
                <w:sz w:val="20"/>
              </w:rPr>
              <w:t>Equivalent count in a 100-question set</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Nursing Practice (NP)</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30%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30</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Clinical Decision Making and Intervention (CDM)</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20%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20</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Nursing Leadership and Management (NLM)</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15%</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15</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Professional Conduct (PC)</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10%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10</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Health Promotion and Maintenance of Wellness (HPMW)</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10%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10</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Communication (COM)</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10%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10</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20"/>
              </w:rPr>
              <w:t>Professional Development (PD)</w:t>
            </w:r>
          </w:p>
        </w:tc>
        <w:tc>
          <w:tcPr>
            <w:tcW w:type="dxa" w:w="1728"/>
            <w:tcMar>
              <w:top w:w="95" w:type="dxa"/>
              <w:start w:w="110" w:type="dxa"/>
              <w:bottom w:w="95" w:type="dxa"/>
              <w:end w:w="110" w:type="dxa"/>
            </w:tcMar>
            <w:vAlign w:val="center"/>
          </w:tcPr>
          <w:p>
            <w:pPr>
              <w:jc w:val="center"/>
            </w:pPr>
            <w:r>
              <w:rPr>
                <w:rFonts w:ascii="Aptos" w:hAnsi="Aptos"/>
                <w:b w:val="0"/>
                <w:i w:val="0"/>
                <w:color w:val="28282D"/>
                <w:sz w:val="20"/>
              </w:rPr>
              <w:t>5%</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5</w:t>
            </w:r>
          </w:p>
        </w:tc>
      </w:tr>
    </w:tbl>
    <w:p>
      <w:pPr>
        <w:pStyle w:val="NRGHeading2"/>
      </w:pPr>
      <w:r>
        <w:t>Official taxonomy weighting</w:t>
      </w:r>
    </w:p>
    <w:tbl>
      <w:tblPr>
        <w:tblStyle w:val="TableGrid"/>
        <w:tblW w:type="auto" w:w="0"/>
        <w:jc w:val="center"/>
        <w:tblLayout w:type="fixed"/>
        <w:tblLook w:firstColumn="1" w:firstRow="1" w:lastColumn="0" w:lastRow="0" w:noHBand="0" w:noVBand="1" w:val="04A0"/>
        <w:tblBorders>
          <w:top w:val="single" w:sz="6" w:color="CFCFDC"/>
          <w:left w:val="single" w:sz="6" w:color="CFCFDC"/>
          <w:bottom w:val="single" w:sz="6" w:color="CFCFDC"/>
          <w:right w:val="single" w:sz="6" w:color="CFCFDC"/>
          <w:insideH w:val="single" w:sz="6" w:color="CFCFDC"/>
          <w:insideV w:val="single" w:sz="6" w:color="CFCFDC"/>
        </w:tblBorders>
      </w:tblPr>
      <w:tblGrid>
        <w:gridCol w:w="5472"/>
        <w:gridCol w:w="1584"/>
        <w:gridCol w:w="2736"/>
      </w:tblGrid>
      <w:tr>
        <w:tc>
          <w:tcPr>
            <w:tcW w:type="dxa" w:w="3408"/>
            <w:shd w:fill="EEE8F8"/>
            <w:tcMar>
              <w:top w:w="120" w:type="dxa"/>
              <w:start w:w="110" w:type="dxa"/>
              <w:bottom w:w="120" w:type="dxa"/>
              <w:end w:w="110" w:type="dxa"/>
            </w:tcMar>
          </w:tcPr>
          <w:p>
            <w:pPr>
              <w:jc w:val="center"/>
            </w:pPr>
            <w:r>
              <w:rPr>
                <w:rFonts w:ascii="Aptos" w:hAnsi="Aptos"/>
                <w:b/>
                <w:i w:val="0"/>
                <w:color w:val="582C83"/>
                <w:sz w:val="20"/>
              </w:rPr>
              <w:t>Taxonomy level</w:t>
            </w:r>
          </w:p>
        </w:tc>
        <w:tc>
          <w:tcPr>
            <w:tcW w:type="dxa" w:w="3408"/>
            <w:shd w:fill="EEE8F8"/>
            <w:tcMar>
              <w:top w:w="120" w:type="dxa"/>
              <w:start w:w="110" w:type="dxa"/>
              <w:bottom w:w="120" w:type="dxa"/>
              <w:end w:w="110" w:type="dxa"/>
            </w:tcMar>
          </w:tcPr>
          <w:p>
            <w:pPr>
              <w:jc w:val="center"/>
            </w:pPr>
            <w:r>
              <w:rPr>
                <w:rFonts w:ascii="Aptos" w:hAnsi="Aptos"/>
                <w:b/>
                <w:i w:val="0"/>
                <w:color w:val="582C83"/>
                <w:sz w:val="20"/>
              </w:rPr>
              <w:t>Weight</w:t>
            </w:r>
          </w:p>
        </w:tc>
        <w:tc>
          <w:tcPr>
            <w:tcW w:type="dxa" w:w="3408"/>
            <w:shd w:fill="EEE8F8"/>
            <w:tcMar>
              <w:top w:w="120" w:type="dxa"/>
              <w:start w:w="110" w:type="dxa"/>
              <w:bottom w:w="120" w:type="dxa"/>
              <w:end w:w="110" w:type="dxa"/>
            </w:tcMar>
          </w:tcPr>
          <w:p>
            <w:pPr>
              <w:jc w:val="center"/>
            </w:pPr>
            <w:r>
              <w:rPr>
                <w:rFonts w:ascii="Aptos" w:hAnsi="Aptos"/>
                <w:b/>
                <w:i w:val="0"/>
                <w:color w:val="582C83"/>
                <w:sz w:val="20"/>
              </w:rPr>
              <w:t>Equivalent count in a 100-question set</w:t>
            </w:r>
          </w:p>
        </w:tc>
      </w:tr>
      <w:tr>
        <w:tc>
          <w:tcPr>
            <w:tcW w:type="dxa" w:w="5472"/>
            <w:tcMar>
              <w:top w:w="95" w:type="dxa"/>
              <w:start w:w="110" w:type="dxa"/>
              <w:bottom w:w="95" w:type="dxa"/>
              <w:end w:w="110" w:type="dxa"/>
            </w:tcMar>
            <w:vAlign w:val="center"/>
          </w:tcPr>
          <w:p>
            <w:pPr>
              <w:jc w:val="left"/>
            </w:pPr>
            <w:r>
              <w:rPr>
                <w:rFonts w:ascii="Aptos" w:hAnsi="Aptos"/>
                <w:b w:val="0"/>
                <w:i w:val="0"/>
                <w:color w:val="28282D"/>
                <w:sz w:val="20"/>
              </w:rPr>
              <w:t>Application (AP)</w:t>
            </w:r>
          </w:p>
        </w:tc>
        <w:tc>
          <w:tcPr>
            <w:tcW w:type="dxa" w:w="1584"/>
            <w:tcMar>
              <w:top w:w="95" w:type="dxa"/>
              <w:start w:w="110" w:type="dxa"/>
              <w:bottom w:w="95" w:type="dxa"/>
              <w:end w:w="110" w:type="dxa"/>
            </w:tcMar>
            <w:vAlign w:val="center"/>
          </w:tcPr>
          <w:p>
            <w:pPr>
              <w:jc w:val="center"/>
            </w:pPr>
            <w:r>
              <w:rPr>
                <w:rFonts w:ascii="Aptos" w:hAnsi="Aptos"/>
                <w:b w:val="0"/>
                <w:i w:val="0"/>
                <w:color w:val="28282D"/>
                <w:sz w:val="20"/>
              </w:rPr>
              <w:t>50%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50</w:t>
            </w:r>
          </w:p>
        </w:tc>
      </w:tr>
      <w:tr>
        <w:tc>
          <w:tcPr>
            <w:tcW w:type="dxa" w:w="5472"/>
            <w:tcMar>
              <w:top w:w="95" w:type="dxa"/>
              <w:start w:w="110" w:type="dxa"/>
              <w:bottom w:w="95" w:type="dxa"/>
              <w:end w:w="110" w:type="dxa"/>
            </w:tcMar>
            <w:vAlign w:val="center"/>
          </w:tcPr>
          <w:p>
            <w:pPr>
              <w:jc w:val="left"/>
            </w:pPr>
            <w:r>
              <w:rPr>
                <w:rFonts w:ascii="Aptos" w:hAnsi="Aptos"/>
                <w:b w:val="0"/>
                <w:i w:val="0"/>
                <w:color w:val="28282D"/>
                <w:sz w:val="20"/>
              </w:rPr>
              <w:t>Analysis / Synthesis / Evaluation (ASE)</w:t>
            </w:r>
          </w:p>
        </w:tc>
        <w:tc>
          <w:tcPr>
            <w:tcW w:type="dxa" w:w="1584"/>
            <w:tcMar>
              <w:top w:w="95" w:type="dxa"/>
              <w:start w:w="110" w:type="dxa"/>
              <w:bottom w:w="95" w:type="dxa"/>
              <w:end w:w="110" w:type="dxa"/>
            </w:tcMar>
            <w:vAlign w:val="center"/>
          </w:tcPr>
          <w:p>
            <w:pPr>
              <w:jc w:val="center"/>
            </w:pPr>
            <w:r>
              <w:rPr>
                <w:rFonts w:ascii="Aptos" w:hAnsi="Aptos"/>
                <w:b w:val="0"/>
                <w:i w:val="0"/>
                <w:color w:val="28282D"/>
                <w:sz w:val="20"/>
              </w:rPr>
              <w:t>30%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30</w:t>
            </w:r>
          </w:p>
        </w:tc>
      </w:tr>
      <w:tr>
        <w:tc>
          <w:tcPr>
            <w:tcW w:type="dxa" w:w="5472"/>
            <w:tcMar>
              <w:top w:w="95" w:type="dxa"/>
              <w:start w:w="110" w:type="dxa"/>
              <w:bottom w:w="95" w:type="dxa"/>
              <w:end w:w="110" w:type="dxa"/>
            </w:tcMar>
            <w:vAlign w:val="center"/>
          </w:tcPr>
          <w:p>
            <w:pPr>
              <w:jc w:val="left"/>
            </w:pPr>
            <w:r>
              <w:rPr>
                <w:rFonts w:ascii="Aptos" w:hAnsi="Aptos"/>
                <w:b w:val="0"/>
                <w:i w:val="0"/>
                <w:color w:val="28282D"/>
                <w:sz w:val="20"/>
              </w:rPr>
              <w:t>Knowledge / Comprehension (KC)</w:t>
            </w:r>
          </w:p>
        </w:tc>
        <w:tc>
          <w:tcPr>
            <w:tcW w:type="dxa" w:w="1584"/>
            <w:tcMar>
              <w:top w:w="95" w:type="dxa"/>
              <w:start w:w="110" w:type="dxa"/>
              <w:bottom w:w="95" w:type="dxa"/>
              <w:end w:w="110" w:type="dxa"/>
            </w:tcMar>
            <w:vAlign w:val="center"/>
          </w:tcPr>
          <w:p>
            <w:pPr>
              <w:jc w:val="center"/>
            </w:pPr>
            <w:r>
              <w:rPr>
                <w:rFonts w:ascii="Aptos" w:hAnsi="Aptos"/>
                <w:b w:val="0"/>
                <w:i w:val="0"/>
                <w:color w:val="28282D"/>
                <w:sz w:val="20"/>
              </w:rPr>
              <w:t>20%</w:t>
            </w:r>
          </w:p>
        </w:tc>
        <w:tc>
          <w:tcPr>
            <w:tcW w:type="dxa" w:w="2736"/>
            <w:tcMar>
              <w:top w:w="95" w:type="dxa"/>
              <w:start w:w="110" w:type="dxa"/>
              <w:bottom w:w="95" w:type="dxa"/>
              <w:end w:w="110" w:type="dxa"/>
            </w:tcMar>
            <w:vAlign w:val="center"/>
          </w:tcPr>
          <w:p>
            <w:pPr>
              <w:jc w:val="center"/>
            </w:pPr>
            <w:r>
              <w:rPr>
                <w:rFonts w:ascii="Aptos" w:hAnsi="Aptos"/>
                <w:b w:val="0"/>
                <w:i w:val="0"/>
                <w:color w:val="28282D"/>
                <w:sz w:val="20"/>
              </w:rPr>
              <w:t>20</w:t>
            </w:r>
          </w:p>
        </w:tc>
      </w:tr>
    </w:tbl>
    <w:p>
      <w:pPr>
        <w:pStyle w:val="NRGHeading2"/>
      </w:pPr>
      <w:r>
        <w:t>Topic-priority guide from the 50-topic study list</w:t>
      </w:r>
    </w:p>
    <w:p>
      <w:r>
        <w:t>These percentages are not the official RENR blueprint. They are the practical weighting of the uploaded 50-topic list and can be used to bias topic selection when you want the generated set to track the most common/high-yield areas.</w:t>
      </w:r>
    </w:p>
    <w:tbl>
      <w:tblPr>
        <w:tblStyle w:val="TableGrid"/>
        <w:tblW w:type="auto" w:w="0"/>
        <w:jc w:val="center"/>
        <w:tblLayout w:type="fixed"/>
        <w:tblLook w:firstColumn="1" w:firstRow="1" w:lastColumn="0" w:lastRow="0" w:noHBand="0" w:noVBand="1" w:val="04A0"/>
        <w:tblBorders>
          <w:top w:val="single" w:sz="6" w:color="CFCFDC"/>
          <w:left w:val="single" w:sz="6" w:color="CFCFDC"/>
          <w:bottom w:val="single" w:sz="6" w:color="CFCFDC"/>
          <w:right w:val="single" w:sz="6" w:color="CFCFDC"/>
          <w:insideH w:val="single" w:sz="6" w:color="CFCFDC"/>
          <w:insideV w:val="single" w:sz="6" w:color="CFCFDC"/>
        </w:tblBorders>
      </w:tblPr>
      <w:tblGrid>
        <w:gridCol w:w="5328"/>
        <w:gridCol w:w="1584"/>
        <w:gridCol w:w="2880"/>
      </w:tblGrid>
      <w:tr>
        <w:tc>
          <w:tcPr>
            <w:tcW w:type="dxa" w:w="3408"/>
            <w:shd w:fill="EEE8F8"/>
            <w:tcMar>
              <w:top w:w="120" w:type="dxa"/>
              <w:start w:w="110" w:type="dxa"/>
              <w:bottom w:w="120" w:type="dxa"/>
              <w:end w:w="110" w:type="dxa"/>
            </w:tcMar>
          </w:tcPr>
          <w:p>
            <w:pPr>
              <w:jc w:val="center"/>
            </w:pPr>
            <w:r>
              <w:rPr>
                <w:rFonts w:ascii="Aptos" w:hAnsi="Aptos"/>
                <w:b/>
                <w:i w:val="0"/>
                <w:color w:val="582C83"/>
                <w:sz w:val="20"/>
              </w:rPr>
              <w:t>Study cluster</w:t>
            </w:r>
          </w:p>
        </w:tc>
        <w:tc>
          <w:tcPr>
            <w:tcW w:type="dxa" w:w="3408"/>
            <w:shd w:fill="EEE8F8"/>
            <w:tcMar>
              <w:top w:w="120" w:type="dxa"/>
              <w:start w:w="110" w:type="dxa"/>
              <w:bottom w:w="120" w:type="dxa"/>
              <w:end w:w="110" w:type="dxa"/>
            </w:tcMar>
          </w:tcPr>
          <w:p>
            <w:pPr>
              <w:jc w:val="center"/>
            </w:pPr>
            <w:r>
              <w:rPr>
                <w:rFonts w:ascii="Aptos" w:hAnsi="Aptos"/>
                <w:b/>
                <w:i w:val="0"/>
                <w:color w:val="582C83"/>
                <w:sz w:val="20"/>
              </w:rPr>
              <w:t>Share of 50-topic list</w:t>
            </w:r>
          </w:p>
        </w:tc>
        <w:tc>
          <w:tcPr>
            <w:tcW w:type="dxa" w:w="3408"/>
            <w:shd w:fill="EEE8F8"/>
            <w:tcMar>
              <w:top w:w="120" w:type="dxa"/>
              <w:start w:w="110" w:type="dxa"/>
              <w:bottom w:w="120" w:type="dxa"/>
              <w:end w:w="110" w:type="dxa"/>
            </w:tcMar>
          </w:tcPr>
          <w:p>
            <w:pPr>
              <w:jc w:val="center"/>
            </w:pPr>
            <w:r>
              <w:rPr>
                <w:rFonts w:ascii="Aptos" w:hAnsi="Aptos"/>
                <w:b/>
                <w:i w:val="0"/>
                <w:color w:val="582C83"/>
                <w:sz w:val="20"/>
              </w:rPr>
              <w:t>Examples inside the cluster</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19"/>
              </w:rPr>
              <w:t>Medical-surgical and community health priorities</w:t>
            </w:r>
          </w:p>
        </w:tc>
        <w:tc>
          <w:tcPr>
            <w:tcW w:type="dxa" w:w="1584"/>
            <w:tcMar>
              <w:top w:w="95" w:type="dxa"/>
              <w:start w:w="110" w:type="dxa"/>
              <w:bottom w:w="95" w:type="dxa"/>
              <w:end w:w="110" w:type="dxa"/>
            </w:tcMar>
            <w:vAlign w:val="center"/>
          </w:tcPr>
          <w:p>
            <w:pPr>
              <w:jc w:val="center"/>
            </w:pPr>
            <w:r>
              <w:rPr>
                <w:rFonts w:ascii="Aptos" w:hAnsi="Aptos"/>
                <w:b w:val="0"/>
                <w:i w:val="0"/>
                <w:color w:val="28282D"/>
                <w:sz w:val="19"/>
              </w:rPr>
              <w:t>30%</w:t>
            </w:r>
          </w:p>
        </w:tc>
        <w:tc>
          <w:tcPr>
            <w:tcW w:type="dxa" w:w="2880"/>
            <w:tcMar>
              <w:top w:w="95" w:type="dxa"/>
              <w:start w:w="110" w:type="dxa"/>
              <w:bottom w:w="95" w:type="dxa"/>
              <w:end w:w="110" w:type="dxa"/>
            </w:tcMar>
            <w:vAlign w:val="center"/>
          </w:tcPr>
          <w:p>
            <w:pPr>
              <w:jc w:val="left"/>
            </w:pPr>
            <w:r>
              <w:rPr>
                <w:rFonts w:ascii="Aptos" w:hAnsi="Aptos"/>
                <w:b w:val="0"/>
                <w:i w:val="0"/>
                <w:color w:val="28282D"/>
                <w:sz w:val="19"/>
              </w:rPr>
              <w:t>Cardiac, endocrine, renal, respiratory, infectious disease, trauma, cancer</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19"/>
              </w:rPr>
              <w:t>Safety, infection control, and core procedures</w:t>
            </w:r>
          </w:p>
        </w:tc>
        <w:tc>
          <w:tcPr>
            <w:tcW w:type="dxa" w:w="1584"/>
            <w:tcMar>
              <w:top w:w="95" w:type="dxa"/>
              <w:start w:w="110" w:type="dxa"/>
              <w:bottom w:w="95" w:type="dxa"/>
              <w:end w:w="110" w:type="dxa"/>
            </w:tcMar>
            <w:vAlign w:val="center"/>
          </w:tcPr>
          <w:p>
            <w:pPr>
              <w:jc w:val="center"/>
            </w:pPr>
            <w:r>
              <w:rPr>
                <w:rFonts w:ascii="Aptos" w:hAnsi="Aptos"/>
                <w:b w:val="0"/>
                <w:i w:val="0"/>
                <w:color w:val="28282D"/>
                <w:sz w:val="19"/>
              </w:rPr>
              <w:t>22%</w:t>
            </w:r>
          </w:p>
        </w:tc>
        <w:tc>
          <w:tcPr>
            <w:tcW w:type="dxa" w:w="2880"/>
            <w:tcMar>
              <w:top w:w="95" w:type="dxa"/>
              <w:start w:w="110" w:type="dxa"/>
              <w:bottom w:w="95" w:type="dxa"/>
              <w:end w:w="110" w:type="dxa"/>
            </w:tcMar>
            <w:vAlign w:val="center"/>
          </w:tcPr>
          <w:p>
            <w:pPr>
              <w:jc w:val="left"/>
            </w:pPr>
            <w:r>
              <w:rPr>
                <w:rFonts w:ascii="Aptos" w:hAnsi="Aptos"/>
                <w:b w:val="0"/>
                <w:i w:val="0"/>
                <w:color w:val="28282D"/>
                <w:sz w:val="19"/>
              </w:rPr>
              <w:t>PPE, medication safety, dosage calculation, IV therapy, oxygen, CPR, wound care</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19"/>
              </w:rPr>
              <w:t>Maternal-child and family nursing</w:t>
            </w:r>
          </w:p>
        </w:tc>
        <w:tc>
          <w:tcPr>
            <w:tcW w:type="dxa" w:w="1584"/>
            <w:tcMar>
              <w:top w:w="95" w:type="dxa"/>
              <w:start w:w="110" w:type="dxa"/>
              <w:bottom w:w="95" w:type="dxa"/>
              <w:end w:w="110" w:type="dxa"/>
            </w:tcMar>
            <w:vAlign w:val="center"/>
          </w:tcPr>
          <w:p>
            <w:pPr>
              <w:jc w:val="center"/>
            </w:pPr>
            <w:r>
              <w:rPr>
                <w:rFonts w:ascii="Aptos" w:hAnsi="Aptos"/>
                <w:b w:val="0"/>
                <w:i w:val="0"/>
                <w:color w:val="28282D"/>
                <w:sz w:val="19"/>
              </w:rPr>
              <w:t>22%</w:t>
            </w:r>
          </w:p>
        </w:tc>
        <w:tc>
          <w:tcPr>
            <w:tcW w:type="dxa" w:w="2880"/>
            <w:tcMar>
              <w:top w:w="95" w:type="dxa"/>
              <w:start w:w="110" w:type="dxa"/>
              <w:bottom w:w="95" w:type="dxa"/>
              <w:end w:w="110" w:type="dxa"/>
            </w:tcMar>
            <w:vAlign w:val="center"/>
          </w:tcPr>
          <w:p>
            <w:pPr>
              <w:jc w:val="left"/>
            </w:pPr>
            <w:r>
              <w:rPr>
                <w:rFonts w:ascii="Aptos" w:hAnsi="Aptos"/>
                <w:b w:val="0"/>
                <w:i w:val="0"/>
                <w:color w:val="28282D"/>
                <w:sz w:val="19"/>
              </w:rPr>
              <w:t>Antenatal, obstetric emergencies, postpartum, newborn, growth and development, pediatrics</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19"/>
              </w:rPr>
              <w:t>Management, legal, and professionalism</w:t>
            </w:r>
          </w:p>
        </w:tc>
        <w:tc>
          <w:tcPr>
            <w:tcW w:type="dxa" w:w="1584"/>
            <w:tcMar>
              <w:top w:w="95" w:type="dxa"/>
              <w:start w:w="110" w:type="dxa"/>
              <w:bottom w:w="95" w:type="dxa"/>
              <w:end w:w="110" w:type="dxa"/>
            </w:tcMar>
            <w:vAlign w:val="center"/>
          </w:tcPr>
          <w:p>
            <w:pPr>
              <w:jc w:val="center"/>
            </w:pPr>
            <w:r>
              <w:rPr>
                <w:rFonts w:ascii="Aptos" w:hAnsi="Aptos"/>
                <w:b w:val="0"/>
                <w:i w:val="0"/>
                <w:color w:val="28282D"/>
                <w:sz w:val="19"/>
              </w:rPr>
              <w:t>14%</w:t>
            </w:r>
          </w:p>
        </w:tc>
        <w:tc>
          <w:tcPr>
            <w:tcW w:type="dxa" w:w="2880"/>
            <w:tcMar>
              <w:top w:w="95" w:type="dxa"/>
              <w:start w:w="110" w:type="dxa"/>
              <w:bottom w:w="95" w:type="dxa"/>
              <w:end w:w="110" w:type="dxa"/>
            </w:tcMar>
            <w:vAlign w:val="center"/>
          </w:tcPr>
          <w:p>
            <w:pPr>
              <w:jc w:val="left"/>
            </w:pPr>
            <w:r>
              <w:rPr>
                <w:rFonts w:ascii="Aptos" w:hAnsi="Aptos"/>
                <w:b w:val="0"/>
                <w:i w:val="0"/>
                <w:color w:val="28282D"/>
                <w:sz w:val="19"/>
              </w:rPr>
              <w:t>Nursing process, assessment, prioritization, delegation, ethics, legal practice</w:t>
            </w:r>
          </w:p>
        </w:tc>
      </w:tr>
      <w:tr>
        <w:tc>
          <w:tcPr>
            <w:tcW w:type="dxa" w:w="5328"/>
            <w:tcMar>
              <w:top w:w="95" w:type="dxa"/>
              <w:start w:w="110" w:type="dxa"/>
              <w:bottom w:w="95" w:type="dxa"/>
              <w:end w:w="110" w:type="dxa"/>
            </w:tcMar>
            <w:vAlign w:val="center"/>
          </w:tcPr>
          <w:p>
            <w:pPr>
              <w:jc w:val="left"/>
            </w:pPr>
            <w:r>
              <w:rPr>
                <w:rFonts w:ascii="Aptos" w:hAnsi="Aptos"/>
                <w:b w:val="0"/>
                <w:i w:val="0"/>
                <w:color w:val="28282D"/>
                <w:sz w:val="19"/>
              </w:rPr>
              <w:t>Psychosocial and therapeutic communication</w:t>
            </w:r>
          </w:p>
        </w:tc>
        <w:tc>
          <w:tcPr>
            <w:tcW w:type="dxa" w:w="1584"/>
            <w:tcMar>
              <w:top w:w="95" w:type="dxa"/>
              <w:start w:w="110" w:type="dxa"/>
              <w:bottom w:w="95" w:type="dxa"/>
              <w:end w:w="110" w:type="dxa"/>
            </w:tcMar>
            <w:vAlign w:val="center"/>
          </w:tcPr>
          <w:p>
            <w:pPr>
              <w:jc w:val="center"/>
            </w:pPr>
            <w:r>
              <w:rPr>
                <w:rFonts w:ascii="Aptos" w:hAnsi="Aptos"/>
                <w:b w:val="0"/>
                <w:i w:val="0"/>
                <w:color w:val="28282D"/>
                <w:sz w:val="19"/>
              </w:rPr>
              <w:t>12%</w:t>
            </w:r>
          </w:p>
        </w:tc>
        <w:tc>
          <w:tcPr>
            <w:tcW w:type="dxa" w:w="2880"/>
            <w:tcMar>
              <w:top w:w="95" w:type="dxa"/>
              <w:start w:w="110" w:type="dxa"/>
              <w:bottom w:w="95" w:type="dxa"/>
              <w:end w:w="110" w:type="dxa"/>
            </w:tcMar>
            <w:vAlign w:val="center"/>
          </w:tcPr>
          <w:p>
            <w:pPr>
              <w:jc w:val="left"/>
            </w:pPr>
            <w:r>
              <w:rPr>
                <w:rFonts w:ascii="Aptos" w:hAnsi="Aptos"/>
                <w:b w:val="0"/>
                <w:i w:val="0"/>
                <w:color w:val="28282D"/>
                <w:sz w:val="19"/>
              </w:rPr>
              <w:t>Therapeutic responses, psychosis, anxiety, substance use, family counselling, culture</w:t>
            </w:r>
          </w:p>
        </w:tc>
      </w:tr>
    </w:tbl>
    <w:p>
      <w:pPr>
        <w:pStyle w:val="NRGHeading1"/>
      </w:pPr>
      <w:r>
        <w:t>2. Information to fill in before you generate questions</w:t>
      </w:r>
    </w:p>
    <w:p>
      <w:r>
        <w:t>Complete or revise the fields below. You can leave any optional field blank if you do not want that constraint applied.</w:t>
      </w:r>
    </w:p>
    <w:tbl>
      <w:tblPr>
        <w:tblStyle w:val="TableGrid"/>
        <w:tblW w:type="auto" w:w="0"/>
        <w:jc w:val="center"/>
        <w:tblLayout w:type="fixed"/>
        <w:tblLook w:firstColumn="1" w:firstRow="1" w:lastColumn="0" w:lastRow="0" w:noHBand="0" w:noVBand="1" w:val="04A0"/>
        <w:tblBorders>
          <w:top w:val="single" w:sz="6" w:color="CFCFDC"/>
          <w:left w:val="single" w:sz="6" w:color="CFCFDC"/>
          <w:bottom w:val="single" w:sz="6" w:color="CFCFDC"/>
          <w:right w:val="single" w:sz="6" w:color="CFCFDC"/>
          <w:insideH w:val="single" w:sz="6" w:color="CFCFDC"/>
          <w:insideV w:val="single" w:sz="6" w:color="CFCFDC"/>
        </w:tblBorders>
      </w:tblPr>
      <w:tblGrid>
        <w:gridCol w:w="3240"/>
        <w:gridCol w:w="6696"/>
      </w:tblGrid>
      <w:tr>
        <w:tc>
          <w:tcPr>
            <w:tcW w:type="dxa" w:w="5112"/>
            <w:shd w:fill="EEE8F8"/>
            <w:tcMar>
              <w:top w:w="120" w:type="dxa"/>
              <w:start w:w="110" w:type="dxa"/>
              <w:bottom w:w="120" w:type="dxa"/>
              <w:end w:w="110" w:type="dxa"/>
            </w:tcMar>
          </w:tcPr>
          <w:p>
            <w:pPr>
              <w:jc w:val="center"/>
            </w:pPr>
            <w:r>
              <w:rPr>
                <w:rFonts w:ascii="Aptos" w:hAnsi="Aptos"/>
                <w:b/>
                <w:i w:val="0"/>
                <w:color w:val="582C83"/>
                <w:sz w:val="20"/>
              </w:rPr>
              <w:t>Field to customize</w:t>
            </w:r>
          </w:p>
        </w:tc>
        <w:tc>
          <w:tcPr>
            <w:tcW w:type="dxa" w:w="5112"/>
            <w:shd w:fill="EEE8F8"/>
            <w:tcMar>
              <w:top w:w="120" w:type="dxa"/>
              <w:start w:w="110" w:type="dxa"/>
              <w:bottom w:w="120" w:type="dxa"/>
              <w:end w:w="110" w:type="dxa"/>
            </w:tcMar>
          </w:tcPr>
          <w:p>
            <w:pPr>
              <w:jc w:val="center"/>
            </w:pPr>
            <w:r>
              <w:rPr>
                <w:rFonts w:ascii="Aptos" w:hAnsi="Aptos"/>
                <w:b/>
                <w:i w:val="0"/>
                <w:color w:val="582C83"/>
                <w:sz w:val="20"/>
              </w:rPr>
              <w:t>What to enter</w:t>
            </w:r>
          </w:p>
        </w:tc>
      </w:tr>
      <w:tr>
        <w:tc>
          <w:tcPr>
            <w:tcW w:type="dxa" w:w="3240"/>
            <w:tcMar>
              <w:top w:w="110" w:type="dxa"/>
              <w:start w:w="110" w:type="dxa"/>
              <w:bottom w:w="110" w:type="dxa"/>
              <w:end w:w="110" w:type="dxa"/>
            </w:tcMar>
          </w:tcPr>
          <w:p>
            <w:pPr>
              <w:jc w:val="left"/>
            </w:pPr>
            <w:r>
              <w:rPr>
                <w:rFonts w:ascii="Aptos" w:hAnsi="Aptos"/>
                <w:b/>
                <w:i w:val="0"/>
                <w:color w:val="28282D"/>
                <w:sz w:val="20"/>
              </w:rPr>
              <w:t>Question set title</w:t>
            </w:r>
          </w:p>
        </w:tc>
        <w:tc>
          <w:tcPr>
            <w:tcW w:type="dxa" w:w="6696"/>
            <w:tcMar>
              <w:top w:w="110" w:type="dxa"/>
              <w:start w:w="110" w:type="dxa"/>
              <w:bottom w:w="110" w:type="dxa"/>
              <w:end w:w="110" w:type="dxa"/>
            </w:tcMar>
          </w:tcPr>
          <w:p>
            <w:pPr>
              <w:jc w:val="left"/>
            </w:pPr>
            <w:r>
              <w:rPr>
                <w:rFonts w:ascii="Aptos" w:hAnsi="Aptos"/>
                <w:b w:val="0"/>
                <w:i w:val="0"/>
                <w:color w:val="28282D"/>
                <w:sz w:val="20"/>
              </w:rPr>
              <w:t>[Insert project or exam set name]</w:t>
            </w:r>
          </w:p>
        </w:tc>
      </w:tr>
      <w:tr>
        <w:tc>
          <w:tcPr>
            <w:tcW w:type="dxa" w:w="3240"/>
            <w:tcMar>
              <w:top w:w="110" w:type="dxa"/>
              <w:start w:w="110" w:type="dxa"/>
              <w:bottom w:w="110" w:type="dxa"/>
              <w:end w:w="110" w:type="dxa"/>
            </w:tcMar>
          </w:tcPr>
          <w:p>
            <w:pPr>
              <w:jc w:val="left"/>
            </w:pPr>
            <w:r>
              <w:rPr>
                <w:rFonts w:ascii="Aptos" w:hAnsi="Aptos"/>
                <w:b/>
                <w:i w:val="0"/>
                <w:color w:val="28282D"/>
                <w:sz w:val="20"/>
              </w:rPr>
              <w:t>Total number of questions</w:t>
            </w:r>
          </w:p>
        </w:tc>
        <w:tc>
          <w:tcPr>
            <w:tcW w:type="dxa" w:w="6696"/>
            <w:tcMar>
              <w:top w:w="110" w:type="dxa"/>
              <w:start w:w="110" w:type="dxa"/>
              <w:bottom w:w="110" w:type="dxa"/>
              <w:end w:w="110" w:type="dxa"/>
            </w:tcMar>
          </w:tcPr>
          <w:p>
            <w:pPr>
              <w:jc w:val="left"/>
            </w:pPr>
            <w:r>
              <w:rPr>
                <w:rFonts w:ascii="Aptos" w:hAnsi="Aptos"/>
                <w:b w:val="0"/>
                <w:i w:val="0"/>
                <w:color w:val="28282D"/>
                <w:sz w:val="20"/>
              </w:rPr>
              <w:t>[Insert exact number: e.g., 25, 50, 100]</w:t>
            </w:r>
          </w:p>
        </w:tc>
      </w:tr>
      <w:tr>
        <w:tc>
          <w:tcPr>
            <w:tcW w:type="dxa" w:w="3240"/>
            <w:tcMar>
              <w:top w:w="110" w:type="dxa"/>
              <w:start w:w="110" w:type="dxa"/>
              <w:bottom w:w="110" w:type="dxa"/>
              <w:end w:w="110" w:type="dxa"/>
            </w:tcMar>
          </w:tcPr>
          <w:p>
            <w:pPr>
              <w:jc w:val="left"/>
            </w:pPr>
            <w:r>
              <w:rPr>
                <w:rFonts w:ascii="Aptos" w:hAnsi="Aptos"/>
                <w:b/>
                <w:i w:val="0"/>
                <w:color w:val="28282D"/>
                <w:sz w:val="20"/>
              </w:rPr>
              <w:t>Primary audience</w:t>
            </w:r>
          </w:p>
        </w:tc>
        <w:tc>
          <w:tcPr>
            <w:tcW w:type="dxa" w:w="6696"/>
            <w:tcMar>
              <w:top w:w="110" w:type="dxa"/>
              <w:start w:w="110" w:type="dxa"/>
              <w:bottom w:w="110" w:type="dxa"/>
              <w:end w:w="110" w:type="dxa"/>
            </w:tcMar>
          </w:tcPr>
          <w:p>
            <w:pPr>
              <w:jc w:val="left"/>
            </w:pPr>
            <w:r>
              <w:rPr>
                <w:rFonts w:ascii="Aptos" w:hAnsi="Aptos"/>
                <w:b w:val="0"/>
                <w:i w:val="0"/>
                <w:color w:val="28282D"/>
                <w:sz w:val="20"/>
              </w:rPr>
              <w:t>[Insert student level: RENR candidate, Year 1 nursing, remediation group, etc.]</w:t>
            </w:r>
          </w:p>
        </w:tc>
      </w:tr>
      <w:tr>
        <w:tc>
          <w:tcPr>
            <w:tcW w:type="dxa" w:w="3240"/>
            <w:tcMar>
              <w:top w:w="110" w:type="dxa"/>
              <w:start w:w="110" w:type="dxa"/>
              <w:bottom w:w="110" w:type="dxa"/>
              <w:end w:w="110" w:type="dxa"/>
            </w:tcMar>
          </w:tcPr>
          <w:p>
            <w:pPr>
              <w:jc w:val="left"/>
            </w:pPr>
            <w:r>
              <w:rPr>
                <w:rFonts w:ascii="Aptos" w:hAnsi="Aptos"/>
                <w:b/>
                <w:i w:val="0"/>
                <w:color w:val="28282D"/>
                <w:sz w:val="20"/>
              </w:rPr>
              <w:t>Topic emphasis</w:t>
            </w:r>
          </w:p>
        </w:tc>
        <w:tc>
          <w:tcPr>
            <w:tcW w:type="dxa" w:w="6696"/>
            <w:tcMar>
              <w:top w:w="110" w:type="dxa"/>
              <w:start w:w="110" w:type="dxa"/>
              <w:bottom w:w="110" w:type="dxa"/>
              <w:end w:w="110" w:type="dxa"/>
            </w:tcMar>
          </w:tcPr>
          <w:p>
            <w:pPr>
              <w:jc w:val="left"/>
            </w:pPr>
            <w:r>
              <w:rPr>
                <w:rFonts w:ascii="Aptos" w:hAnsi="Aptos"/>
                <w:b w:val="0"/>
                <w:i w:val="0"/>
                <w:color w:val="28282D"/>
                <w:sz w:val="20"/>
              </w:rPr>
              <w:t>[Insert exact topics, systems, or weak areas you want emphasized]</w:t>
            </w:r>
          </w:p>
        </w:tc>
      </w:tr>
      <w:tr>
        <w:tc>
          <w:tcPr>
            <w:tcW w:type="dxa" w:w="3240"/>
            <w:tcMar>
              <w:top w:w="110" w:type="dxa"/>
              <w:start w:w="110" w:type="dxa"/>
              <w:bottom w:w="110" w:type="dxa"/>
              <w:end w:w="110" w:type="dxa"/>
            </w:tcMar>
          </w:tcPr>
          <w:p>
            <w:pPr>
              <w:jc w:val="left"/>
            </w:pPr>
            <w:r>
              <w:rPr>
                <w:rFonts w:ascii="Aptos" w:hAnsi="Aptos"/>
                <w:b/>
                <w:i w:val="0"/>
                <w:color w:val="28282D"/>
                <w:sz w:val="20"/>
              </w:rPr>
              <w:t>Source material</w:t>
            </w:r>
          </w:p>
        </w:tc>
        <w:tc>
          <w:tcPr>
            <w:tcW w:type="dxa" w:w="6696"/>
            <w:tcMar>
              <w:top w:w="110" w:type="dxa"/>
              <w:start w:w="110" w:type="dxa"/>
              <w:bottom w:w="110" w:type="dxa"/>
              <w:end w:w="110" w:type="dxa"/>
            </w:tcMar>
          </w:tcPr>
          <w:p>
            <w:pPr>
              <w:jc w:val="left"/>
            </w:pPr>
            <w:r>
              <w:rPr>
                <w:rFonts w:ascii="Aptos" w:hAnsi="Aptos"/>
                <w:b w:val="0"/>
                <w:i w:val="0"/>
                <w:color w:val="28282D"/>
                <w:sz w:val="20"/>
              </w:rPr>
              <w:t>[Insert notes, prep guide, lecture slides, textbook chapters, prior examples, or uploaded files]</w:t>
            </w:r>
          </w:p>
        </w:tc>
      </w:tr>
      <w:tr>
        <w:tc>
          <w:tcPr>
            <w:tcW w:type="dxa" w:w="3240"/>
            <w:tcMar>
              <w:top w:w="110" w:type="dxa"/>
              <w:start w:w="110" w:type="dxa"/>
              <w:bottom w:w="110" w:type="dxa"/>
              <w:end w:w="110" w:type="dxa"/>
            </w:tcMar>
          </w:tcPr>
          <w:p>
            <w:pPr>
              <w:jc w:val="left"/>
            </w:pPr>
            <w:r>
              <w:rPr>
                <w:rFonts w:ascii="Aptos" w:hAnsi="Aptos"/>
                <w:b/>
                <w:i w:val="0"/>
                <w:color w:val="28282D"/>
                <w:sz w:val="20"/>
              </w:rPr>
              <w:t>Question format</w:t>
            </w:r>
          </w:p>
        </w:tc>
        <w:tc>
          <w:tcPr>
            <w:tcW w:type="dxa" w:w="6696"/>
            <w:tcMar>
              <w:top w:w="110" w:type="dxa"/>
              <w:start w:w="110" w:type="dxa"/>
              <w:bottom w:w="110" w:type="dxa"/>
              <w:end w:w="110" w:type="dxa"/>
            </w:tcMar>
          </w:tcPr>
          <w:p>
            <w:pPr>
              <w:jc w:val="left"/>
            </w:pPr>
            <w:r>
              <w:rPr>
                <w:rFonts w:ascii="Aptos" w:hAnsi="Aptos"/>
                <w:b w:val="0"/>
                <w:i w:val="0"/>
                <w:color w:val="28282D"/>
                <w:sz w:val="20"/>
              </w:rPr>
              <w:t>[Insert single-best-answer only, stand-alone only, scenario-based mix, or both]</w:t>
            </w:r>
          </w:p>
        </w:tc>
      </w:tr>
      <w:tr>
        <w:tc>
          <w:tcPr>
            <w:tcW w:type="dxa" w:w="3240"/>
            <w:tcMar>
              <w:top w:w="110" w:type="dxa"/>
              <w:start w:w="110" w:type="dxa"/>
              <w:bottom w:w="110" w:type="dxa"/>
              <w:end w:w="110" w:type="dxa"/>
            </w:tcMar>
          </w:tcPr>
          <w:p>
            <w:pPr>
              <w:jc w:val="left"/>
            </w:pPr>
            <w:r>
              <w:rPr>
                <w:rFonts w:ascii="Aptos" w:hAnsi="Aptos"/>
                <w:b/>
                <w:i w:val="0"/>
                <w:color w:val="28282D"/>
                <w:sz w:val="20"/>
              </w:rPr>
              <w:t>Domain distribution</w:t>
            </w:r>
          </w:p>
        </w:tc>
        <w:tc>
          <w:tcPr>
            <w:tcW w:type="dxa" w:w="6696"/>
            <w:tcMar>
              <w:top w:w="110" w:type="dxa"/>
              <w:start w:w="110" w:type="dxa"/>
              <w:bottom w:w="110" w:type="dxa"/>
              <w:end w:w="110" w:type="dxa"/>
            </w:tcMar>
          </w:tcPr>
          <w:p>
            <w:pPr>
              <w:jc w:val="left"/>
            </w:pPr>
            <w:r>
              <w:rPr>
                <w:rFonts w:ascii="Aptos" w:hAnsi="Aptos"/>
                <w:b w:val="0"/>
                <w:i w:val="0"/>
                <w:color w:val="28282D"/>
                <w:sz w:val="20"/>
              </w:rPr>
              <w:t>[Keep official RENR weighting or override with your own distribution]</w:t>
            </w:r>
          </w:p>
        </w:tc>
      </w:tr>
      <w:tr>
        <w:tc>
          <w:tcPr>
            <w:tcW w:type="dxa" w:w="3240"/>
            <w:tcMar>
              <w:top w:w="110" w:type="dxa"/>
              <w:start w:w="110" w:type="dxa"/>
              <w:bottom w:w="110" w:type="dxa"/>
              <w:end w:w="110" w:type="dxa"/>
            </w:tcMar>
          </w:tcPr>
          <w:p>
            <w:pPr>
              <w:jc w:val="left"/>
            </w:pPr>
            <w:r>
              <w:rPr>
                <w:rFonts w:ascii="Aptos" w:hAnsi="Aptos"/>
                <w:b/>
                <w:i w:val="0"/>
                <w:color w:val="28282D"/>
                <w:sz w:val="20"/>
              </w:rPr>
              <w:t>Taxonomy distribution</w:t>
            </w:r>
          </w:p>
        </w:tc>
        <w:tc>
          <w:tcPr>
            <w:tcW w:type="dxa" w:w="6696"/>
            <w:tcMar>
              <w:top w:w="110" w:type="dxa"/>
              <w:start w:w="110" w:type="dxa"/>
              <w:bottom w:w="110" w:type="dxa"/>
              <w:end w:w="110" w:type="dxa"/>
            </w:tcMar>
          </w:tcPr>
          <w:p>
            <w:pPr>
              <w:jc w:val="left"/>
            </w:pPr>
            <w:r>
              <w:rPr>
                <w:rFonts w:ascii="Aptos" w:hAnsi="Aptos"/>
                <w:b w:val="0"/>
                <w:i w:val="0"/>
                <w:color w:val="28282D"/>
                <w:sz w:val="20"/>
              </w:rPr>
              <w:t>[Keep AP 50 / ASE 30 / KC 20 or override if needed]</w:t>
            </w:r>
          </w:p>
        </w:tc>
      </w:tr>
      <w:tr>
        <w:tc>
          <w:tcPr>
            <w:tcW w:type="dxa" w:w="3240"/>
            <w:tcMar>
              <w:top w:w="110" w:type="dxa"/>
              <w:start w:w="110" w:type="dxa"/>
              <w:bottom w:w="110" w:type="dxa"/>
              <w:end w:w="110" w:type="dxa"/>
            </w:tcMar>
          </w:tcPr>
          <w:p>
            <w:pPr>
              <w:jc w:val="left"/>
            </w:pPr>
            <w:r>
              <w:rPr>
                <w:rFonts w:ascii="Aptos" w:hAnsi="Aptos"/>
                <w:b/>
                <w:i w:val="0"/>
                <w:color w:val="28282D"/>
                <w:sz w:val="20"/>
              </w:rPr>
              <w:t>Answer-key style</w:t>
            </w:r>
          </w:p>
        </w:tc>
        <w:tc>
          <w:tcPr>
            <w:tcW w:type="dxa" w:w="6696"/>
            <w:tcMar>
              <w:top w:w="110" w:type="dxa"/>
              <w:start w:w="110" w:type="dxa"/>
              <w:bottom w:w="110" w:type="dxa"/>
              <w:end w:w="110" w:type="dxa"/>
            </w:tcMar>
          </w:tcPr>
          <w:p>
            <w:pPr>
              <w:jc w:val="left"/>
            </w:pPr>
            <w:r>
              <w:rPr>
                <w:rFonts w:ascii="Aptos" w:hAnsi="Aptos"/>
                <w:b w:val="0"/>
                <w:i w:val="0"/>
                <w:color w:val="28282D"/>
                <w:sz w:val="20"/>
              </w:rPr>
              <w:t>[Insert whether you want answer key, rationales, distractor rationale, domain, taxonomy, topic tags]</w:t>
            </w:r>
          </w:p>
        </w:tc>
      </w:tr>
      <w:tr>
        <w:tc>
          <w:tcPr>
            <w:tcW w:type="dxa" w:w="3240"/>
            <w:tcMar>
              <w:top w:w="110" w:type="dxa"/>
              <w:start w:w="110" w:type="dxa"/>
              <w:bottom w:w="110" w:type="dxa"/>
              <w:end w:w="110" w:type="dxa"/>
            </w:tcMar>
          </w:tcPr>
          <w:p>
            <w:pPr>
              <w:jc w:val="left"/>
            </w:pPr>
            <w:r>
              <w:rPr>
                <w:rFonts w:ascii="Aptos" w:hAnsi="Aptos"/>
                <w:b/>
                <w:i w:val="0"/>
                <w:color w:val="28282D"/>
                <w:sz w:val="20"/>
              </w:rPr>
              <w:t>NRG item-writing rules</w:t>
            </w:r>
          </w:p>
        </w:tc>
        <w:tc>
          <w:tcPr>
            <w:tcW w:type="dxa" w:w="6696"/>
            <w:tcMar>
              <w:top w:w="110" w:type="dxa"/>
              <w:start w:w="110" w:type="dxa"/>
              <w:bottom w:w="110" w:type="dxa"/>
              <w:end w:w="110" w:type="dxa"/>
            </w:tcMar>
          </w:tcPr>
          <w:p>
            <w:pPr>
              <w:jc w:val="left"/>
            </w:pPr>
            <w:r>
              <w:rPr>
                <w:rFonts w:ascii="Aptos" w:hAnsi="Aptos"/>
                <w:b w:val="0"/>
                <w:i w:val="0"/>
                <w:color w:val="28282D"/>
                <w:sz w:val="20"/>
              </w:rPr>
              <w:t>[Insert your stem rules, distractor pattern, realism rules, Caribbean ranges, wording rules, etc.]</w:t>
            </w:r>
          </w:p>
        </w:tc>
      </w:tr>
      <w:tr>
        <w:tc>
          <w:tcPr>
            <w:tcW w:type="dxa" w:w="3240"/>
            <w:tcMar>
              <w:top w:w="110" w:type="dxa"/>
              <w:start w:w="110" w:type="dxa"/>
              <w:bottom w:w="110" w:type="dxa"/>
              <w:end w:w="110" w:type="dxa"/>
            </w:tcMar>
          </w:tcPr>
          <w:p>
            <w:pPr>
              <w:jc w:val="left"/>
            </w:pPr>
            <w:r>
              <w:rPr>
                <w:rFonts w:ascii="Aptos" w:hAnsi="Aptos"/>
                <w:b/>
                <w:i w:val="0"/>
                <w:color w:val="28282D"/>
                <w:sz w:val="20"/>
              </w:rPr>
              <w:t>Difficulty target</w:t>
            </w:r>
          </w:p>
        </w:tc>
        <w:tc>
          <w:tcPr>
            <w:tcW w:type="dxa" w:w="6696"/>
            <w:tcMar>
              <w:top w:w="110" w:type="dxa"/>
              <w:start w:w="110" w:type="dxa"/>
              <w:bottom w:w="110" w:type="dxa"/>
              <w:end w:w="110" w:type="dxa"/>
            </w:tcMar>
          </w:tcPr>
          <w:p>
            <w:pPr>
              <w:jc w:val="left"/>
            </w:pPr>
            <w:r>
              <w:rPr>
                <w:rFonts w:ascii="Aptos" w:hAnsi="Aptos"/>
                <w:b w:val="0"/>
                <w:i w:val="0"/>
                <w:color w:val="28282D"/>
                <w:sz w:val="20"/>
              </w:rPr>
              <w:t>[Insert moderate, exam-level mixed difficulty, high challenge, remediation-friendly, etc.]</w:t>
            </w:r>
          </w:p>
        </w:tc>
      </w:tr>
      <w:tr>
        <w:tc>
          <w:tcPr>
            <w:tcW w:type="dxa" w:w="3240"/>
            <w:tcMar>
              <w:top w:w="110" w:type="dxa"/>
              <w:start w:w="110" w:type="dxa"/>
              <w:bottom w:w="110" w:type="dxa"/>
              <w:end w:w="110" w:type="dxa"/>
            </w:tcMar>
          </w:tcPr>
          <w:p>
            <w:pPr>
              <w:jc w:val="left"/>
            </w:pPr>
            <w:r>
              <w:rPr>
                <w:rFonts w:ascii="Aptos" w:hAnsi="Aptos"/>
                <w:b/>
                <w:i w:val="0"/>
                <w:color w:val="28282D"/>
                <w:sz w:val="20"/>
              </w:rPr>
              <w:t>Exclusions</w:t>
            </w:r>
          </w:p>
        </w:tc>
        <w:tc>
          <w:tcPr>
            <w:tcW w:type="dxa" w:w="6696"/>
            <w:tcMar>
              <w:top w:w="110" w:type="dxa"/>
              <w:start w:w="110" w:type="dxa"/>
              <w:bottom w:w="110" w:type="dxa"/>
              <w:end w:w="110" w:type="dxa"/>
            </w:tcMar>
          </w:tcPr>
          <w:p>
            <w:pPr>
              <w:jc w:val="left"/>
            </w:pPr>
            <w:r>
              <w:rPr>
                <w:rFonts w:ascii="Aptos" w:hAnsi="Aptos"/>
                <w:b w:val="0"/>
                <w:i w:val="0"/>
                <w:color w:val="28282D"/>
                <w:sz w:val="20"/>
              </w:rPr>
              <w:t>[Insert what must not appear: no pathology, no SATA, no lab-heavy items, etc.]</w:t>
            </w:r>
          </w:p>
        </w:tc>
      </w:tr>
      <w:tr>
        <w:tc>
          <w:tcPr>
            <w:tcW w:type="dxa" w:w="3240"/>
            <w:tcMar>
              <w:top w:w="110" w:type="dxa"/>
              <w:start w:w="110" w:type="dxa"/>
              <w:bottom w:w="110" w:type="dxa"/>
              <w:end w:w="110" w:type="dxa"/>
            </w:tcMar>
          </w:tcPr>
          <w:p>
            <w:pPr>
              <w:jc w:val="left"/>
            </w:pPr>
            <w:r>
              <w:rPr>
                <w:rFonts w:ascii="Aptos" w:hAnsi="Aptos"/>
                <w:b/>
                <w:i w:val="0"/>
                <w:color w:val="28282D"/>
                <w:sz w:val="20"/>
              </w:rPr>
              <w:t>Output layout</w:t>
            </w:r>
          </w:p>
        </w:tc>
        <w:tc>
          <w:tcPr>
            <w:tcW w:type="dxa" w:w="6696"/>
            <w:tcMar>
              <w:top w:w="110" w:type="dxa"/>
              <w:start w:w="110" w:type="dxa"/>
              <w:bottom w:w="110" w:type="dxa"/>
              <w:end w:w="110" w:type="dxa"/>
            </w:tcMar>
          </w:tcPr>
          <w:p>
            <w:pPr>
              <w:jc w:val="left"/>
            </w:pPr>
            <w:r>
              <w:rPr>
                <w:rFonts w:ascii="Aptos" w:hAnsi="Aptos"/>
                <w:b w:val="0"/>
                <w:i w:val="0"/>
                <w:color w:val="28282D"/>
                <w:sz w:val="20"/>
              </w:rPr>
              <w:t>[Insert whether you want questions only, questions + answers, separate answer sheet, table format, Word-ready formatting, etc.]</w:t>
            </w:r>
          </w:p>
        </w:tc>
      </w:tr>
    </w:tbl>
    <w:p>
      <w:r>
        <w:br w:type="page"/>
      </w:r>
    </w:p>
    <w:p>
      <w:pPr>
        <w:pStyle w:val="NRGHeading1"/>
      </w:pPr>
      <w:r>
        <w:t>3. Copy-paste master prompt</w:t>
      </w:r>
    </w:p>
    <w:p>
      <w:r>
        <w:t>Replace each bracketed section before use. This version is intentionally detailed so the generator keeps the weighting, the topic priorities, and the output structure under control.</w:t>
      </w:r>
    </w:p>
    <w:tbl>
      <w:tblPr>
        <w:tblW w:type="auto" w:w="0"/>
        <w:jc w:val="center"/>
        <w:tblLayout w:type="fixed"/>
        <w:tblLook w:firstColumn="1" w:firstRow="1" w:lastColumn="0" w:lastRow="0" w:noHBand="0" w:noVBand="1" w:val="04A0"/>
        <w:tblBorders>
          <w:top w:val="single" w:sz="6" w:color="D8D8E0"/>
          <w:left w:val="single" w:sz="6" w:color="D8D8E0"/>
          <w:bottom w:val="single" w:sz="6" w:color="D8D8E0"/>
          <w:right w:val="single" w:sz="6" w:color="D8D8E0"/>
          <w:insideH w:val="single" w:sz="6" w:color="D8D8E0"/>
          <w:insideV w:val="single" w:sz="6" w:color="D8D8E0"/>
        </w:tblBorders>
      </w:tblPr>
      <w:tblGrid>
        <w:gridCol w:w="9648"/>
      </w:tblGrid>
      <w:tr>
        <w:tc>
          <w:tcPr>
            <w:tcW w:type="dxa" w:w="10224"/>
            <w:shd w:fill="FAFAFC"/>
            <w:tcMar>
              <w:top w:w="140" w:type="dxa"/>
              <w:start w:w="140" w:type="dxa"/>
              <w:bottom w:w="140" w:type="dxa"/>
              <w:end w:w="140" w:type="dxa"/>
            </w:tcMar>
          </w:tcPr>
          <w:p>
            <w:pPr>
              <w:spacing w:after="40" w:line="254" w:lineRule="auto"/>
            </w:pPr>
            <w:r>
              <w:rPr>
                <w:rFonts w:ascii="Consolas" w:hAnsi="Consolas"/>
                <w:color w:val="28282D"/>
                <w:sz w:val="18"/>
              </w:rPr>
              <w:t>Act as an expert NRG nursing item writer and RENR-style examination designer.</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Generate [TOTAL NUMBER OF QUESTIONS] multiple-choice questions for [PRIMARY AUDIENCE].</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Use the following rules exactly:</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1. Weight the questions by official RENR domain distribution across the full set:</w:t>
            </w:r>
          </w:p>
          <w:p>
            <w:pPr>
              <w:spacing w:after="40" w:line="254" w:lineRule="auto"/>
            </w:pPr>
            <w:r>
              <w:rPr>
                <w:rFonts w:ascii="Consolas" w:hAnsi="Consolas"/>
                <w:color w:val="28282D"/>
                <w:sz w:val="18"/>
              </w:rPr>
              <w:t>- Nursing Practice (NP): 30%</w:t>
            </w:r>
          </w:p>
          <w:p>
            <w:pPr>
              <w:spacing w:after="40" w:line="254" w:lineRule="auto"/>
            </w:pPr>
            <w:r>
              <w:rPr>
                <w:rFonts w:ascii="Consolas" w:hAnsi="Consolas"/>
                <w:color w:val="28282D"/>
                <w:sz w:val="18"/>
              </w:rPr>
              <w:t>- Clinical Decision Making and Intervention (CDM): 20%</w:t>
            </w:r>
          </w:p>
          <w:p>
            <w:pPr>
              <w:spacing w:after="40" w:line="254" w:lineRule="auto"/>
            </w:pPr>
            <w:r>
              <w:rPr>
                <w:rFonts w:ascii="Consolas" w:hAnsi="Consolas"/>
                <w:color w:val="28282D"/>
                <w:sz w:val="18"/>
              </w:rPr>
              <w:t>- Nursing Leadership and Management (NLM): 15%</w:t>
            </w:r>
          </w:p>
          <w:p>
            <w:pPr>
              <w:spacing w:after="40" w:line="254" w:lineRule="auto"/>
            </w:pPr>
            <w:r>
              <w:rPr>
                <w:rFonts w:ascii="Consolas" w:hAnsi="Consolas"/>
                <w:color w:val="28282D"/>
                <w:sz w:val="18"/>
              </w:rPr>
              <w:t>- Professional Conduct (PC): 10%</w:t>
            </w:r>
          </w:p>
          <w:p>
            <w:pPr>
              <w:spacing w:after="40" w:line="254" w:lineRule="auto"/>
            </w:pPr>
            <w:r>
              <w:rPr>
                <w:rFonts w:ascii="Consolas" w:hAnsi="Consolas"/>
                <w:color w:val="28282D"/>
                <w:sz w:val="18"/>
              </w:rPr>
              <w:t>- Health Promotion and Maintenance of Wellness (HPMW): 10%</w:t>
            </w:r>
          </w:p>
          <w:p>
            <w:pPr>
              <w:spacing w:after="40" w:line="254" w:lineRule="auto"/>
            </w:pPr>
            <w:r>
              <w:rPr>
                <w:rFonts w:ascii="Consolas" w:hAnsi="Consolas"/>
                <w:color w:val="28282D"/>
                <w:sz w:val="18"/>
              </w:rPr>
              <w:t>- Communication (COM): 10%</w:t>
            </w:r>
          </w:p>
          <w:p>
            <w:pPr>
              <w:spacing w:after="40" w:line="254" w:lineRule="auto"/>
            </w:pPr>
            <w:r>
              <w:rPr>
                <w:rFonts w:ascii="Consolas" w:hAnsi="Consolas"/>
                <w:color w:val="28282D"/>
                <w:sz w:val="18"/>
              </w:rPr>
              <w:t>- Professional Development (PD): 5%</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2. Weight the questions by official taxonomy distribution across the full set:</w:t>
            </w:r>
          </w:p>
          <w:p>
            <w:pPr>
              <w:spacing w:after="40" w:line="254" w:lineRule="auto"/>
            </w:pPr>
            <w:r>
              <w:rPr>
                <w:rFonts w:ascii="Consolas" w:hAnsi="Consolas"/>
                <w:color w:val="28282D"/>
                <w:sz w:val="18"/>
              </w:rPr>
              <w:t>- Application (AP): 50%</w:t>
            </w:r>
          </w:p>
          <w:p>
            <w:pPr>
              <w:spacing w:after="40" w:line="254" w:lineRule="auto"/>
            </w:pPr>
            <w:r>
              <w:rPr>
                <w:rFonts w:ascii="Consolas" w:hAnsi="Consolas"/>
                <w:color w:val="28282D"/>
                <w:sz w:val="18"/>
              </w:rPr>
              <w:t>- Analysis / Synthesis / Evaluation (ASE): 30%</w:t>
            </w:r>
          </w:p>
          <w:p>
            <w:pPr>
              <w:spacing w:after="40" w:line="254" w:lineRule="auto"/>
            </w:pPr>
            <w:r>
              <w:rPr>
                <w:rFonts w:ascii="Consolas" w:hAnsi="Consolas"/>
                <w:color w:val="28282D"/>
                <w:sz w:val="18"/>
              </w:rPr>
              <w:t>- Knowledge / Comprehension (KC): 20%</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3. Prioritize topic selection using this practical high-yield topic guide unless my inserted topic list below says otherwise:</w:t>
            </w:r>
          </w:p>
          <w:p>
            <w:pPr>
              <w:spacing w:after="40" w:line="254" w:lineRule="auto"/>
            </w:pPr>
            <w:r>
              <w:rPr>
                <w:rFonts w:ascii="Consolas" w:hAnsi="Consolas"/>
                <w:color w:val="28282D"/>
                <w:sz w:val="18"/>
              </w:rPr>
              <w:t>- Medical-surgical and community health priorities: 30%</w:t>
            </w:r>
          </w:p>
          <w:p>
            <w:pPr>
              <w:spacing w:after="40" w:line="254" w:lineRule="auto"/>
            </w:pPr>
            <w:r>
              <w:rPr>
                <w:rFonts w:ascii="Consolas" w:hAnsi="Consolas"/>
                <w:color w:val="28282D"/>
                <w:sz w:val="18"/>
              </w:rPr>
              <w:t>- Safety, infection control, and core procedures: 22%</w:t>
            </w:r>
          </w:p>
          <w:p>
            <w:pPr>
              <w:spacing w:after="40" w:line="254" w:lineRule="auto"/>
            </w:pPr>
            <w:r>
              <w:rPr>
                <w:rFonts w:ascii="Consolas" w:hAnsi="Consolas"/>
                <w:color w:val="28282D"/>
                <w:sz w:val="18"/>
              </w:rPr>
              <w:t>- Maternal-child and family nursing: 22%</w:t>
            </w:r>
          </w:p>
          <w:p>
            <w:pPr>
              <w:spacing w:after="40" w:line="254" w:lineRule="auto"/>
            </w:pPr>
            <w:r>
              <w:rPr>
                <w:rFonts w:ascii="Consolas" w:hAnsi="Consolas"/>
                <w:color w:val="28282D"/>
                <w:sz w:val="18"/>
              </w:rPr>
              <w:t>- Management, legal, and professionalism: 14%</w:t>
            </w:r>
          </w:p>
          <w:p>
            <w:pPr>
              <w:spacing w:after="40" w:line="254" w:lineRule="auto"/>
            </w:pPr>
            <w:r>
              <w:rPr>
                <w:rFonts w:ascii="Consolas" w:hAnsi="Consolas"/>
                <w:color w:val="28282D"/>
                <w:sz w:val="18"/>
              </w:rPr>
              <w:t>- Psychosocial and therapeutic communication: 12%</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4. Use these exact content priorities and source materials:</w:t>
            </w:r>
          </w:p>
          <w:p>
            <w:pPr>
              <w:spacing w:after="40" w:line="254" w:lineRule="auto"/>
            </w:pPr>
            <w:r>
              <w:rPr>
                <w:rFonts w:ascii="Consolas" w:hAnsi="Consolas"/>
                <w:color w:val="28282D"/>
                <w:sz w:val="18"/>
              </w:rPr>
              <w:t>[INSERT TOPIC EMPHASIS]</w:t>
            </w:r>
          </w:p>
          <w:p>
            <w:pPr>
              <w:spacing w:after="40" w:line="254" w:lineRule="auto"/>
            </w:pPr>
            <w:r>
              <w:rPr>
                <w:rFonts w:ascii="Consolas" w:hAnsi="Consolas"/>
                <w:color w:val="28282D"/>
                <w:sz w:val="18"/>
              </w:rPr>
              <w:t>[INSERT SOURCE MATERIALS]</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5. Use this question style:</w:t>
            </w:r>
          </w:p>
          <w:p>
            <w:pPr>
              <w:spacing w:after="40" w:line="254" w:lineRule="auto"/>
            </w:pPr>
            <w:r>
              <w:rPr>
                <w:rFonts w:ascii="Consolas" w:hAnsi="Consolas"/>
                <w:color w:val="28282D"/>
                <w:sz w:val="18"/>
              </w:rPr>
              <w:t>[INSERT QUESTION FORMAT]</w:t>
            </w:r>
          </w:p>
          <w:p>
            <w:pPr>
              <w:spacing w:after="40" w:line="254" w:lineRule="auto"/>
            </w:pPr>
            <w:r>
              <w:rPr>
                <w:rFonts w:ascii="Consolas" w:hAnsi="Consolas"/>
                <w:color w:val="28282D"/>
                <w:sz w:val="18"/>
              </w:rPr>
              <w:t>[INSERT DIFFICULTY TARGET]</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6. Apply these NRG item-writing rules:</w:t>
            </w:r>
          </w:p>
          <w:p>
            <w:pPr>
              <w:spacing w:after="40" w:line="254" w:lineRule="auto"/>
            </w:pPr>
            <w:r>
              <w:rPr>
                <w:rFonts w:ascii="Consolas" w:hAnsi="Consolas"/>
                <w:color w:val="28282D"/>
                <w:sz w:val="18"/>
              </w:rPr>
              <w:t>[INSERT NRG ITEM-WRITING RULES]</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7. Apply these exclusions or restrictions:</w:t>
            </w:r>
          </w:p>
          <w:p>
            <w:pPr>
              <w:spacing w:after="40" w:line="254" w:lineRule="auto"/>
            </w:pPr>
            <w:r>
              <w:rPr>
                <w:rFonts w:ascii="Consolas" w:hAnsi="Consolas"/>
                <w:color w:val="28282D"/>
                <w:sz w:val="18"/>
              </w:rPr>
              <w:t>[INSERT EXCLUSIONS]</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8. For each question, internally ensure:</w:t>
            </w:r>
          </w:p>
          <w:p>
            <w:pPr>
              <w:spacing w:after="40" w:line="254" w:lineRule="auto"/>
            </w:pPr>
            <w:r>
              <w:rPr>
                <w:rFonts w:ascii="Consolas" w:hAnsi="Consolas"/>
                <w:color w:val="28282D"/>
                <w:sz w:val="18"/>
              </w:rPr>
              <w:t>- the domain tag and taxonomy tag match the stem demand</w:t>
            </w:r>
          </w:p>
          <w:p>
            <w:pPr>
              <w:spacing w:after="40" w:line="254" w:lineRule="auto"/>
            </w:pPr>
            <w:r>
              <w:rPr>
                <w:rFonts w:ascii="Consolas" w:hAnsi="Consolas"/>
                <w:color w:val="28282D"/>
                <w:sz w:val="18"/>
              </w:rPr>
              <w:t>- the question is clinically realistic</w:t>
            </w:r>
          </w:p>
          <w:p>
            <w:pPr>
              <w:spacing w:after="40" w:line="254" w:lineRule="auto"/>
            </w:pPr>
            <w:r>
              <w:rPr>
                <w:rFonts w:ascii="Consolas" w:hAnsi="Consolas"/>
                <w:color w:val="28282D"/>
                <w:sz w:val="18"/>
              </w:rPr>
              <w:t>- only one answer is best</w:t>
            </w:r>
          </w:p>
          <w:p>
            <w:pPr>
              <w:spacing w:after="40" w:line="254" w:lineRule="auto"/>
            </w:pPr>
            <w:r>
              <w:rPr>
                <w:rFonts w:ascii="Consolas" w:hAnsi="Consolas"/>
                <w:color w:val="28282D"/>
                <w:sz w:val="18"/>
              </w:rPr>
              <w:t>- distractors are plausible and level-appropriate</w:t>
            </w:r>
          </w:p>
          <w:p>
            <w:pPr>
              <w:spacing w:after="40" w:line="254" w:lineRule="auto"/>
            </w:pPr>
            <w:r>
              <w:rPr>
                <w:rFonts w:ascii="Consolas" w:hAnsi="Consolas"/>
                <w:color w:val="28282D"/>
                <w:sz w:val="18"/>
              </w:rPr>
              <w:t>- the final set preserves the required weighting as closely as possible</w:t>
            </w:r>
          </w:p>
          <w:p>
            <w:pPr>
              <w:spacing w:after="40" w:line="254" w:lineRule="auto"/>
            </w:pPr>
            <w:r>
              <w:rPr>
                <w:rFonts w:ascii="Consolas" w:hAnsi="Consolas"/>
                <w:color w:val="28282D"/>
                <w:sz w:val="18"/>
              </w:rPr>
              <w:t>- if the total number of questions does not divide perfectly into the percentages, round logically while preserving the final total</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9. Output format:</w:t>
            </w:r>
          </w:p>
          <w:p>
            <w:pPr>
              <w:spacing w:after="40" w:line="254" w:lineRule="auto"/>
            </w:pPr>
            <w:r>
              <w:rPr>
                <w:rFonts w:ascii="Consolas" w:hAnsi="Consolas"/>
                <w:color w:val="28282D"/>
                <w:sz w:val="18"/>
              </w:rPr>
              <w:t>[INSERT OUTPUT LAYOUT]</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10. If I asked for an answer key, provide for each item:</w:t>
            </w:r>
          </w:p>
          <w:p>
            <w:pPr>
              <w:spacing w:after="40" w:line="254" w:lineRule="auto"/>
            </w:pPr>
            <w:r>
              <w:rPr>
                <w:rFonts w:ascii="Consolas" w:hAnsi="Consolas"/>
                <w:color w:val="28282D"/>
                <w:sz w:val="18"/>
              </w:rPr>
              <w:t>- correct answer</w:t>
            </w:r>
          </w:p>
          <w:p>
            <w:pPr>
              <w:spacing w:after="40" w:line="254" w:lineRule="auto"/>
            </w:pPr>
            <w:r>
              <w:rPr>
                <w:rFonts w:ascii="Consolas" w:hAnsi="Consolas"/>
                <w:color w:val="28282D"/>
                <w:sz w:val="18"/>
              </w:rPr>
              <w:t>- brief rationale for the correct answer</w:t>
            </w:r>
          </w:p>
          <w:p>
            <w:pPr>
              <w:spacing w:after="40" w:line="254" w:lineRule="auto"/>
            </w:pPr>
            <w:r>
              <w:rPr>
                <w:rFonts w:ascii="Consolas" w:hAnsi="Consolas"/>
                <w:color w:val="28282D"/>
                <w:sz w:val="18"/>
              </w:rPr>
              <w:t>- brief rationale for why each distractor is wrong</w:t>
            </w:r>
          </w:p>
          <w:p>
            <w:pPr>
              <w:spacing w:after="40" w:line="254" w:lineRule="auto"/>
            </w:pPr>
            <w:r>
              <w:rPr>
                <w:rFonts w:ascii="Consolas" w:hAnsi="Consolas"/>
                <w:color w:val="28282D"/>
                <w:sz w:val="18"/>
              </w:rPr>
              <w:t>- topic</w:t>
            </w:r>
          </w:p>
          <w:p>
            <w:pPr>
              <w:spacing w:after="40" w:line="254" w:lineRule="auto"/>
            </w:pPr>
            <w:r>
              <w:rPr>
                <w:rFonts w:ascii="Consolas" w:hAnsi="Consolas"/>
                <w:color w:val="28282D"/>
                <w:sz w:val="18"/>
              </w:rPr>
              <w:t>- domain</w:t>
            </w:r>
          </w:p>
          <w:p>
            <w:pPr>
              <w:spacing w:after="40" w:line="254" w:lineRule="auto"/>
            </w:pPr>
            <w:r>
              <w:rPr>
                <w:rFonts w:ascii="Consolas" w:hAnsi="Consolas"/>
                <w:color w:val="28282D"/>
                <w:sz w:val="18"/>
              </w:rPr>
              <w:t>- taxonomy</w:t>
            </w:r>
          </w:p>
          <w:p>
            <w:pPr>
              <w:spacing w:after="40" w:line="254" w:lineRule="auto"/>
            </w:pPr>
            <w:r>
              <w:rPr>
                <w:rFonts w:ascii="Consolas" w:hAnsi="Consolas"/>
                <w:color w:val="28282D"/>
                <w:sz w:val="18"/>
              </w:rPr>
            </w:r>
          </w:p>
          <w:p>
            <w:pPr>
              <w:spacing w:after="40" w:line="254" w:lineRule="auto"/>
            </w:pPr>
            <w:r>
              <w:rPr>
                <w:rFonts w:ascii="Consolas" w:hAnsi="Consolas"/>
                <w:color w:val="28282D"/>
                <w:sz w:val="18"/>
              </w:rPr>
              <w:t>Before presenting the questions, first show a short distribution plan that lists how many questions you assigned to each domain, each taxonomy level, and each major topic cluster. Then generate the question set.</w:t>
            </w:r>
          </w:p>
        </w:tc>
      </w:tr>
    </w:tbl>
    <w:p>
      <w:pPr>
        <w:pStyle w:val="NRGHeading1"/>
      </w:pPr>
      <w:r>
        <w:t>4. Optional short-form version</w:t>
      </w:r>
    </w:p>
    <w:p>
      <w:r>
        <w:t>Use this shorter version when you already know the rules have been established in the conversation and you only want a faster instruction block.</w:t>
      </w:r>
    </w:p>
    <w:tbl>
      <w:tblPr>
        <w:tblW w:type="auto" w:w="0"/>
        <w:jc w:val="center"/>
        <w:tblLayout w:type="fixed"/>
        <w:tblLook w:firstColumn="1" w:firstRow="1" w:lastColumn="0" w:lastRow="0" w:noHBand="0" w:noVBand="1" w:val="04A0"/>
        <w:tblBorders>
          <w:top w:val="single" w:sz="6" w:color="D8D8E0"/>
          <w:left w:val="single" w:sz="6" w:color="D8D8E0"/>
          <w:bottom w:val="single" w:sz="6" w:color="D8D8E0"/>
          <w:right w:val="single" w:sz="6" w:color="D8D8E0"/>
          <w:insideH w:val="single" w:sz="6" w:color="D8D8E0"/>
          <w:insideV w:val="single" w:sz="6" w:color="D8D8E0"/>
        </w:tblBorders>
      </w:tblPr>
      <w:tblGrid>
        <w:gridCol w:w="9648"/>
      </w:tblGrid>
      <w:tr>
        <w:tc>
          <w:tcPr>
            <w:tcW w:type="dxa" w:w="10224"/>
            <w:shd w:fill="F5F5F7"/>
            <w:tcMar>
              <w:top w:w="130" w:type="dxa"/>
              <w:start w:w="140" w:type="dxa"/>
              <w:bottom w:w="130" w:type="dxa"/>
              <w:end w:w="140" w:type="dxa"/>
            </w:tcMar>
          </w:tcPr>
          <w:p>
            <w:r>
              <w:rPr>
                <w:rFonts w:ascii="Consolas" w:hAnsi="Consolas"/>
                <w:color w:val="28282D"/>
                <w:sz w:val="18"/>
              </w:rPr>
              <w:t>Generate [NUMBER] NRG RENR-style MCQs for [AUDIENCE]. Keep domain weighting at NP 30 / CDM 20 / NLM 15 / PC 10 / HPMW 10 / COM 10 / PD 5. Keep taxonomy weighting at AP 50 / ASE 30 / KC 20. Prioritize these high-yield topic clusters unless overridden: med-surg/community 30, safety/procedures 22, maternal-child 22, management/legal 14, psychosocial/communication 12. Focus on: [TOPICS]. Use these source materials: [SOURCES]. Apply these NRG rules: [RULES]. Exclude: [EXCLUSIONS]. Output as: [LAYOUT]. Show the distribution plan first, then generate the questions.</w:t>
            </w:r>
          </w:p>
        </w:tc>
      </w:tr>
    </w:tbl>
    <w:p>
      <w:pPr>
        <w:pStyle w:val="NRGHeading1"/>
      </w:pPr>
      <w:r>
        <w:t>5. Practical note on rounding</w:t>
      </w:r>
    </w:p>
    <w:p>
      <w:r>
        <w:t>When the requested total is not 100, tell the generator to preserve the percentage logic rather than force perfect mathematical fractions. For example, a 25-question set should still lean heavily toward Nursing Practice and Application-level items, even though exact whole-number matching will require small rounding adjustments.</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64"/>
        <w:sz w:val="17"/>
      </w:rPr>
      <w:t>Reusable RENR Question Prompt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2C83"/>
        <w:sz w:val="18"/>
      </w:rPr>
      <w:t>NRG - Nursing Review Examination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828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GTitle">
    <w:name w:val="NRG Title"/>
    <w:pPr>
      <w:spacing w:after="80"/>
    </w:pPr>
    <w:rPr>
      <w:rFonts w:ascii="Aptos Display" w:hAnsi="Aptos Display"/>
      <w:b/>
      <w:color w:val="582C83"/>
      <w:sz w:val="44"/>
    </w:rPr>
  </w:style>
  <w:style w:type="paragraph" w:customStyle="1" w:styleId="NRGSubtitle">
    <w:name w:val="NRG Subtitle"/>
    <w:pPr>
      <w:spacing w:after="280"/>
    </w:pPr>
    <w:rPr>
      <w:rFonts w:ascii="Aptos" w:hAnsi="Aptos"/>
      <w:i/>
      <w:color w:val="5A5A64"/>
      <w:sz w:val="22"/>
    </w:rPr>
  </w:style>
  <w:style w:type="paragraph" w:customStyle="1" w:styleId="NRGHeading1">
    <w:name w:val="NRG Heading 1"/>
    <w:pPr>
      <w:keepNext/>
      <w:spacing w:before="200" w:after="120"/>
    </w:pPr>
    <w:rPr>
      <w:rFonts w:ascii="Aptos" w:hAnsi="Aptos"/>
      <w:b/>
      <w:color w:val="582C83"/>
      <w:sz w:val="28"/>
    </w:rPr>
  </w:style>
  <w:style w:type="paragraph" w:customStyle="1" w:styleId="NRGHeading2">
    <w:name w:val="NRG Heading 2"/>
    <w:pPr>
      <w:keepNext/>
      <w:spacing w:before="120" w:after="80"/>
    </w:pPr>
    <w:rPr>
      <w:rFonts w:ascii="Aptos" w:hAnsi="Aptos"/>
      <w:b/>
      <w:color w:val="28282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