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48"/>
      </w:tblGrid>
      <w:tr>
        <w:tc>
          <w:tcPr>
            <w:tcW w:type="dxa" w:w="10166"/>
            <w:shd w:fill="F1ECF8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4B246E"/>
                <w:sz w:val="34"/>
              </w:rPr>
              <w:t>NRG – RENR Answer Key Format</w:t>
            </w:r>
          </w:p>
        </w:tc>
      </w:tr>
    </w:tbl>
    <w:p>
      <w:pPr>
        <w:spacing w:after="100"/>
        <w:jc w:val="center"/>
      </w:pPr>
      <w:r>
        <w:rPr>
          <w:i/>
          <w:color w:val="646464"/>
          <w:sz w:val="19"/>
        </w:rPr>
        <w:t>Final structure for every RENR answer-sheet / answer-key entry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CDEB"/>
          <w:left w:val="single" w:sz="8" w:space="0" w:color="D9CDEB"/>
          <w:bottom w:val="single" w:sz="8" w:space="0" w:color="D9CDEB"/>
          <w:right w:val="single" w:sz="8" w:space="0" w:color="D9CDEB"/>
          <w:insideH w:val="single" w:sz="8" w:space="0" w:color="D9CDEB"/>
          <w:insideV w:val="single" w:sz="8" w:space="0" w:color="D9CDEB"/>
        </w:tblBorders>
      </w:tblPr>
      <w:tblGrid>
        <w:gridCol w:w="9648"/>
      </w:tblGrid>
      <w:tr>
        <w:tc>
          <w:tcPr>
            <w:tcW w:type="dxa" w:w="10166"/>
            <w:shd w:fill="FBF9F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4B246E"/>
              </w:rPr>
              <w:t xml:space="preserve">Mandatory rule: </w:t>
            </w:r>
            <w:r>
              <w:t>write the rationale as one paragraph only, place the correct answer first, then discuss the remaining options in alphabetical order.</w:t>
            </w:r>
          </w:p>
        </w:tc>
      </w:tr>
    </w:tbl>
    <w:p>
      <w:pPr>
        <w:pStyle w:val="Heading1"/>
        <w:spacing w:before="120" w:after="40"/>
      </w:pPr>
      <w:r>
        <w:t>Required entry structure</w:t>
      </w:r>
    </w:p>
    <w:p>
      <w:pPr>
        <w:spacing w:after="20"/>
        <w:ind w:left="259" w:hanging="230"/>
      </w:pPr>
      <w:r>
        <w:rPr>
          <w:b/>
        </w:rPr>
        <w:t xml:space="preserve">• </w:t>
      </w:r>
      <w:r>
        <w:t>Correct answer: option letter first, then the full answer text.</w:t>
      </w:r>
    </w:p>
    <w:p>
      <w:pPr>
        <w:spacing w:after="20"/>
        <w:ind w:left="259" w:hanging="230"/>
      </w:pPr>
      <w:r>
        <w:rPr>
          <w:b/>
        </w:rPr>
        <w:t xml:space="preserve">• </w:t>
      </w:r>
      <w:r>
        <w:t>Rationale: one continuous paragraph.</w:t>
      </w:r>
    </w:p>
    <w:p>
      <w:pPr>
        <w:spacing w:after="20"/>
        <w:ind w:left="259" w:hanging="230"/>
      </w:pPr>
      <w:r>
        <w:rPr>
          <w:b/>
        </w:rPr>
        <w:t xml:space="preserve">• </w:t>
      </w:r>
      <w:r>
        <w:t>Topic: clinical or theoretical topic tested.</w:t>
      </w:r>
    </w:p>
    <w:p>
      <w:pPr>
        <w:spacing w:after="20"/>
        <w:ind w:left="259" w:hanging="230"/>
      </w:pPr>
      <w:r>
        <w:rPr>
          <w:b/>
        </w:rPr>
        <w:t xml:space="preserve">• </w:t>
      </w:r>
      <w:r>
        <w:t>Domain: RENR domain.</w:t>
      </w:r>
    </w:p>
    <w:p>
      <w:pPr>
        <w:spacing w:after="20"/>
        <w:ind w:left="259" w:hanging="230"/>
      </w:pPr>
      <w:r>
        <w:rPr>
          <w:b/>
        </w:rPr>
        <w:t xml:space="preserve">• </w:t>
      </w:r>
      <w:r>
        <w:t>Taxonomy: KC, AP, or ASE.</w:t>
      </w:r>
    </w:p>
    <w:p>
      <w:pPr>
        <w:pStyle w:val="Heading1"/>
        <w:spacing w:before="120" w:after="40"/>
      </w:pPr>
      <w:r>
        <w:t>Master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DB9E4"/>
          <w:left w:val="single" w:sz="8" w:space="0" w:color="CDB9E4"/>
          <w:bottom w:val="single" w:sz="8" w:space="0" w:color="CDB9E4"/>
          <w:right w:val="single" w:sz="8" w:space="0" w:color="CDB9E4"/>
          <w:insideH w:val="single" w:sz="8" w:space="0" w:color="CDB9E4"/>
          <w:insideV w:val="single" w:sz="8" w:space="0" w:color="CDB9E4"/>
        </w:tblBorders>
      </w:tblPr>
      <w:tblGrid>
        <w:gridCol w:w="9648"/>
      </w:tblGrid>
      <w:tr>
        <w:tc>
          <w:tcPr>
            <w:tcW w:type="dxa" w:w="10166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4B246E"/>
              </w:rPr>
              <w:t>Question X</w:t>
            </w:r>
          </w:p>
          <w:p>
            <w:pPr>
              <w:spacing w:after="40"/>
            </w:pPr>
            <w:r>
              <w:rPr>
                <w:b w:val="0"/>
              </w:rPr>
              <w:t>Correct answer: B. [insert full answer text]</w:t>
            </w:r>
          </w:p>
          <w:p>
            <w:pPr>
              <w:spacing w:after="40"/>
            </w:pPr>
            <w:r>
              <w:rPr>
                <w:b w:val="0"/>
              </w:rPr>
              <w:t>Rationale: B is correct because [brief summarized rationale], A is wrong because [brief summarized rationale], C is wrong because [brief summarized rationale], and D is wrong because [brief summarized rationale].</w:t>
            </w:r>
          </w:p>
          <w:p>
            <w:pPr>
              <w:spacing w:after="40"/>
            </w:pPr>
            <w:r>
              <w:rPr>
                <w:b w:val="0"/>
              </w:rPr>
              <w:t>Topic: [insert topic]</w:t>
            </w:r>
          </w:p>
          <w:p>
            <w:pPr>
              <w:spacing w:after="40"/>
            </w:pPr>
            <w:r>
              <w:rPr>
                <w:b w:val="0"/>
              </w:rPr>
              <w:t>Domain: [insert RENR domain]</w:t>
            </w:r>
          </w:p>
          <w:p>
            <w:pPr>
              <w:spacing w:after="40"/>
            </w:pPr>
            <w:r>
              <w:rPr>
                <w:b w:val="0"/>
              </w:rPr>
              <w:t>Taxonomy: [insert KC / AP / ASE]</w:t>
            </w:r>
          </w:p>
        </w:tc>
      </w:tr>
    </w:tbl>
    <w:p>
      <w:pPr>
        <w:pStyle w:val="Heading1"/>
        <w:spacing w:before="120" w:after="40"/>
      </w:pPr>
      <w:r>
        <w:t>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CDEB"/>
          <w:left w:val="single" w:sz="8" w:space="0" w:color="D9CDEB"/>
          <w:bottom w:val="single" w:sz="8" w:space="0" w:color="D9CDEB"/>
          <w:right w:val="single" w:sz="8" w:space="0" w:color="D9CDEB"/>
          <w:insideH w:val="single" w:sz="8" w:space="0" w:color="D9CDEB"/>
          <w:insideV w:val="single" w:sz="8" w:space="0" w:color="D9CDEB"/>
        </w:tblBorders>
      </w:tblPr>
      <w:tblGrid>
        <w:gridCol w:w="9648"/>
      </w:tblGrid>
      <w:tr>
        <w:tc>
          <w:tcPr>
            <w:tcW w:type="dxa" w:w="10166"/>
            <w:shd w:fill="FCFBFE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4B246E"/>
              </w:rPr>
              <w:t>Question 1</w:t>
            </w:r>
          </w:p>
          <w:p>
            <w:pPr>
              <w:spacing w:after="40"/>
            </w:pPr>
            <w:r>
              <w:rPr>
                <w:b w:val="0"/>
              </w:rPr>
              <w:t>Correct answer: B. Hold the metformin and reassess renal function after contrast exposure.</w:t>
            </w:r>
          </w:p>
          <w:p>
            <w:pPr>
              <w:spacing w:after="40"/>
            </w:pPr>
            <w:r>
              <w:rPr>
                <w:b w:val="0"/>
              </w:rPr>
              <w:t>Rationale: B is correct because metformin is usually withheld around contrast exposure until renal function is confirmed, A is wrong because continuing it does not address possible renal risk, C is wrong because giving it immediately before the scan still ignores the contrast-related concern, and D is wrong because the drug is not normally stopped permanently for this reason.</w:t>
            </w:r>
          </w:p>
          <w:p>
            <w:pPr>
              <w:spacing w:after="40"/>
            </w:pPr>
            <w:r>
              <w:rPr>
                <w:b w:val="0"/>
              </w:rPr>
              <w:t>Topic: Endocrine – Type 2 Diabetes Mellitus    Domain: CDM    Taxonomy: AP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48"/>
      </w:tblGrid>
      <w:tr>
        <w:tc>
          <w:tcPr>
            <w:tcW w:type="dxa" w:w="10166"/>
            <w:shd w:fill="F5F0FB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4B246E"/>
              </w:rPr>
              <w:t>Do not place A, B, C, and D on separate lines.</w:t>
            </w:r>
            <w:r>
              <w:t xml:space="preserve"> Keep all option rationales in one paragraph.</w:t>
            </w:r>
          </w:p>
        </w:tc>
      </w:tr>
    </w:tbl>
    <w:sectPr w:rsidR="00FC693F" w:rsidRPr="0006063C" w:rsidSect="00034616">
      <w:pgSz w:w="12240" w:h="15840"/>
      <w:pgMar w:top="648" w:right="1037" w:bottom="64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B246E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4B246E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