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RGTitle"/>
        <w:spacing w:before="600" w:after="160"/>
        <w:ind w:left="144" w:right="144"/>
        <w:jc w:val="center"/>
        <w:shd w:fill="6F42C1"/>
      </w:pPr>
      <w:r>
        <w:t>Answer Key for Rewritten Questions 1-5</w:t>
      </w:r>
    </w:p>
    <w:p>
      <w:pPr>
        <w:pStyle w:val="NRGSubtitle"/>
        <w:spacing w:before="0" w:after="360"/>
        <w:jc w:val="center"/>
        <w:shd w:fill="6F42C1"/>
      </w:pPr>
      <w:r>
        <w:t>NRG answer-key format</w:t>
      </w:r>
    </w:p>
    <w:p>
      <w:pPr>
        <w:spacing w:after="160"/>
        <w:jc w:val="center"/>
      </w:pPr>
      <w:r>
        <w:rPr>
          <w:b/>
          <w:color w:val="6F42C1"/>
          <w:sz w:val="22"/>
        </w:rPr>
        <w:t>Prepared for the NRG - Nursing Review Examination Guide project</w:t>
      </w:r>
    </w:p>
    <w:p>
      <w:pPr>
        <w:shd w:fill="F5F1FC"/>
        <w:spacing w:before="60" w:after="0"/>
        <w:ind w:left="173" w:right="173"/>
      </w:pPr>
      <w:r>
        <w:rPr>
          <w:b/>
          <w:sz w:val="21"/>
        </w:rPr>
        <w:t>Format used</w:t>
      </w:r>
    </w:p>
    <w:p>
      <w:pPr>
        <w:shd w:fill="F5F1FC"/>
        <w:spacing w:before="0" w:after="160"/>
        <w:ind w:left="173" w:right="173"/>
      </w:pPr>
      <w:r>
        <w:rPr>
          <w:sz w:val="21"/>
        </w:rPr>
        <w:t>Each entry follows the NRG answer-key structure: question line, highlighted correct answer line, one-paragraph rationale, topic/domain/taxonomy line, and suggestive reading line.</w:t>
      </w:r>
    </w:p>
    <w:p>
      <w:pPr>
        <w:pStyle w:val="NRGHeading"/>
        <w:spacing w:before="120" w:after="40"/>
      </w:pPr>
      <w:r>
        <w:t>Question 1. A client with suspected hyperthyroidism: which finding most strongly supports the diagnosis?</w:t>
      </w:r>
    </w:p>
    <w:p>
      <w:pPr>
        <w:spacing w:before="20" w:after="60"/>
        <w:ind w:left="115" w:right="115"/>
        <w:shd w:fill="6F42C1"/>
      </w:pPr>
      <w:r>
        <w:rPr>
          <w:rFonts w:ascii="Times New Roman" w:hAnsi="Times New Roman" w:eastAsia="Times New Roman"/>
          <w:b/>
          <w:color w:val="FFFFFF"/>
          <w:sz w:val="22"/>
        </w:rPr>
        <w:t>Correct answer: B. Tachycardia, heat intolerance, and weight loss</w:t>
      </w:r>
    </w:p>
    <w:p>
      <w:pPr>
        <w:spacing w:after="60" w:line="259" w:lineRule="auto"/>
      </w:pPr>
      <w:r>
        <w:rPr>
          <w:b/>
        </w:rPr>
        <w:t xml:space="preserve">Rationale: </w:t>
      </w:r>
      <w:r>
        <w:t>B is correct because tachycardia, heat intolerance, and weight loss reflect the increased metabolic activity seen in hyperthyroidism. A is wrong because cold intolerance and bradycardia are more consistent with hypothyroidism. C is wrong because facial oedema and slowed reflexes also suggest hypothyroidism rather than thyroid overactivity. D is wrong because dry coarse skin and constipation are features more commonly linked to reduced thyroid function.</w:t>
      </w:r>
    </w:p>
    <w:p>
      <w:pPr>
        <w:spacing w:after="40"/>
      </w:pPr>
      <w:r>
        <w:rPr>
          <w:b/>
        </w:rPr>
        <w:t xml:space="preserve">Topic: </w:t>
      </w:r>
      <w:r>
        <w:t>Endocrine / Hyperthyroidism</w:t>
      </w:r>
      <w:r>
        <w:t xml:space="preserve">    </w:t>
      </w:r>
      <w:r>
        <w:rPr>
          <w:b/>
        </w:rPr>
        <w:t xml:space="preserve">Domain: </w:t>
      </w:r>
      <w:r>
        <w:t>Nursing Practice</w:t>
      </w:r>
      <w:r>
        <w:t xml:space="preserve">    </w:t>
      </w:r>
      <w:r>
        <w:rPr>
          <w:b/>
        </w:rPr>
        <w:t xml:space="preserve">Taxonomy: </w:t>
      </w:r>
      <w:r>
        <w:t>KC</w:t>
      </w:r>
    </w:p>
    <w:p>
      <w:pPr>
        <w:spacing w:after="100" w:line="240" w:lineRule="auto"/>
      </w:pPr>
      <w:r>
        <w:rPr>
          <w:b/>
        </w:rPr>
        <w:t xml:space="preserve">Suggestive reading material: </w:t>
      </w:r>
      <w:r>
        <w:t>Review manifestations of hyperthyroidism and hypothyroidism, metabolic rate changes, and focused endocrine assessment.</w:t>
      </w:r>
    </w:p>
    <w:p>
      <w:pPr>
        <w:spacing w:after="20"/>
        <w:pBdr>
          <w:bottom w:val="single" w:sz="6" w:space="6" w:color="DDD3F2"/>
        </w:pBdr>
      </w:pPr>
    </w:p>
    <w:p>
      <w:pPr>
        <w:pStyle w:val="NRGHeading"/>
        <w:spacing w:before="120" w:after="40"/>
      </w:pPr>
      <w:r>
        <w:t>Question 2. A client with a new colostomy: which statement shows correct understanding of home care?</w:t>
      </w:r>
    </w:p>
    <w:p>
      <w:pPr>
        <w:spacing w:before="20" w:after="60"/>
        <w:ind w:left="115" w:right="115"/>
        <w:shd w:fill="6F42C1"/>
      </w:pPr>
      <w:r>
        <w:rPr>
          <w:rFonts w:ascii="Times New Roman" w:hAnsi="Times New Roman" w:eastAsia="Times New Roman"/>
          <w:b/>
          <w:color w:val="FFFFFF"/>
          <w:sz w:val="22"/>
        </w:rPr>
        <w:t>Correct answer: B. “I will drink fluids and add foods gradually while checking how I tolerate them.”</w:t>
      </w:r>
    </w:p>
    <w:p>
      <w:pPr>
        <w:spacing w:after="60" w:line="259" w:lineRule="auto"/>
      </w:pPr>
      <w:r>
        <w:rPr>
          <w:b/>
        </w:rPr>
        <w:t xml:space="preserve">Rationale: </w:t>
      </w:r>
      <w:r>
        <w:t>B is correct because adequate fluids and gradual food reintroduction help support bowel adaptation and allow the client to identify foods that are well tolerated. A is wrong because stool output should resume; prolonged absence of output would require further assessment rather than be expected. C is wrong because a pouch opening that is too large exposes surrounding skin to effluent and increases irritation risk. D is wrong because odour may relate to foods, pouch seal, or emptying schedule and does not always indicate infection.</w:t>
      </w:r>
    </w:p>
    <w:p>
      <w:pPr>
        <w:spacing w:after="40"/>
      </w:pPr>
      <w:r>
        <w:rPr>
          <w:b/>
        </w:rPr>
        <w:t xml:space="preserve">Topic: </w:t>
      </w:r>
      <w:r>
        <w:t>Gastrointestinal / Colostomy Care</w:t>
      </w:r>
      <w:r>
        <w:t xml:space="preserve">    </w:t>
      </w:r>
      <w:r>
        <w:rPr>
          <w:b/>
        </w:rPr>
        <w:t xml:space="preserve">Domain: </w:t>
      </w:r>
      <w:r>
        <w:t>Health Promotion and Maintenance of Wellness</w:t>
      </w:r>
      <w:r>
        <w:t xml:space="preserve">    </w:t>
      </w:r>
      <w:r>
        <w:rPr>
          <w:b/>
        </w:rPr>
        <w:t xml:space="preserve">Taxonomy: </w:t>
      </w:r>
      <w:r>
        <w:t>AP</w:t>
      </w:r>
    </w:p>
    <w:p>
      <w:pPr>
        <w:spacing w:after="100" w:line="240" w:lineRule="auto"/>
      </w:pPr>
      <w:r>
        <w:rPr>
          <w:b/>
        </w:rPr>
        <w:t xml:space="preserve">Suggestive reading material: </w:t>
      </w:r>
      <w:r>
        <w:t>Review colostomy home care, fluid intake, diet progression, pouch fitting, and signs of complications.</w:t>
      </w:r>
    </w:p>
    <w:p>
      <w:pPr>
        <w:spacing w:after="20"/>
        <w:pBdr>
          <w:bottom w:val="single" w:sz="6" w:space="6" w:color="DDD3F2"/>
        </w:pBdr>
      </w:pPr>
    </w:p>
    <w:p>
      <w:pPr>
        <w:pStyle w:val="NRGHeading"/>
        <w:spacing w:before="120" w:after="40"/>
      </w:pPr>
      <w:r>
        <w:t>Question 3. Who is primarily responsible for maintaining continuing education hours for professional growth and re-licensure?</w:t>
      </w:r>
    </w:p>
    <w:p>
      <w:pPr>
        <w:spacing w:before="20" w:after="60"/>
        <w:ind w:left="115" w:right="115"/>
        <w:shd w:fill="6F42C1"/>
      </w:pPr>
      <w:r>
        <w:rPr>
          <w:rFonts w:ascii="Times New Roman" w:hAnsi="Times New Roman" w:eastAsia="Times New Roman"/>
          <w:b/>
          <w:color w:val="FFFFFF"/>
          <w:sz w:val="22"/>
        </w:rPr>
        <w:t>Correct answer: A. The individual nurse</w:t>
      </w:r>
    </w:p>
    <w:p>
      <w:pPr>
        <w:spacing w:after="60" w:line="259" w:lineRule="auto"/>
      </w:pPr>
      <w:r>
        <w:rPr>
          <w:b/>
        </w:rPr>
        <w:t xml:space="preserve">Rationale: </w:t>
      </w:r>
      <w:r>
        <w:t>A is correct because maintaining competence, pursuing continuing education, and meeting re-licensure requirements are professional responsibilities of the individual nurse. B is wrong because an employer may support development, but the responsibility cannot be transferred entirely to administration. C is wrong because clerical staff have no professional duty to maintain a nurse’s licensure requirements. D is wrong because the client’s physician is not accountable for the nurse’s continuing education or renewal process.</w:t>
      </w:r>
    </w:p>
    <w:p>
      <w:pPr>
        <w:spacing w:after="40"/>
      </w:pPr>
      <w:r>
        <w:rPr>
          <w:b/>
        </w:rPr>
        <w:t xml:space="preserve">Topic: </w:t>
      </w:r>
      <w:r>
        <w:t>Professional Development / Continuing Education</w:t>
      </w:r>
      <w:r>
        <w:t xml:space="preserve">    </w:t>
      </w:r>
      <w:r>
        <w:rPr>
          <w:b/>
        </w:rPr>
        <w:t xml:space="preserve">Domain: </w:t>
      </w:r>
      <w:r>
        <w:t>Professional Development</w:t>
      </w:r>
      <w:r>
        <w:t xml:space="preserve">    </w:t>
      </w:r>
      <w:r>
        <w:rPr>
          <w:b/>
        </w:rPr>
        <w:t xml:space="preserve">Taxonomy: </w:t>
      </w:r>
      <w:r>
        <w:t>KC</w:t>
      </w:r>
    </w:p>
    <w:p>
      <w:pPr>
        <w:spacing w:after="100" w:line="240" w:lineRule="auto"/>
      </w:pPr>
      <w:r>
        <w:rPr>
          <w:b/>
        </w:rPr>
        <w:t xml:space="preserve">Suggestive reading material: </w:t>
      </w:r>
      <w:r>
        <w:t>Review professional accountability, re-licensure expectations, and the nurse’s responsibility for continuing competence.</w:t>
      </w:r>
    </w:p>
    <w:p>
      <w:pPr>
        <w:spacing w:after="20"/>
        <w:pBdr>
          <w:bottom w:val="single" w:sz="6" w:space="6" w:color="DDD3F2"/>
        </w:pBdr>
      </w:pPr>
    </w:p>
    <w:p>
      <w:pPr>
        <w:pStyle w:val="NRGHeading"/>
        <w:spacing w:before="120" w:after="40"/>
      </w:pPr>
      <w:r>
        <w:t>Question 4. A competent client has not given permission to share a diagnosis with her sister. Which nursing response is most appropriate?</w:t>
      </w:r>
    </w:p>
    <w:p>
      <w:pPr>
        <w:spacing w:before="20" w:after="60"/>
        <w:ind w:left="115" w:right="115"/>
        <w:shd w:fill="6F42C1"/>
      </w:pPr>
      <w:r>
        <w:rPr>
          <w:rFonts w:ascii="Times New Roman" w:hAnsi="Times New Roman" w:eastAsia="Times New Roman"/>
          <w:b/>
          <w:color w:val="FFFFFF"/>
          <w:sz w:val="22"/>
        </w:rPr>
        <w:t>Correct answer: B. “I cannot share that information without the client’s permission.”</w:t>
      </w:r>
    </w:p>
    <w:p>
      <w:pPr>
        <w:spacing w:after="60" w:line="259" w:lineRule="auto"/>
      </w:pPr>
      <w:r>
        <w:rPr>
          <w:b/>
        </w:rPr>
        <w:t xml:space="preserve">Rationale: </w:t>
      </w:r>
      <w:r>
        <w:t>B is correct because it clearly protects confidentiality and respects the competent client’s right to control disclosure of personal health information. A is wrong because it is supportive but does not directly state the nurse’s duty to keep the information private. C is wrong because redirecting the family to the doctor avoids the issue and does not address the confidentiality limit. D is wrong because giving partial information is still a breach of confidentiality.</w:t>
      </w:r>
    </w:p>
    <w:p>
      <w:pPr>
        <w:spacing w:after="40"/>
      </w:pPr>
      <w:r>
        <w:rPr>
          <w:b/>
        </w:rPr>
        <w:t xml:space="preserve">Topic: </w:t>
      </w:r>
      <w:r>
        <w:t>Legal and Ethical Nursing / Confidentiality</w:t>
      </w:r>
      <w:r>
        <w:t xml:space="preserve">    </w:t>
      </w:r>
      <w:r>
        <w:rPr>
          <w:b/>
        </w:rPr>
        <w:t xml:space="preserve">Domain: </w:t>
      </w:r>
      <w:r>
        <w:t>Professional Conduct</w:t>
      </w:r>
      <w:r>
        <w:t xml:space="preserve">    </w:t>
      </w:r>
      <w:r>
        <w:rPr>
          <w:b/>
        </w:rPr>
        <w:t xml:space="preserve">Taxonomy: </w:t>
      </w:r>
      <w:r>
        <w:t>AP</w:t>
      </w:r>
    </w:p>
    <w:p>
      <w:pPr>
        <w:spacing w:after="100" w:line="240" w:lineRule="auto"/>
      </w:pPr>
      <w:r>
        <w:rPr>
          <w:b/>
        </w:rPr>
        <w:t xml:space="preserve">Suggestive reading material: </w:t>
      </w:r>
      <w:r>
        <w:t>Review confidentiality, privacy, informed disclosure, and the nurse’s legal and ethical duty to protect client information.</w:t>
      </w:r>
    </w:p>
    <w:p>
      <w:pPr>
        <w:spacing w:after="20"/>
        <w:pBdr>
          <w:bottom w:val="single" w:sz="6" w:space="6" w:color="DDD3F2"/>
        </w:pBdr>
      </w:pPr>
    </w:p>
    <w:p>
      <w:pPr>
        <w:pStyle w:val="NRGHeading"/>
        <w:spacing w:before="120" w:after="40"/>
      </w:pPr>
      <w:r>
        <w:t>Question 5. Why is glucose added to peritoneal dialysis solution?</w:t>
      </w:r>
    </w:p>
    <w:p>
      <w:pPr>
        <w:spacing w:before="20" w:after="60"/>
        <w:ind w:left="115" w:right="115"/>
        <w:shd w:fill="6F42C1"/>
      </w:pPr>
      <w:r>
        <w:rPr>
          <w:rFonts w:ascii="Times New Roman" w:hAnsi="Times New Roman" w:eastAsia="Times New Roman"/>
          <w:b/>
          <w:color w:val="FFFFFF"/>
          <w:sz w:val="22"/>
        </w:rPr>
        <w:t>Correct answer: B. It increases osmotic pressure so excess fluid moves out of the bloodstream.</w:t>
      </w:r>
    </w:p>
    <w:p>
      <w:pPr>
        <w:spacing w:after="60" w:line="259" w:lineRule="auto"/>
      </w:pPr>
      <w:r>
        <w:rPr>
          <w:b/>
        </w:rPr>
        <w:t xml:space="preserve">Rationale: </w:t>
      </w:r>
      <w:r>
        <w:t>B is correct because glucose creates an osmotic gradient that pulls excess fluid from the bloodstream into the peritoneal cavity for removal during drainage. A is wrong because infection prevention depends on aseptic technique, not on the glucose content of the solution. C is wrong because electrolyte balance is influenced by the total dialysate composition, but glucose is added mainly for ultrafiltration rather than for electrolyte control. D is wrong because glucose does not primarily function to reduce protein loss.</w:t>
      </w:r>
    </w:p>
    <w:p>
      <w:pPr>
        <w:spacing w:after="40"/>
      </w:pPr>
      <w:r>
        <w:rPr>
          <w:b/>
        </w:rPr>
        <w:t xml:space="preserve">Topic: </w:t>
      </w:r>
      <w:r>
        <w:t>Renal / Peritoneal Dialysis</w:t>
      </w:r>
      <w:r>
        <w:t xml:space="preserve">    </w:t>
      </w:r>
      <w:r>
        <w:rPr>
          <w:b/>
        </w:rPr>
        <w:t xml:space="preserve">Domain: </w:t>
      </w:r>
      <w:r>
        <w:t>Nursing Practice</w:t>
      </w:r>
      <w:r>
        <w:t xml:space="preserve">    </w:t>
      </w:r>
      <w:r>
        <w:rPr>
          <w:b/>
        </w:rPr>
        <w:t xml:space="preserve">Taxonomy: </w:t>
      </w:r>
      <w:r>
        <w:t>AP</w:t>
      </w:r>
    </w:p>
    <w:p>
      <w:pPr>
        <w:spacing w:after="100" w:line="240" w:lineRule="auto"/>
      </w:pPr>
      <w:r>
        <w:rPr>
          <w:b/>
        </w:rPr>
        <w:t xml:space="preserve">Suggestive reading material: </w:t>
      </w:r>
      <w:r>
        <w:t>Review principles of peritoneal dialysis, ultrafiltration, dialysate composition, and nursing monitoring of fluid balance.</w:t>
      </w:r>
    </w:p>
    <w:p>
      <w:pPr>
        <w:spacing w:after="20"/>
        <w:pBdr>
          <w:bottom w:val="single" w:sz="6" w:space="6" w:color="DDD3F2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66666"/>
        <w:sz w:val="18"/>
      </w:rPr>
      <w:t>NRG</w:t>
    </w:r>
    <w:r>
      <w:rPr>
        <w:rFonts w:ascii="Times New Roman" w:hAnsi="Times New Roman" w:eastAsia="Times New Roman"/>
        <w:color w:val="666666"/>
        <w:sz w:val="18"/>
      </w:rPr>
      <w:t xml:space="preserve">  |  Page </w:t>
    </w:r>
    <w:r>
      <w:rPr>
        <w:rFonts w:ascii="Times New Roman" w:hAnsi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666666"/>
        <w:sz w:val="18"/>
      </w:rPr>
      <w:t>NRG Answer Key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RGTitle">
    <w:name w:val="NRG Title"/>
    <w:basedOn w:val="Normal"/>
    <w:rPr>
      <w:rFonts w:ascii="Times New Roman" w:hAnsi="Times New Roman" w:eastAsia="Times New Roman"/>
      <w:b/>
      <w:color w:val="FFFFFF"/>
      <w:sz w:val="40"/>
    </w:rPr>
  </w:style>
  <w:style w:type="paragraph" w:customStyle="1" w:styleId="NRGSubtitle">
    <w:name w:val="NRG Subtitle"/>
    <w:basedOn w:val="Normal"/>
    <w:rPr>
      <w:rFonts w:ascii="Times New Roman" w:hAnsi="Times New Roman" w:eastAsia="Times New Roman"/>
      <w:color w:val="FFFFFF"/>
      <w:sz w:val="21"/>
    </w:rPr>
  </w:style>
  <w:style w:type="paragraph" w:customStyle="1" w:styleId="NRGHeading">
    <w:name w:val="NRG Heading"/>
    <w:basedOn w:val="Normal"/>
    <w:rPr>
      <w:rFonts w:ascii="Times New Roman" w:hAnsi="Times New Roman" w:eastAsia="Times New Roman"/>
      <w:b/>
      <w:color w:val="6F42C1"/>
      <w:sz w:val="26"/>
    </w:rPr>
  </w:style>
  <w:style w:type="paragraph" w:customStyle="1" w:styleId="NRGSmall">
    <w:name w:val="NRG Small"/>
    <w:basedOn w:val="Normal"/>
    <w:rPr>
      <w:rFonts w:ascii="Times New Roman" w:hAnsi="Times New Roman" w:eastAsia="Times New Roman"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