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Times New Roman" w:hAnsi="Times New Roman"/>
          <w:b/>
          <w:color w:val="3F337A"/>
          <w:sz w:val="40"/>
        </w:rPr>
        <w:t>Summary of RENR Topics, Domains,</w:t>
        <w:br/>
        <w:t>and Taxonomy Percentages</w:t>
      </w:r>
    </w:p>
    <w:p>
      <w:pPr>
        <w:spacing w:after="360"/>
        <w:jc w:val="center"/>
      </w:pPr>
      <w:r>
        <w:rPr>
          <w:rFonts w:ascii="Times New Roman" w:hAnsi="Times New Roman"/>
          <w:i/>
          <w:color w:val="5A5A5A"/>
          <w:sz w:val="22"/>
        </w:rPr>
        <w:t>Prepared from the uploaded RENR topic summary document</w:t>
      </w:r>
    </w:p>
    <w:p>
      <w:pPr>
        <w:spacing w:after="400"/>
        <w:jc w:val="center"/>
      </w:pPr>
      <w:r>
        <w:rPr>
          <w:rFonts w:ascii="Times New Roman" w:hAnsi="Times New Roman"/>
          <w:color w:val="AAAAAA"/>
          <w:sz w:val="24"/>
        </w:rPr>
        <w:t>____________________________________________</w:t>
      </w:r>
    </w:p>
    <w:p>
      <w:pPr>
        <w:spacing w:line="288" w:lineRule="auto" w:after="240"/>
        <w:ind w:left="720" w:right="720"/>
        <w:jc w:val="center"/>
      </w:pPr>
      <w:r>
        <w:rPr>
          <w:rFonts w:ascii="Times New Roman" w:hAnsi="Times New Roman"/>
          <w:sz w:val="22"/>
        </w:rPr>
        <w:t>This document summarizes the grouped 50-topic study list, the official RENR domain weightings, and the official cognitive taxonomy weightings in paragraph format with no tables.</w:t>
      </w:r>
    </w:p>
    <w:p>
      <w:r>
        <w:br w:type="page"/>
      </w:r>
    </w:p>
    <w:p>
      <w:pPr>
        <w:pStyle w:val="Heading1"/>
      </w:pPr>
      <w:r>
        <w:t>1. Topic Summary by Study Cluster</w:t>
      </w:r>
    </w:p>
    <w:p>
      <w:pPr>
        <w:spacing w:before="0" w:after="160" w:line="276" w:lineRule="auto"/>
      </w:pPr>
      <w:r>
        <w:rPr>
          <w:rFonts w:ascii="Times New Roman" w:hAnsi="Times New Roman"/>
          <w:sz w:val="22"/>
        </w:rPr>
        <w:t>The 50 high-yield RENR topics can be grouped into five practical study clusters. The percentages in this section are derived from the 50-topic list itself. They reflect how many topics fall into each cluster and are useful for study planning, but they should not be confused with the official exam blueprint percentages.</w:t>
      </w:r>
    </w:p>
    <w:p>
      <w:pPr>
        <w:pStyle w:val="Heading2"/>
      </w:pPr>
      <w:r>
        <w:t>A. Medical-Surgical and Community Health Priorities - 15 topics (30%)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sz w:val="22"/>
        </w:rPr>
        <w:t>Topics included in this cluster: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Hypertension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Acute coronary syndrome / myocardial infarction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Heart failure and fluid overload/perfusion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Cerebrovascular disease (stroke/TIA)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Endocrine and metabolic disorders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Renal disorders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Chronic respiratory disease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Tuberculosis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HIV/AIDS and stigma/confidentiality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Meningitis and neurologic infection management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Gastrointestinal and hepatobiliary disorders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Musculoskeletal disorders and infections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Trauma emergencies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Neoplastic disorders and cancer nursing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Environmental and vector-borne / zoonotic threats</w:t>
      </w:r>
    </w:p>
    <w:p/>
    <w:p>
      <w:pPr>
        <w:pStyle w:val="Heading2"/>
      </w:pPr>
      <w:r>
        <w:t>B. Safety, Infection Control, and Core Procedures - 11 topics (22%)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sz w:val="22"/>
        </w:rPr>
        <w:t>Topics included in this cluster: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Infection prevention and communicable disease control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Medication administration safety and storage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Dosage calculations and IV flow rate math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IV therapy and infusion monitoring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Oxygen therapy and respiratory assessment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Airway clearance and respiratory procedures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CPR and emergency response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Wound care and aseptic technique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Skin integrity and pressure injury prevention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Fluid balance and intake/output management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Nutrition support and feeding</w:t>
      </w:r>
    </w:p>
    <w:p/>
    <w:p>
      <w:pPr>
        <w:pStyle w:val="Heading2"/>
      </w:pPr>
      <w:r>
        <w:t>C. Maternal-Child and Family Nursing - 11 topics (22%)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sz w:val="22"/>
        </w:rPr>
        <w:t>Topics included in this cluster: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Antenatal care and high-risk pregnancy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Obstetric emergencies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Intrapartum care and delivery preparation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Postpartum assessment and care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Newborn immediate care and basic assessment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Neonatal jaundice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Pediatric growth and development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Pediatric diarrheal disease and dehydration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Pediatric respiratory disorders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Child injury prevention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Child abuse recognition and safeguarding</w:t>
      </w:r>
    </w:p>
    <w:p/>
    <w:p>
      <w:pPr>
        <w:pStyle w:val="Heading2"/>
      </w:pPr>
      <w:r>
        <w:t>D. Management, Legal, and Professionalism - 7 topics (14%)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sz w:val="22"/>
        </w:rPr>
        <w:t>Topics included in this cluster: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Nursing process and care planning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Holistic assessment and vital sign interpretation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Clinical decision making and prioritization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Delegation, assignment, and supervision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Nursing leadership and management of resources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Professional conduct and ethical decision making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Legal nursing practice</w:t>
      </w:r>
    </w:p>
    <w:p/>
    <w:p>
      <w:pPr>
        <w:pStyle w:val="Heading2"/>
      </w:pPr>
      <w:r>
        <w:t>E. Psychosocial and Therapeutic Communication - 6 topics (12%)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sz w:val="22"/>
        </w:rPr>
        <w:t>Topics included in this cluster: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Therapeutic communication and counselling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Schizophrenia and psychosis nursing management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Anxiety, depression, and coping mechanisms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Substance abuse and withdrawal safety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Family dynamics and counselling during illness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Cultural competence and health beliefs affecting adherence</w:t>
      </w:r>
    </w:p>
    <w:p/>
    <w:p>
      <w:pPr>
        <w:pStyle w:val="Heading1"/>
      </w:pPr>
      <w:r>
        <w:t>2. Official RENR Domain Percentages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The official RENR blueprint gives seven testing domains. These percentages reflect the exam blueprint and should guide revision emphasis.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Nursing Practice (NP) - 30%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Clinical Decision Making and Intervention (CDM) - 20%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Nursing Leadership and Management (NLM) - 15%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Professional Conduct (PC) - 10%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Health Promotion and Maintenance of Wellness (HPMW) - 10%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Communication (COM) - 10%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Professional Development (PD) - 5%</w:t>
      </w:r>
    </w:p>
    <w:p>
      <w:pPr>
        <w:spacing w:before="40" w:after="200" w:line="276" w:lineRule="auto"/>
      </w:pPr>
      <w:r>
        <w:rPr>
          <w:rFonts w:ascii="Times New Roman" w:hAnsi="Times New Roman"/>
          <w:sz w:val="22"/>
        </w:rPr>
        <w:t>The largest official emphasis is therefore on Nursing Practice and Clinical Decision Making and Intervention. Together, these two domains account for 50% of the examination.</w:t>
      </w:r>
    </w:p>
    <w:p>
      <w:pPr>
        <w:pStyle w:val="Heading1"/>
      </w:pPr>
      <w:r>
        <w:t>3. Official Cognitive Taxonomy Percentages</w:t>
      </w:r>
    </w:p>
    <w:p>
      <w:pPr>
        <w:spacing w:before="0" w:after="120" w:line="276" w:lineRule="auto"/>
      </w:pPr>
      <w:r>
        <w:rPr>
          <w:rFonts w:ascii="Times New Roman" w:hAnsi="Times New Roman"/>
          <w:sz w:val="22"/>
        </w:rPr>
        <w:t>The official cognitive weighting shows that the exam emphasizes application more than simple recall. The taxonomy percentages are as follows: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Application (AP) - 50%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Analysis / Synthesis / Evaluation (ASE) - 30%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Knowledge / Comprehension (KC) - 20%</w:t>
      </w:r>
    </w:p>
    <w:p>
      <w:pPr>
        <w:spacing w:before="40" w:after="200" w:line="276" w:lineRule="auto"/>
      </w:pPr>
      <w:r>
        <w:rPr>
          <w:rFonts w:ascii="Times New Roman" w:hAnsi="Times New Roman"/>
          <w:sz w:val="22"/>
        </w:rPr>
        <w:t>This means students should expect many questions framed as first, best, priority, next, or most appropriate nursing action items, rather than questions that only test memorization.</w:t>
      </w:r>
    </w:p>
    <w:p>
      <w:pPr>
        <w:pStyle w:val="Heading1"/>
      </w:pPr>
      <w:r>
        <w:t>4. Practical Interpretation for Study Planning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The 50-topic study list is broad, but the strongest concentration falls under medical-surgical and community health priorities.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The official exam blueprint places its heaviest weight on Nursing Practice and Clinical Decision Making and Intervention.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The taxonomy weighting shows that safe application of knowledge is the most important cognitive level.</w:t>
      </w:r>
    </w:p>
    <w:p>
      <w:pPr>
        <w:pStyle w:val="ListBullet"/>
        <w:spacing w:before="0" w:after="40" w:line="269" w:lineRule="auto"/>
        <w:ind w:left="317"/>
      </w:pPr>
      <w:r>
        <w:rPr>
          <w:rFonts w:ascii="Times New Roman" w:hAnsi="Times New Roman"/>
          <w:sz w:val="22"/>
        </w:rPr>
        <w:t>Students should therefore spend substantial time on scenario-based questions, prioritization, delegation, safety, communication, and patient-centered application of principles.</w:t>
      </w:r>
    </w:p>
    <w:p>
      <w:pPr>
        <w:pStyle w:val="Heading1"/>
      </w:pPr>
      <w:r>
        <w:t>5. Source Note</w:t>
      </w:r>
    </w:p>
    <w:p>
      <w:pPr>
        <w:spacing w:before="0" w:after="80" w:line="276" w:lineRule="auto"/>
      </w:pPr>
      <w:r>
        <w:rPr>
          <w:rFonts w:ascii="Times New Roman" w:hAnsi="Times New Roman"/>
          <w:sz w:val="22"/>
        </w:rPr>
        <w:t xml:space="preserve">This summary was prepared from the uploaded file titled </w:t>
      </w:r>
      <w:r>
        <w:rPr>
          <w:rFonts w:ascii="Times New Roman" w:hAnsi="Times New Roman"/>
          <w:i/>
          <w:sz w:val="22"/>
        </w:rPr>
        <w:t>Fifty High-Yield RENR Topics for Exam Study</w:t>
      </w:r>
      <w:r>
        <w:rPr>
          <w:rFonts w:ascii="Times New Roman" w:hAnsi="Times New Roman"/>
          <w:sz w:val="22"/>
        </w:rPr>
        <w:t>, together with the official RENR blueprint information cited in that document.</w:t>
      </w:r>
    </w:p>
    <w:p>
      <w:pPr>
        <w:spacing w:before="0" w:after="40" w:line="276" w:lineRule="auto"/>
      </w:pPr>
      <w:r>
        <w:rPr>
          <w:rFonts w:ascii="Times New Roman" w:hAnsi="Times New Roman"/>
          <w:sz w:val="22"/>
        </w:rPr>
        <w:t xml:space="preserve">Included source reference: </w:t>
      </w:r>
      <w:r>
        <w:rPr>
          <w:rFonts w:ascii="Times New Roman" w:hAnsi="Times New Roman"/>
          <w:b/>
          <w:sz w:val="22"/>
        </w:rPr>
        <w:t>Fifty High-Yield RENR Topics for Exam Study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t xml:space="preserve">Page </w:t>
    </w: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F33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3F33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