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DejaVu Serif" w:hAnsi="DejaVu Serif"/>
          <w:b/>
          <w:color w:val="412B6C"/>
          <w:sz w:val="44"/>
        </w:rPr>
        <w:t>RENR Written Exam</w:t>
        <w:br/>
      </w:r>
      <w:r>
        <w:rPr>
          <w:rFonts w:ascii="Lato" w:hAnsi="Lato"/>
          <w:i/>
          <w:color w:val="008080"/>
          <w:sz w:val="26"/>
        </w:rPr>
        <w:t>7 Domains Summary Using One Shared Caribbean Patient Theme</w:t>
      </w:r>
    </w:p>
    <w:p>
      <w:pPr>
        <w:jc w:val="left"/>
      </w:pPr>
      <w:r>
        <w:rPr>
          <w:rFonts w:ascii="Lato" w:hAnsi="Lato"/>
          <w:b/>
          <w:color w:val="BE8C28"/>
          <w:sz w:val="22"/>
        </w:rPr>
        <w:t xml:space="preserve">Common patient theme: </w:t>
      </w:r>
      <w:r>
        <w:rPr>
          <w:rFonts w:ascii="Lato" w:hAnsi="Lato"/>
          <w:b w:val="0"/>
          <w:color w:val="191919"/>
          <w:sz w:val="22"/>
        </w:rPr>
        <w:t xml:space="preserve">Adult Caribbean patient with </w:t>
      </w:r>
      <w:r>
        <w:rPr>
          <w:rFonts w:ascii="Lato" w:hAnsi="Lato"/>
          <w:b/>
          <w:color w:val="AD2E2E"/>
          <w:sz w:val="22"/>
        </w:rPr>
        <w:t>Type 2 Diabetes Mellitus</w:t>
      </w:r>
      <w:r>
        <w:rPr>
          <w:rFonts w:ascii="Lato" w:hAnsi="Lato"/>
          <w:b w:val="0"/>
          <w:color w:val="191919"/>
          <w:sz w:val="22"/>
        </w:rPr>
        <w:t xml:space="preserve"> and </w:t>
      </w:r>
      <w:r>
        <w:rPr>
          <w:rFonts w:ascii="Lato" w:hAnsi="Lato"/>
          <w:b/>
          <w:color w:val="AD2E2E"/>
          <w:sz w:val="22"/>
        </w:rPr>
        <w:t>Hypertension</w:t>
      </w:r>
      <w:r>
        <w:rPr>
          <w:rFonts w:ascii="Lato" w:hAnsi="Lato"/>
          <w:b w:val="0"/>
          <w:color w:val="191919"/>
          <w:sz w:val="22"/>
        </w:rPr>
        <w:t>.</w:t>
      </w:r>
    </w:p>
    <w:tbl>
      <w:tblPr>
        <w:tblW w:type="auto" w:w="0"/>
        <w:jc w:val="center"/>
        <w:tblLayout w:type="autofit"/>
        <w:tblLook w:firstColumn="1" w:firstRow="1" w:lastColumn="0" w:lastRow="0" w:noHBand="0" w:noVBand="1" w:val="04A0"/>
      </w:tblPr>
      <w:tblGrid>
        <w:gridCol w:w="10224"/>
      </w:tblGrid>
      <w:tr>
        <w:tc>
          <w:tcPr>
            <w:tcW w:type="dxa" w:w="10224"/>
            <w:shd w:fill="EEE8F8"/>
            <w:tcMar>
              <w:top w:w="120" w:type="dxa"/>
              <w:start w:w="140" w:type="dxa"/>
              <w:bottom w:w="120" w:type="dxa"/>
              <w:end w:w="140" w:type="dxa"/>
            </w:tcMar>
            <w:vAlign w:val="center"/>
          </w:tcPr>
          <w:p>
            <w:pPr>
              <w:jc w:val="left"/>
            </w:pPr>
            <w:r>
              <w:rPr>
                <w:rFonts w:ascii="Lato" w:hAnsi="Lato"/>
                <w:b/>
                <w:color w:val="5F3F91"/>
                <w:sz w:val="21"/>
              </w:rPr>
              <w:t xml:space="preserve">How to use this handout: </w:t>
            </w:r>
            <w:r>
              <w:rPr>
                <w:rFonts w:ascii="Lato" w:hAnsi="Lato"/>
                <w:b w:val="0"/>
                <w:color w:val="191919"/>
                <w:sz w:val="21"/>
              </w:rPr>
              <w:t xml:space="preserve">Each section explains a RENR domain, then shows </w:t>
            </w:r>
            <w:r>
              <w:rPr>
                <w:rFonts w:ascii="Lato" w:hAnsi="Lato"/>
                <w:b/>
                <w:color w:val="008080"/>
                <w:sz w:val="21"/>
              </w:rPr>
              <w:t>one MCQ example</w:t>
            </w:r>
            <w:r>
              <w:rPr>
                <w:rFonts w:ascii="Lato" w:hAnsi="Lato"/>
                <w:b w:val="0"/>
                <w:color w:val="191919"/>
                <w:sz w:val="21"/>
              </w:rPr>
              <w:t xml:space="preserve"> based on the same patient theme. The goal is to help students see that the </w:t>
            </w:r>
            <w:r>
              <w:rPr>
                <w:rFonts w:ascii="Lato" w:hAnsi="Lato"/>
                <w:b/>
                <w:color w:val="AD2E2E"/>
                <w:sz w:val="21"/>
              </w:rPr>
              <w:t>domain focus changes the angle of the question</w:t>
            </w:r>
            <w:r>
              <w:rPr>
                <w:rFonts w:ascii="Lato" w:hAnsi="Lato"/>
                <w:b w:val="0"/>
                <w:color w:val="191919"/>
                <w:sz w:val="21"/>
              </w:rPr>
              <w:t>, even when the disease topic stays the same.</w:t>
            </w:r>
          </w:p>
        </w:tc>
      </w:tr>
    </w:tbl>
    <w:p/>
    <w:p>
      <w:r>
        <w:rPr>
          <w:rFonts w:ascii="DejaVu Serif" w:hAnsi="DejaVu Serif"/>
          <w:b/>
          <w:color w:val="5F3F91"/>
          <w:sz w:val="30"/>
        </w:rPr>
        <w:t>1) Nursing Practice (NP)</w:t>
      </w:r>
    </w:p>
    <w:tbl>
      <w:tblPr>
        <w:tblW w:type="auto" w:w="0"/>
        <w:jc w:val="center"/>
        <w:tblLook w:firstColumn="1" w:firstRow="1" w:lastColumn="0" w:lastRow="0" w:noHBand="0" w:noVBand="1" w:val="04A0"/>
      </w:tblPr>
      <w:tblGrid>
        <w:gridCol w:w="10224"/>
      </w:tblGrid>
      <w:tr>
        <w:tc>
          <w:tcPr>
            <w:tcW w:type="dxa" w:w="10224"/>
            <w:shd w:fill="EEE8F8"/>
            <w:tcMar>
              <w:top w:w="110" w:type="dxa"/>
              <w:start w:w="130" w:type="dxa"/>
              <w:bottom w:w="110" w:type="dxa"/>
              <w:end w:w="130" w:type="dxa"/>
            </w:tcMar>
          </w:tcPr>
          <w:p>
            <w:r>
              <w:rPr>
                <w:rFonts w:ascii="Lato" w:hAnsi="Lato"/>
                <w:b/>
                <w:color w:val="5F3F91"/>
                <w:sz w:val="21"/>
              </w:rPr>
              <w:t xml:space="preserve">Domain summary: </w:t>
            </w:r>
            <w:r>
              <w:rPr>
                <w:rFonts w:ascii="Lato" w:hAnsi="Lato"/>
                <w:color w:val="191919"/>
                <w:sz w:val="21"/>
              </w:rPr>
              <w:t>Nursing Practice focuses on safe, holistic, evidence-based care using the nursing process. It tests whether the nurse can assess accurately, recognize relevant data, identify care needs, and perform appropriate nursing actions.</w:t>
            </w:r>
          </w:p>
        </w:tc>
      </w:tr>
    </w:tbl>
    <w:p>
      <w:r>
        <w:rPr>
          <w:rFonts w:ascii="Lato" w:hAnsi="Lato"/>
          <w:b/>
          <w:color w:val="008080"/>
          <w:sz w:val="22"/>
        </w:rPr>
        <w:t>MCQ Example</w:t>
        <w:br/>
      </w:r>
      <w:r>
        <w:rPr>
          <w:rFonts w:ascii="Lato" w:hAnsi="Lato"/>
          <w:sz w:val="21"/>
        </w:rPr>
        <w:t>A 58-year-old man with Type 2 Diabetes Mellitus and hypertension is admitted to the medical ward. The nurse notes that he has a blood pressure of 168/96 mmHg, a fasting blood glucose of 15.2 mmol/L, and a small wound on the sole of his foot. Which nursing action is most appropriate during the initial assessment?</w:t>
      </w:r>
    </w:p>
    <w:p>
      <w:pPr>
        <w:ind w:left="288"/>
      </w:pPr>
      <w:r>
        <w:rPr>
          <w:rFonts w:ascii="Lato" w:hAnsi="Lato"/>
          <w:b/>
          <w:color w:val="5F3F91"/>
          <w:sz w:val="21"/>
        </w:rPr>
        <w:t xml:space="preserve">A. </w:t>
      </w:r>
      <w:r>
        <w:rPr>
          <w:rFonts w:ascii="Lato" w:hAnsi="Lato"/>
          <w:sz w:val="21"/>
        </w:rPr>
        <w:t>Teach the client about long-term complications of diabetes</w:t>
      </w:r>
    </w:p>
    <w:p>
      <w:pPr>
        <w:ind w:left="288"/>
      </w:pPr>
      <w:r>
        <w:rPr>
          <w:rFonts w:ascii="Lato" w:hAnsi="Lato"/>
          <w:b/>
          <w:color w:val="5F3F91"/>
          <w:sz w:val="21"/>
        </w:rPr>
        <w:t xml:space="preserve">B. </w:t>
      </w:r>
      <w:r>
        <w:rPr>
          <w:rFonts w:ascii="Lato" w:hAnsi="Lato"/>
          <w:sz w:val="21"/>
        </w:rPr>
        <w:t>Document the findings and wait for the doctor’s review</w:t>
      </w:r>
    </w:p>
    <w:p>
      <w:pPr>
        <w:ind w:left="288"/>
      </w:pPr>
      <w:r>
        <w:rPr>
          <w:rFonts w:ascii="Lato" w:hAnsi="Lato"/>
          <w:b/>
          <w:color w:val="5F3F91"/>
          <w:sz w:val="21"/>
        </w:rPr>
        <w:t xml:space="preserve">C. </w:t>
      </w:r>
      <w:r>
        <w:rPr>
          <w:rFonts w:ascii="Lato" w:hAnsi="Lato"/>
          <w:sz w:val="21"/>
        </w:rPr>
        <w:t>Perform a focused foot assessment and assess peripheral circulation</w:t>
      </w:r>
    </w:p>
    <w:p>
      <w:pPr>
        <w:ind w:left="288"/>
      </w:pPr>
      <w:r>
        <w:rPr>
          <w:rFonts w:ascii="Lato" w:hAnsi="Lato"/>
          <w:b/>
          <w:color w:val="5F3F91"/>
          <w:sz w:val="21"/>
        </w:rPr>
        <w:t xml:space="preserve">D. </w:t>
      </w:r>
      <w:r>
        <w:rPr>
          <w:rFonts w:ascii="Lato" w:hAnsi="Lato"/>
          <w:sz w:val="21"/>
        </w:rPr>
        <w:t>Ask the client whether he usually takes herbal remedies at home</w:t>
      </w:r>
    </w:p>
    <w:tbl>
      <w:tblPr>
        <w:tblW w:type="auto" w:w="0"/>
        <w:jc w:val="center"/>
        <w:tblLook w:firstColumn="1" w:firstRow="1" w:lastColumn="0" w:lastRow="0" w:noHBand="0" w:noVBand="1" w:val="04A0"/>
      </w:tblPr>
      <w:tblGrid>
        <w:gridCol w:w="10224"/>
      </w:tblGrid>
      <w:tr>
        <w:tc>
          <w:tcPr>
            <w:tcW w:type="dxa" w:w="10224"/>
            <w:shd w:fill="F4F4F4"/>
            <w:tcMar>
              <w:top w:w="110" w:type="dxa"/>
              <w:start w:w="130" w:type="dxa"/>
              <w:bottom w:w="110" w:type="dxa"/>
              <w:end w:w="130" w:type="dxa"/>
            </w:tcMar>
          </w:tcPr>
          <w:p>
            <w:r>
              <w:t>Domain focus: This domain is testing assessment, observation, and safe nursing care. The disease is the backdrop, but the real issue is whether the nurse knows what to assess and what immediate nursing action is most appropriate.</w:t>
            </w:r>
          </w:p>
        </w:tc>
      </w:tr>
    </w:tbl>
    <w:p/>
    <w:p>
      <w:r>
        <w:rPr>
          <w:rFonts w:ascii="DejaVu Serif" w:hAnsi="DejaVu Serif"/>
          <w:b/>
          <w:color w:val="AD2E2E"/>
          <w:sz w:val="30"/>
        </w:rPr>
        <w:t>2) Professional Conduct (PC)</w:t>
      </w:r>
    </w:p>
    <w:tbl>
      <w:tblPr>
        <w:tblW w:type="auto" w:w="0"/>
        <w:jc w:val="center"/>
        <w:tblLook w:firstColumn="1" w:firstRow="1" w:lastColumn="0" w:lastRow="0" w:noHBand="0" w:noVBand="1" w:val="04A0"/>
      </w:tblPr>
      <w:tblGrid>
        <w:gridCol w:w="10224"/>
      </w:tblGrid>
      <w:tr>
        <w:tc>
          <w:tcPr>
            <w:tcW w:type="dxa" w:w="10224"/>
            <w:shd w:fill="F9EAEA"/>
            <w:tcMar>
              <w:top w:w="110" w:type="dxa"/>
              <w:start w:w="130" w:type="dxa"/>
              <w:bottom w:w="110" w:type="dxa"/>
              <w:end w:w="130" w:type="dxa"/>
            </w:tcMar>
          </w:tcPr>
          <w:p>
            <w:r>
              <w:rPr>
                <w:rFonts w:ascii="Lato" w:hAnsi="Lato"/>
                <w:b/>
                <w:color w:val="AD2E2E"/>
                <w:sz w:val="21"/>
              </w:rPr>
              <w:t xml:space="preserve">Domain summary: </w:t>
            </w:r>
            <w:r>
              <w:rPr>
                <w:rFonts w:ascii="Lato" w:hAnsi="Lato"/>
                <w:color w:val="191919"/>
                <w:sz w:val="21"/>
              </w:rPr>
              <w:t>Professional Conduct examines the nurse’s ethical and legal responsibilities. It includes confidentiality, accountability, professional standards, patient rights, and behaviour that protects the public and upholds the image of the profession.</w:t>
            </w:r>
          </w:p>
        </w:tc>
      </w:tr>
    </w:tbl>
    <w:p>
      <w:r>
        <w:rPr>
          <w:rFonts w:ascii="Lato" w:hAnsi="Lato"/>
          <w:b/>
          <w:color w:val="008080"/>
          <w:sz w:val="22"/>
        </w:rPr>
        <w:t>MCQ Example</w:t>
        <w:br/>
      </w:r>
      <w:r>
        <w:rPr>
          <w:rFonts w:ascii="Lato" w:hAnsi="Lato"/>
          <w:sz w:val="21"/>
        </w:rPr>
        <w:t>A nurse is caring for a client with Type 2 Diabetes Mellitus and hypertension. The client tells the nurse, “Please don’t tell my relatives about my illness. I’m not ready for that yet.” Later, the client’s sister asks the nurse, “What is wrong with him? Is his sugar high?” What is the nurse’s best response?</w:t>
      </w:r>
    </w:p>
    <w:p>
      <w:pPr>
        <w:ind w:left="288"/>
      </w:pPr>
      <w:r>
        <w:rPr>
          <w:rFonts w:ascii="Lato" w:hAnsi="Lato"/>
          <w:b/>
          <w:color w:val="AD2E2E"/>
          <w:sz w:val="21"/>
        </w:rPr>
        <w:t xml:space="preserve">A. </w:t>
      </w:r>
      <w:r>
        <w:rPr>
          <w:rFonts w:ascii="Lato" w:hAnsi="Lato"/>
          <w:sz w:val="21"/>
        </w:rPr>
        <w:t>“He has diabetes and high blood pressure, but he is stable.”</w:t>
      </w:r>
    </w:p>
    <w:p>
      <w:pPr>
        <w:ind w:left="288"/>
      </w:pPr>
      <w:r>
        <w:rPr>
          <w:rFonts w:ascii="Lato" w:hAnsi="Lato"/>
          <w:b/>
          <w:color w:val="AD2E2E"/>
          <w:sz w:val="21"/>
        </w:rPr>
        <w:t xml:space="preserve">B. </w:t>
      </w:r>
      <w:r>
        <w:rPr>
          <w:rFonts w:ascii="Lato" w:hAnsi="Lato"/>
          <w:sz w:val="21"/>
        </w:rPr>
        <w:t>“You should ask the doctor for that information.”</w:t>
      </w:r>
    </w:p>
    <w:p>
      <w:pPr>
        <w:ind w:left="288"/>
      </w:pPr>
      <w:r>
        <w:rPr>
          <w:rFonts w:ascii="Lato" w:hAnsi="Lato"/>
          <w:b/>
          <w:color w:val="AD2E2E"/>
          <w:sz w:val="21"/>
        </w:rPr>
        <w:t xml:space="preserve">C. </w:t>
      </w:r>
      <w:r>
        <w:rPr>
          <w:rFonts w:ascii="Lato" w:hAnsi="Lato"/>
          <w:sz w:val="21"/>
        </w:rPr>
        <w:t>“I’m unable to discuss his condition without his permission.”</w:t>
      </w:r>
    </w:p>
    <w:p>
      <w:pPr>
        <w:ind w:left="288"/>
      </w:pPr>
      <w:r>
        <w:rPr>
          <w:rFonts w:ascii="Lato" w:hAnsi="Lato"/>
          <w:b/>
          <w:color w:val="AD2E2E"/>
          <w:sz w:val="21"/>
        </w:rPr>
        <w:t xml:space="preserve">D. </w:t>
      </w:r>
      <w:r>
        <w:rPr>
          <w:rFonts w:ascii="Lato" w:hAnsi="Lato"/>
          <w:sz w:val="21"/>
        </w:rPr>
        <w:t>“He will tell you when he feels comfortable.”</w:t>
      </w:r>
    </w:p>
    <w:tbl>
      <w:tblPr>
        <w:tblW w:type="auto" w:w="0"/>
        <w:jc w:val="center"/>
        <w:tblLook w:firstColumn="1" w:firstRow="1" w:lastColumn="0" w:lastRow="0" w:noHBand="0" w:noVBand="1" w:val="04A0"/>
      </w:tblPr>
      <w:tblGrid>
        <w:gridCol w:w="10224"/>
      </w:tblGrid>
      <w:tr>
        <w:tc>
          <w:tcPr>
            <w:tcW w:type="dxa" w:w="10224"/>
            <w:shd w:fill="F4F4F4"/>
            <w:tcMar>
              <w:top w:w="110" w:type="dxa"/>
              <w:start w:w="130" w:type="dxa"/>
              <w:bottom w:w="110" w:type="dxa"/>
              <w:end w:w="130" w:type="dxa"/>
            </w:tcMar>
          </w:tcPr>
          <w:p>
            <w:r>
              <w:t>Domain focus: This domain is not about disease management. It is about whether the nurse acts in an ethical and legally appropriate manner by protecting confidentiality and respecting the client’s wishes.</w:t>
            </w:r>
          </w:p>
        </w:tc>
      </w:tr>
    </w:tbl>
    <w:p/>
    <w:p>
      <w:r>
        <w:rPr>
          <w:rFonts w:ascii="DejaVu Serif" w:hAnsi="DejaVu Serif"/>
          <w:b/>
          <w:color w:val="BE8C28"/>
          <w:sz w:val="30"/>
        </w:rPr>
        <w:t>3) Health Promotion and Maintenance of Wellness (HPMW)</w:t>
      </w:r>
    </w:p>
    <w:tbl>
      <w:tblPr>
        <w:tblW w:type="auto" w:w="0"/>
        <w:jc w:val="center"/>
        <w:tblLook w:firstColumn="1" w:firstRow="1" w:lastColumn="0" w:lastRow="0" w:noHBand="0" w:noVBand="1" w:val="04A0"/>
      </w:tblPr>
      <w:tblGrid>
        <w:gridCol w:w="10224"/>
      </w:tblGrid>
      <w:tr>
        <w:tc>
          <w:tcPr>
            <w:tcW w:type="dxa" w:w="10224"/>
            <w:shd w:fill="FBF5E8"/>
            <w:tcMar>
              <w:top w:w="110" w:type="dxa"/>
              <w:start w:w="130" w:type="dxa"/>
              <w:bottom w:w="110" w:type="dxa"/>
              <w:end w:w="130" w:type="dxa"/>
            </w:tcMar>
          </w:tcPr>
          <w:p>
            <w:r>
              <w:rPr>
                <w:rFonts w:ascii="Lato" w:hAnsi="Lato"/>
                <w:b/>
                <w:color w:val="BE8C28"/>
                <w:sz w:val="21"/>
              </w:rPr>
              <w:t xml:space="preserve">Domain summary: </w:t>
            </w:r>
            <w:r>
              <w:rPr>
                <w:rFonts w:ascii="Lato" w:hAnsi="Lato"/>
                <w:color w:val="191919"/>
                <w:sz w:val="21"/>
              </w:rPr>
              <w:t>This domain focuses on prevention, patient education, healthy lifestyle choices, early intervention, and helping clients maintain wellness over time. It often appears as health teaching and reduction of long-term complications.</w:t>
            </w:r>
          </w:p>
        </w:tc>
      </w:tr>
    </w:tbl>
    <w:p>
      <w:r>
        <w:rPr>
          <w:rFonts w:ascii="Lato" w:hAnsi="Lato"/>
          <w:b/>
          <w:color w:val="008080"/>
          <w:sz w:val="22"/>
        </w:rPr>
        <w:t>MCQ Example</w:t>
        <w:br/>
      </w:r>
      <w:r>
        <w:rPr>
          <w:rFonts w:ascii="Lato" w:hAnsi="Lato"/>
          <w:sz w:val="21"/>
        </w:rPr>
        <w:t>A client with Type 2 Diabetes Mellitus and hypertension is being discharged from the clinic. Which statement by the client shows the best understanding of health promotion?</w:t>
      </w:r>
    </w:p>
    <w:p>
      <w:pPr>
        <w:ind w:left="288"/>
      </w:pPr>
      <w:r>
        <w:rPr>
          <w:rFonts w:ascii="Lato" w:hAnsi="Lato"/>
          <w:b/>
          <w:color w:val="BE8C28"/>
          <w:sz w:val="21"/>
        </w:rPr>
        <w:t xml:space="preserve">A. </w:t>
      </w:r>
      <w:r>
        <w:rPr>
          <w:rFonts w:ascii="Lato" w:hAnsi="Lato"/>
          <w:sz w:val="21"/>
        </w:rPr>
        <w:t>“Once I feel well, I can stop checking my blood pressure.”</w:t>
      </w:r>
    </w:p>
    <w:p>
      <w:pPr>
        <w:ind w:left="288"/>
      </w:pPr>
      <w:r>
        <w:rPr>
          <w:rFonts w:ascii="Lato" w:hAnsi="Lato"/>
          <w:b/>
          <w:color w:val="BE8C28"/>
          <w:sz w:val="21"/>
        </w:rPr>
        <w:t xml:space="preserve">B. </w:t>
      </w:r>
      <w:r>
        <w:rPr>
          <w:rFonts w:ascii="Lato" w:hAnsi="Lato"/>
          <w:sz w:val="21"/>
        </w:rPr>
        <w:t>“I will take my tablets only when my sugar feels high.”</w:t>
      </w:r>
    </w:p>
    <w:p>
      <w:pPr>
        <w:ind w:left="288"/>
      </w:pPr>
      <w:r>
        <w:rPr>
          <w:rFonts w:ascii="Lato" w:hAnsi="Lato"/>
          <w:b/>
          <w:color w:val="BE8C28"/>
          <w:sz w:val="21"/>
        </w:rPr>
        <w:t xml:space="preserve">C. </w:t>
      </w:r>
      <w:r>
        <w:rPr>
          <w:rFonts w:ascii="Lato" w:hAnsi="Lato"/>
          <w:sz w:val="21"/>
        </w:rPr>
        <w:t>“I need regular exercise, healthy meals, and routine follow-up even when I feel fine.”</w:t>
      </w:r>
    </w:p>
    <w:p>
      <w:pPr>
        <w:ind w:left="288"/>
      </w:pPr>
      <w:r>
        <w:rPr>
          <w:rFonts w:ascii="Lato" w:hAnsi="Lato"/>
          <w:b/>
          <w:color w:val="BE8C28"/>
          <w:sz w:val="21"/>
        </w:rPr>
        <w:t xml:space="preserve">D. </w:t>
      </w:r>
      <w:r>
        <w:rPr>
          <w:rFonts w:ascii="Lato" w:hAnsi="Lato"/>
          <w:sz w:val="21"/>
        </w:rPr>
        <w:t>“I should avoid all fruit because I have diabetes.”</w:t>
      </w:r>
    </w:p>
    <w:tbl>
      <w:tblPr>
        <w:tblW w:type="auto" w:w="0"/>
        <w:jc w:val="center"/>
        <w:tblLook w:firstColumn="1" w:firstRow="1" w:lastColumn="0" w:lastRow="0" w:noHBand="0" w:noVBand="1" w:val="04A0"/>
      </w:tblPr>
      <w:tblGrid>
        <w:gridCol w:w="10224"/>
      </w:tblGrid>
      <w:tr>
        <w:tc>
          <w:tcPr>
            <w:tcW w:type="dxa" w:w="10224"/>
            <w:shd w:fill="F4F4F4"/>
            <w:tcMar>
              <w:top w:w="110" w:type="dxa"/>
              <w:start w:w="130" w:type="dxa"/>
              <w:bottom w:w="110" w:type="dxa"/>
              <w:end w:w="130" w:type="dxa"/>
            </w:tcMar>
          </w:tcPr>
          <w:p>
            <w:r>
              <w:t>Domain focus: The emphasis here is prevention and self-management. The question is asking whether the nurse’s teaching supports healthier living and maintenance of wellness rather than just treatment of illness.</w:t>
            </w:r>
          </w:p>
        </w:tc>
      </w:tr>
    </w:tbl>
    <w:p/>
    <w:p>
      <w:r>
        <w:rPr>
          <w:rFonts w:ascii="DejaVu Serif" w:hAnsi="DejaVu Serif"/>
          <w:b/>
          <w:color w:val="008080"/>
          <w:sz w:val="30"/>
        </w:rPr>
        <w:t>4) Nursing Leadership and Management (NLM)</w:t>
      </w:r>
    </w:p>
    <w:tbl>
      <w:tblPr>
        <w:tblW w:type="auto" w:w="0"/>
        <w:jc w:val="center"/>
        <w:tblLook w:firstColumn="1" w:firstRow="1" w:lastColumn="0" w:lastRow="0" w:noHBand="0" w:noVBand="1" w:val="04A0"/>
      </w:tblPr>
      <w:tblGrid>
        <w:gridCol w:w="10224"/>
      </w:tblGrid>
      <w:tr>
        <w:tc>
          <w:tcPr>
            <w:tcW w:type="dxa" w:w="10224"/>
            <w:shd w:fill="E8F7F5"/>
            <w:tcMar>
              <w:top w:w="110" w:type="dxa"/>
              <w:start w:w="130" w:type="dxa"/>
              <w:bottom w:w="110" w:type="dxa"/>
              <w:end w:w="130" w:type="dxa"/>
            </w:tcMar>
          </w:tcPr>
          <w:p>
            <w:r>
              <w:rPr>
                <w:rFonts w:ascii="Lato" w:hAnsi="Lato"/>
                <w:b/>
                <w:color w:val="008080"/>
                <w:sz w:val="21"/>
              </w:rPr>
              <w:t xml:space="preserve">Domain summary: </w:t>
            </w:r>
            <w:r>
              <w:rPr>
                <w:rFonts w:ascii="Lato" w:hAnsi="Lato"/>
                <w:color w:val="191919"/>
                <w:sz w:val="21"/>
              </w:rPr>
              <w:t>Nursing Leadership and Management tests the nurse’s ability to coordinate care, supervise others, delegate appropriately, manage priorities, and use available resources safely and efficiently within the team.</w:t>
            </w:r>
          </w:p>
        </w:tc>
      </w:tr>
    </w:tbl>
    <w:p>
      <w:r>
        <w:rPr>
          <w:rFonts w:ascii="Lato" w:hAnsi="Lato"/>
          <w:b/>
          <w:color w:val="008080"/>
          <w:sz w:val="22"/>
        </w:rPr>
        <w:t>MCQ Example</w:t>
        <w:br/>
      </w:r>
      <w:r>
        <w:rPr>
          <w:rFonts w:ascii="Lato" w:hAnsi="Lato"/>
          <w:sz w:val="21"/>
        </w:rPr>
        <w:t>A registered nurse is caring for four clients on a medical unit. One client has Type 2 Diabetes Mellitus and hypertension and needs reinforcement of dietary teaching, vital signs monitoring, and assistance with morning hygiene. Which task is most appropriate for the RN to delegate to the nursing assistant?</w:t>
      </w:r>
    </w:p>
    <w:p>
      <w:pPr>
        <w:ind w:left="288"/>
      </w:pPr>
      <w:r>
        <w:rPr>
          <w:rFonts w:ascii="Lato" w:hAnsi="Lato"/>
          <w:b/>
          <w:color w:val="008080"/>
          <w:sz w:val="21"/>
        </w:rPr>
        <w:t xml:space="preserve">A. </w:t>
      </w:r>
      <w:r>
        <w:rPr>
          <w:rFonts w:ascii="Lato" w:hAnsi="Lato"/>
          <w:sz w:val="21"/>
        </w:rPr>
        <w:t>Reinforcing the low-sodium diabetic diet plan</w:t>
      </w:r>
    </w:p>
    <w:p>
      <w:pPr>
        <w:ind w:left="288"/>
      </w:pPr>
      <w:r>
        <w:rPr>
          <w:rFonts w:ascii="Lato" w:hAnsi="Lato"/>
          <w:b/>
          <w:color w:val="008080"/>
          <w:sz w:val="21"/>
        </w:rPr>
        <w:t xml:space="preserve">B. </w:t>
      </w:r>
      <w:r>
        <w:rPr>
          <w:rFonts w:ascii="Lato" w:hAnsi="Lato"/>
          <w:sz w:val="21"/>
        </w:rPr>
        <w:t>Assessing the client’s understanding of medication adherence</w:t>
      </w:r>
    </w:p>
    <w:p>
      <w:pPr>
        <w:ind w:left="288"/>
      </w:pPr>
      <w:r>
        <w:rPr>
          <w:rFonts w:ascii="Lato" w:hAnsi="Lato"/>
          <w:b/>
          <w:color w:val="008080"/>
          <w:sz w:val="21"/>
        </w:rPr>
        <w:t xml:space="preserve">C. </w:t>
      </w:r>
      <w:r>
        <w:rPr>
          <w:rFonts w:ascii="Lato" w:hAnsi="Lato"/>
          <w:sz w:val="21"/>
        </w:rPr>
        <w:t>Assisting the client with morning hygiene</w:t>
      </w:r>
    </w:p>
    <w:p>
      <w:pPr>
        <w:ind w:left="288"/>
      </w:pPr>
      <w:r>
        <w:rPr>
          <w:rFonts w:ascii="Lato" w:hAnsi="Lato"/>
          <w:b/>
          <w:color w:val="008080"/>
          <w:sz w:val="21"/>
        </w:rPr>
        <w:t xml:space="preserve">D. </w:t>
      </w:r>
      <w:r>
        <w:rPr>
          <w:rFonts w:ascii="Lato" w:hAnsi="Lato"/>
          <w:sz w:val="21"/>
        </w:rPr>
        <w:t>Evaluating the client’s response to antihypertensive medication</w:t>
      </w:r>
    </w:p>
    <w:tbl>
      <w:tblPr>
        <w:tblW w:type="auto" w:w="0"/>
        <w:jc w:val="center"/>
        <w:tblLook w:firstColumn="1" w:firstRow="1" w:lastColumn="0" w:lastRow="0" w:noHBand="0" w:noVBand="1" w:val="04A0"/>
      </w:tblPr>
      <w:tblGrid>
        <w:gridCol w:w="10224"/>
      </w:tblGrid>
      <w:tr>
        <w:tc>
          <w:tcPr>
            <w:tcW w:type="dxa" w:w="10224"/>
            <w:shd w:fill="F4F4F4"/>
            <w:tcMar>
              <w:top w:w="110" w:type="dxa"/>
              <w:start w:w="130" w:type="dxa"/>
              <w:bottom w:w="110" w:type="dxa"/>
              <w:end w:w="130" w:type="dxa"/>
            </w:tcMar>
          </w:tcPr>
          <w:p>
            <w:r>
              <w:t>Domain focus: This is testing delegation and team management. The domain is concerned with what can be safely assigned, what remains the RN’s role, and how care is coordinated on the unit.</w:t>
            </w:r>
          </w:p>
        </w:tc>
      </w:tr>
    </w:tbl>
    <w:p/>
    <w:p>
      <w:r>
        <w:rPr>
          <w:rFonts w:ascii="DejaVu Serif" w:hAnsi="DejaVu Serif"/>
          <w:b/>
          <w:color w:val="5F3F91"/>
          <w:sz w:val="30"/>
        </w:rPr>
        <w:t>5) Communication (COM)</w:t>
      </w:r>
    </w:p>
    <w:tbl>
      <w:tblPr>
        <w:tblW w:type="auto" w:w="0"/>
        <w:jc w:val="center"/>
        <w:tblLook w:firstColumn="1" w:firstRow="1" w:lastColumn="0" w:lastRow="0" w:noHBand="0" w:noVBand="1" w:val="04A0"/>
      </w:tblPr>
      <w:tblGrid>
        <w:gridCol w:w="10224"/>
      </w:tblGrid>
      <w:tr>
        <w:tc>
          <w:tcPr>
            <w:tcW w:type="dxa" w:w="10224"/>
            <w:shd w:fill="EEE8F8"/>
            <w:tcMar>
              <w:top w:w="110" w:type="dxa"/>
              <w:start w:w="130" w:type="dxa"/>
              <w:bottom w:w="110" w:type="dxa"/>
              <w:end w:w="130" w:type="dxa"/>
            </w:tcMar>
          </w:tcPr>
          <w:p>
            <w:r>
              <w:rPr>
                <w:rFonts w:ascii="Lato" w:hAnsi="Lato"/>
                <w:b/>
                <w:color w:val="5F3F91"/>
                <w:sz w:val="21"/>
              </w:rPr>
              <w:t xml:space="preserve">Domain summary: </w:t>
            </w:r>
            <w:r>
              <w:rPr>
                <w:rFonts w:ascii="Lato" w:hAnsi="Lato"/>
                <w:color w:val="191919"/>
                <w:sz w:val="21"/>
              </w:rPr>
              <w:t>Communication focuses on therapeutic interaction, clear exchange of information, empathy, cultural sensitivity, and building trust with patients, families, and the healthcare team.</w:t>
            </w:r>
          </w:p>
        </w:tc>
      </w:tr>
    </w:tbl>
    <w:p>
      <w:r>
        <w:rPr>
          <w:rFonts w:ascii="Lato" w:hAnsi="Lato"/>
          <w:b/>
          <w:color w:val="008080"/>
          <w:sz w:val="22"/>
        </w:rPr>
        <w:t>MCQ Example</w:t>
        <w:br/>
      </w:r>
      <w:r>
        <w:rPr>
          <w:rFonts w:ascii="Lato" w:hAnsi="Lato"/>
          <w:sz w:val="21"/>
        </w:rPr>
        <w:t>A client with Type 2 Diabetes Mellitus and hypertension says, “Nurse, all these changes are too much. I don’t think I can manage.” Which response by the nurse is most therapeutic?</w:t>
      </w:r>
    </w:p>
    <w:p>
      <w:pPr>
        <w:ind w:left="288"/>
      </w:pPr>
      <w:r>
        <w:rPr>
          <w:rFonts w:ascii="Lato" w:hAnsi="Lato"/>
          <w:b/>
          <w:color w:val="5F3F91"/>
          <w:sz w:val="21"/>
        </w:rPr>
        <w:t xml:space="preserve">A. </w:t>
      </w:r>
      <w:r>
        <w:rPr>
          <w:rFonts w:ascii="Lato" w:hAnsi="Lato"/>
          <w:sz w:val="21"/>
        </w:rPr>
        <w:t>“You must try harder or your condition will get worse.”</w:t>
      </w:r>
    </w:p>
    <w:p>
      <w:pPr>
        <w:ind w:left="288"/>
      </w:pPr>
      <w:r>
        <w:rPr>
          <w:rFonts w:ascii="Lato" w:hAnsi="Lato"/>
          <w:b/>
          <w:color w:val="5F3F91"/>
          <w:sz w:val="21"/>
        </w:rPr>
        <w:t xml:space="preserve">B. </w:t>
      </w:r>
      <w:r>
        <w:rPr>
          <w:rFonts w:ascii="Lato" w:hAnsi="Lato"/>
          <w:sz w:val="21"/>
        </w:rPr>
        <w:t>“Many people have these illnesses, so you will get used to it.”</w:t>
      </w:r>
    </w:p>
    <w:p>
      <w:pPr>
        <w:ind w:left="288"/>
      </w:pPr>
      <w:r>
        <w:rPr>
          <w:rFonts w:ascii="Lato" w:hAnsi="Lato"/>
          <w:b/>
          <w:color w:val="5F3F91"/>
          <w:sz w:val="21"/>
        </w:rPr>
        <w:t xml:space="preserve">C. </w:t>
      </w:r>
      <w:r>
        <w:rPr>
          <w:rFonts w:ascii="Lato" w:hAnsi="Lato"/>
          <w:sz w:val="21"/>
        </w:rPr>
        <w:t>“Tell me which part feels hardest for you right now.”</w:t>
      </w:r>
    </w:p>
    <w:p>
      <w:pPr>
        <w:ind w:left="288"/>
      </w:pPr>
      <w:r>
        <w:rPr>
          <w:rFonts w:ascii="Lato" w:hAnsi="Lato"/>
          <w:b/>
          <w:color w:val="5F3F91"/>
          <w:sz w:val="21"/>
        </w:rPr>
        <w:t xml:space="preserve">D. </w:t>
      </w:r>
      <w:r>
        <w:rPr>
          <w:rFonts w:ascii="Lato" w:hAnsi="Lato"/>
          <w:sz w:val="21"/>
        </w:rPr>
        <w:t>“Just follow the instructions and everything will be fine.”</w:t>
      </w:r>
    </w:p>
    <w:tbl>
      <w:tblPr>
        <w:tblW w:type="auto" w:w="0"/>
        <w:jc w:val="center"/>
        <w:tblLook w:firstColumn="1" w:firstRow="1" w:lastColumn="0" w:lastRow="0" w:noHBand="0" w:noVBand="1" w:val="04A0"/>
      </w:tblPr>
      <w:tblGrid>
        <w:gridCol w:w="10224"/>
      </w:tblGrid>
      <w:tr>
        <w:tc>
          <w:tcPr>
            <w:tcW w:type="dxa" w:w="10224"/>
            <w:shd w:fill="F4F4F4"/>
            <w:tcMar>
              <w:top w:w="110" w:type="dxa"/>
              <w:start w:w="130" w:type="dxa"/>
              <w:bottom w:w="110" w:type="dxa"/>
              <w:end w:w="130" w:type="dxa"/>
            </w:tcMar>
          </w:tcPr>
          <w:p>
            <w:r>
              <w:t>Domain focus: The domain is testing how the nurse communicates, not what the disease does. The best answer is the one that supports expression, empathy, and patient-centred therapeutic communication.</w:t>
            </w:r>
          </w:p>
        </w:tc>
      </w:tr>
    </w:tbl>
    <w:p/>
    <w:p>
      <w:r>
        <w:rPr>
          <w:rFonts w:ascii="DejaVu Serif" w:hAnsi="DejaVu Serif"/>
          <w:b/>
          <w:color w:val="AD2E2E"/>
          <w:sz w:val="30"/>
        </w:rPr>
        <w:t>6) Clinical Decision Making and Intervention (CDM)</w:t>
      </w:r>
    </w:p>
    <w:tbl>
      <w:tblPr>
        <w:tblW w:type="auto" w:w="0"/>
        <w:jc w:val="center"/>
        <w:tblLook w:firstColumn="1" w:firstRow="1" w:lastColumn="0" w:lastRow="0" w:noHBand="0" w:noVBand="1" w:val="04A0"/>
      </w:tblPr>
      <w:tblGrid>
        <w:gridCol w:w="10224"/>
      </w:tblGrid>
      <w:tr>
        <w:tc>
          <w:tcPr>
            <w:tcW w:type="dxa" w:w="10224"/>
            <w:shd w:fill="F9EAEA"/>
            <w:tcMar>
              <w:top w:w="110" w:type="dxa"/>
              <w:start w:w="130" w:type="dxa"/>
              <w:bottom w:w="110" w:type="dxa"/>
              <w:end w:w="130" w:type="dxa"/>
            </w:tcMar>
          </w:tcPr>
          <w:p>
            <w:r>
              <w:rPr>
                <w:rFonts w:ascii="Lato" w:hAnsi="Lato"/>
                <w:b/>
                <w:color w:val="AD2E2E"/>
                <w:sz w:val="21"/>
              </w:rPr>
              <w:t xml:space="preserve">Domain summary: </w:t>
            </w:r>
            <w:r>
              <w:rPr>
                <w:rFonts w:ascii="Lato" w:hAnsi="Lato"/>
                <w:color w:val="191919"/>
                <w:sz w:val="21"/>
              </w:rPr>
              <w:t>Clinical Decision Making and Intervention examines clinical judgement. It asks whether the nurse can recognize relevant cues, identify the priority problem, and choose the best immediate nursing action.</w:t>
            </w:r>
          </w:p>
        </w:tc>
      </w:tr>
    </w:tbl>
    <w:p>
      <w:r>
        <w:rPr>
          <w:rFonts w:ascii="Lato" w:hAnsi="Lato"/>
          <w:b/>
          <w:color w:val="008080"/>
          <w:sz w:val="22"/>
        </w:rPr>
        <w:t>MCQ Example</w:t>
        <w:br/>
      </w:r>
      <w:r>
        <w:rPr>
          <w:rFonts w:ascii="Lato" w:hAnsi="Lato"/>
          <w:sz w:val="21"/>
        </w:rPr>
        <w:t>A client with Type 2 Diabetes Mellitus and hypertension suddenly becomes diaphoretic, shaky, and confused while waiting for breakfast. Which action should the nurse take first?</w:t>
      </w:r>
    </w:p>
    <w:p>
      <w:pPr>
        <w:ind w:left="288"/>
      </w:pPr>
      <w:r>
        <w:rPr>
          <w:rFonts w:ascii="Lato" w:hAnsi="Lato"/>
          <w:b/>
          <w:color w:val="AD2E2E"/>
          <w:sz w:val="21"/>
        </w:rPr>
        <w:t xml:space="preserve">A. </w:t>
      </w:r>
      <w:r>
        <w:rPr>
          <w:rFonts w:ascii="Lato" w:hAnsi="Lato"/>
          <w:sz w:val="21"/>
        </w:rPr>
        <w:t>Recheck the blood pressure in both arms</w:t>
      </w:r>
    </w:p>
    <w:p>
      <w:pPr>
        <w:ind w:left="288"/>
      </w:pPr>
      <w:r>
        <w:rPr>
          <w:rFonts w:ascii="Lato" w:hAnsi="Lato"/>
          <w:b/>
          <w:color w:val="AD2E2E"/>
          <w:sz w:val="21"/>
        </w:rPr>
        <w:t xml:space="preserve">B. </w:t>
      </w:r>
      <w:r>
        <w:rPr>
          <w:rFonts w:ascii="Lato" w:hAnsi="Lato"/>
          <w:sz w:val="21"/>
        </w:rPr>
        <w:t>Give a fast-acting carbohydrate if the client can swallow safely</w:t>
      </w:r>
    </w:p>
    <w:p>
      <w:pPr>
        <w:ind w:left="288"/>
      </w:pPr>
      <w:r>
        <w:rPr>
          <w:rFonts w:ascii="Lato" w:hAnsi="Lato"/>
          <w:b/>
          <w:color w:val="AD2E2E"/>
          <w:sz w:val="21"/>
        </w:rPr>
        <w:t xml:space="preserve">C. </w:t>
      </w:r>
      <w:r>
        <w:rPr>
          <w:rFonts w:ascii="Lato" w:hAnsi="Lato"/>
          <w:sz w:val="21"/>
        </w:rPr>
        <w:t>Ask the client when he last took his antihypertensive medication</w:t>
      </w:r>
    </w:p>
    <w:p>
      <w:pPr>
        <w:ind w:left="288"/>
      </w:pPr>
      <w:r>
        <w:rPr>
          <w:rFonts w:ascii="Lato" w:hAnsi="Lato"/>
          <w:b/>
          <w:color w:val="AD2E2E"/>
          <w:sz w:val="21"/>
        </w:rPr>
        <w:t xml:space="preserve">D. </w:t>
      </w:r>
      <w:r>
        <w:rPr>
          <w:rFonts w:ascii="Lato" w:hAnsi="Lato"/>
          <w:sz w:val="21"/>
        </w:rPr>
        <w:t>Teach the client the signs of hypoglycaemia</w:t>
      </w:r>
    </w:p>
    <w:tbl>
      <w:tblPr>
        <w:tblW w:type="auto" w:w="0"/>
        <w:jc w:val="center"/>
        <w:tblLook w:firstColumn="1" w:firstRow="1" w:lastColumn="0" w:lastRow="0" w:noHBand="0" w:noVBand="1" w:val="04A0"/>
      </w:tblPr>
      <w:tblGrid>
        <w:gridCol w:w="10224"/>
      </w:tblGrid>
      <w:tr>
        <w:tc>
          <w:tcPr>
            <w:tcW w:type="dxa" w:w="10224"/>
            <w:shd w:fill="F4F4F4"/>
            <w:tcMar>
              <w:top w:w="110" w:type="dxa"/>
              <w:start w:w="130" w:type="dxa"/>
              <w:bottom w:w="110" w:type="dxa"/>
              <w:end w:w="130" w:type="dxa"/>
            </w:tcMar>
          </w:tcPr>
          <w:p>
            <w:r>
              <w:t>Domain focus: This domain is about priority judgement and timely intervention. The real question is whether the nurse can identify an urgent problem and act promptly and safely.</w:t>
            </w:r>
          </w:p>
        </w:tc>
      </w:tr>
    </w:tbl>
    <w:p/>
    <w:p>
      <w:r>
        <w:rPr>
          <w:rFonts w:ascii="DejaVu Serif" w:hAnsi="DejaVu Serif"/>
          <w:b/>
          <w:color w:val="BE8C28"/>
          <w:sz w:val="30"/>
        </w:rPr>
        <w:t>7) Professional Development (PD)</w:t>
      </w:r>
    </w:p>
    <w:tbl>
      <w:tblPr>
        <w:tblW w:type="auto" w:w="0"/>
        <w:jc w:val="center"/>
        <w:tblLook w:firstColumn="1" w:firstRow="1" w:lastColumn="0" w:lastRow="0" w:noHBand="0" w:noVBand="1" w:val="04A0"/>
      </w:tblPr>
      <w:tblGrid>
        <w:gridCol w:w="10224"/>
      </w:tblGrid>
      <w:tr>
        <w:tc>
          <w:tcPr>
            <w:tcW w:type="dxa" w:w="10224"/>
            <w:shd w:fill="FBF5E8"/>
            <w:tcMar>
              <w:top w:w="110" w:type="dxa"/>
              <w:start w:w="130" w:type="dxa"/>
              <w:bottom w:w="110" w:type="dxa"/>
              <w:end w:w="130" w:type="dxa"/>
            </w:tcMar>
          </w:tcPr>
          <w:p>
            <w:r>
              <w:rPr>
                <w:rFonts w:ascii="Lato" w:hAnsi="Lato"/>
                <w:b/>
                <w:color w:val="BE8C28"/>
                <w:sz w:val="21"/>
              </w:rPr>
              <w:t xml:space="preserve">Domain summary: </w:t>
            </w:r>
            <w:r>
              <w:rPr>
                <w:rFonts w:ascii="Lato" w:hAnsi="Lato"/>
                <w:color w:val="191919"/>
                <w:sz w:val="21"/>
              </w:rPr>
              <w:t>Professional Development focuses on lifelong learning, maintaining competence, recognizing learning needs, and actively improving professional knowledge and performance throughout one’s career.</w:t>
            </w:r>
          </w:p>
        </w:tc>
      </w:tr>
    </w:tbl>
    <w:p>
      <w:r>
        <w:rPr>
          <w:rFonts w:ascii="Lato" w:hAnsi="Lato"/>
          <w:b/>
          <w:color w:val="008080"/>
          <w:sz w:val="22"/>
        </w:rPr>
        <w:t>MCQ Example</w:t>
        <w:br/>
      </w:r>
      <w:r>
        <w:rPr>
          <w:rFonts w:ascii="Lato" w:hAnsi="Lato"/>
          <w:sz w:val="21"/>
        </w:rPr>
        <w:t>A newly registered nurse realizes that many clients on the ward have Type 2 Diabetes Mellitus and hypertension, but the nurse feels uncertain when giving discharge teaching about home monitoring and lifestyle changes. What is the best professional action?</w:t>
      </w:r>
    </w:p>
    <w:p>
      <w:pPr>
        <w:ind w:left="288"/>
      </w:pPr>
      <w:r>
        <w:rPr>
          <w:rFonts w:ascii="Lato" w:hAnsi="Lato"/>
          <w:b/>
          <w:color w:val="BE8C28"/>
          <w:sz w:val="21"/>
        </w:rPr>
        <w:t xml:space="preserve">A. </w:t>
      </w:r>
      <w:r>
        <w:rPr>
          <w:rFonts w:ascii="Lato" w:hAnsi="Lato"/>
          <w:sz w:val="21"/>
        </w:rPr>
        <w:t>Avoid teaching until more experience is gained</w:t>
      </w:r>
    </w:p>
    <w:p>
      <w:pPr>
        <w:ind w:left="288"/>
      </w:pPr>
      <w:r>
        <w:rPr>
          <w:rFonts w:ascii="Lato" w:hAnsi="Lato"/>
          <w:b/>
          <w:color w:val="BE8C28"/>
          <w:sz w:val="21"/>
        </w:rPr>
        <w:t xml:space="preserve">B. </w:t>
      </w:r>
      <w:r>
        <w:rPr>
          <w:rFonts w:ascii="Lato" w:hAnsi="Lato"/>
          <w:sz w:val="21"/>
        </w:rPr>
        <w:t>Ask clients to wait until the doctor explains everything</w:t>
      </w:r>
    </w:p>
    <w:p>
      <w:pPr>
        <w:ind w:left="288"/>
      </w:pPr>
      <w:r>
        <w:rPr>
          <w:rFonts w:ascii="Lato" w:hAnsi="Lato"/>
          <w:b/>
          <w:color w:val="BE8C28"/>
          <w:sz w:val="21"/>
        </w:rPr>
        <w:t xml:space="preserve">C. </w:t>
      </w:r>
      <w:r>
        <w:rPr>
          <w:rFonts w:ascii="Lato" w:hAnsi="Lato"/>
          <w:sz w:val="21"/>
        </w:rPr>
        <w:t>Seek current evidence-based education and guidance to improve competence</w:t>
      </w:r>
    </w:p>
    <w:p>
      <w:pPr>
        <w:ind w:left="288"/>
      </w:pPr>
      <w:r>
        <w:rPr>
          <w:rFonts w:ascii="Lato" w:hAnsi="Lato"/>
          <w:b/>
          <w:color w:val="BE8C28"/>
          <w:sz w:val="21"/>
        </w:rPr>
        <w:t xml:space="preserve">D. </w:t>
      </w:r>
      <w:r>
        <w:rPr>
          <w:rFonts w:ascii="Lato" w:hAnsi="Lato"/>
          <w:sz w:val="21"/>
        </w:rPr>
        <w:t>Continue teaching based only on what was learnt in nursing school</w:t>
      </w:r>
    </w:p>
    <w:tbl>
      <w:tblPr>
        <w:tblW w:type="auto" w:w="0"/>
        <w:jc w:val="center"/>
        <w:tblLook w:firstColumn="1" w:firstRow="1" w:lastColumn="0" w:lastRow="0" w:noHBand="0" w:noVBand="1" w:val="04A0"/>
      </w:tblPr>
      <w:tblGrid>
        <w:gridCol w:w="10224"/>
      </w:tblGrid>
      <w:tr>
        <w:tc>
          <w:tcPr>
            <w:tcW w:type="dxa" w:w="10224"/>
            <w:shd w:fill="F4F4F4"/>
            <w:tcMar>
              <w:top w:w="110" w:type="dxa"/>
              <w:start w:w="130" w:type="dxa"/>
              <w:bottom w:w="110" w:type="dxa"/>
              <w:end w:w="130" w:type="dxa"/>
            </w:tcMar>
          </w:tcPr>
          <w:p>
            <w:r>
              <w:t>Domain focus: This domain is testing responsibility for growth. The nurse should recognize gaps in knowledge and take steps to become more competent and current in practice.</w:t>
            </w:r>
          </w:p>
        </w:tc>
      </w:tr>
    </w:tbl>
    <w:p/>
    <w:p>
      <w:r>
        <w:br w:type="page"/>
      </w:r>
    </w:p>
    <w:p>
      <w:r>
        <w:rPr>
          <w:rFonts w:ascii="DejaVu Serif" w:hAnsi="DejaVu Serif"/>
          <w:b/>
          <w:color w:val="412B6C"/>
          <w:sz w:val="36"/>
        </w:rPr>
        <w:t>Answers and Rationales</w:t>
      </w:r>
    </w:p>
    <w:p>
      <w:r>
        <w:rPr>
          <w:rFonts w:ascii="Lato" w:hAnsi="Lato"/>
          <w:i/>
          <w:color w:val="5F5F5F"/>
          <w:sz w:val="21"/>
        </w:rPr>
        <w:t>Placed here so students can work through the questions first before seeing the key.</w:t>
      </w:r>
    </w:p>
    <w:tbl>
      <w:tblPr>
        <w:tblW w:type="auto" w:w="0"/>
        <w:jc w:val="center"/>
        <w:tblLook w:firstColumn="1" w:firstRow="1" w:lastColumn="0" w:lastRow="0" w:noHBand="0" w:noVBand="1" w:val="04A0"/>
      </w:tblPr>
      <w:tblGrid>
        <w:gridCol w:w="3168"/>
        <w:gridCol w:w="6912"/>
      </w:tblGrid>
      <w:tr>
        <w:tc>
          <w:tcPr>
            <w:tcW w:type="dxa" w:w="5112"/>
            <w:tcMar>
              <w:top w:w="90" w:type="dxa"/>
              <w:start w:w="110" w:type="dxa"/>
              <w:bottom w:w="90" w:type="dxa"/>
              <w:end w:w="110" w:type="dxa"/>
            </w:tcMar>
            <w:vAlign w:val="center"/>
            <w:shd w:fill="EEE8F8"/>
          </w:tcPr>
          <w:p>
            <w:r>
              <w:rPr>
                <w:rFonts w:ascii="Lato" w:hAnsi="Lato"/>
                <w:b/>
                <w:color w:val="5F3F91"/>
                <w:sz w:val="21"/>
              </w:rPr>
              <w:t>1) Nursing Practice</w:t>
              <w:br/>
            </w:r>
            <w:r>
              <w:rPr>
                <w:rFonts w:ascii="Lato" w:hAnsi="Lato"/>
                <w:b/>
                <w:color w:val="AD2E2E"/>
                <w:sz w:val="22"/>
              </w:rPr>
              <w:t>Answer: C</w:t>
            </w:r>
          </w:p>
        </w:tc>
        <w:tc>
          <w:tcPr>
            <w:tcW w:type="dxa" w:w="5112"/>
            <w:tcMar>
              <w:top w:w="90" w:type="dxa"/>
              <w:start w:w="110" w:type="dxa"/>
              <w:bottom w:w="90" w:type="dxa"/>
              <w:end w:w="110" w:type="dxa"/>
            </w:tcMar>
            <w:vAlign w:val="center"/>
            <w:shd w:fill="F4F4F4"/>
          </w:tcPr>
          <w:p>
            <w:r>
              <w:rPr>
                <w:rFonts w:ascii="Lato" w:hAnsi="Lato"/>
                <w:color w:val="191919"/>
                <w:sz w:val="20"/>
              </w:rPr>
              <w:t>This option addresses the immediate nursing need by assessing the foot wound and peripheral circulation, which are highly relevant findings in a client with diabetes. The question is assessing safe nursing assessment rather than long-term teaching.</w:t>
            </w:r>
          </w:p>
        </w:tc>
      </w:tr>
    </w:tbl>
    <w:p/>
    <w:tbl>
      <w:tblPr>
        <w:tblW w:type="auto" w:w="0"/>
        <w:jc w:val="center"/>
        <w:tblLook w:firstColumn="1" w:firstRow="1" w:lastColumn="0" w:lastRow="0" w:noHBand="0" w:noVBand="1" w:val="04A0"/>
      </w:tblPr>
      <w:tblGrid>
        <w:gridCol w:w="3168"/>
        <w:gridCol w:w="6912"/>
      </w:tblGrid>
      <w:tr>
        <w:tc>
          <w:tcPr>
            <w:tcW w:type="dxa" w:w="5112"/>
            <w:tcMar>
              <w:top w:w="90" w:type="dxa"/>
              <w:start w:w="110" w:type="dxa"/>
              <w:bottom w:w="90" w:type="dxa"/>
              <w:end w:w="110" w:type="dxa"/>
            </w:tcMar>
            <w:vAlign w:val="center"/>
            <w:shd w:fill="EEE8F8"/>
          </w:tcPr>
          <w:p>
            <w:r>
              <w:rPr>
                <w:rFonts w:ascii="Lato" w:hAnsi="Lato"/>
                <w:b/>
                <w:color w:val="5F3F91"/>
                <w:sz w:val="21"/>
              </w:rPr>
              <w:t>2) Professional Conduct</w:t>
              <w:br/>
            </w:r>
            <w:r>
              <w:rPr>
                <w:rFonts w:ascii="Lato" w:hAnsi="Lato"/>
                <w:b/>
                <w:color w:val="AD2E2E"/>
                <w:sz w:val="22"/>
              </w:rPr>
              <w:t>Answer: C</w:t>
            </w:r>
          </w:p>
        </w:tc>
        <w:tc>
          <w:tcPr>
            <w:tcW w:type="dxa" w:w="5112"/>
            <w:tcMar>
              <w:top w:w="90" w:type="dxa"/>
              <w:start w:w="110" w:type="dxa"/>
              <w:bottom w:w="90" w:type="dxa"/>
              <w:end w:w="110" w:type="dxa"/>
            </w:tcMar>
            <w:vAlign w:val="center"/>
            <w:shd w:fill="F4F4F4"/>
          </w:tcPr>
          <w:p>
            <w:r>
              <w:rPr>
                <w:rFonts w:ascii="Lato" w:hAnsi="Lato"/>
                <w:color w:val="191919"/>
                <w:sz w:val="20"/>
              </w:rPr>
              <w:t>This response protects confidentiality and respects the client’s right to control disclosure of personal health information. The focus is ethical and legal practice.</w:t>
            </w:r>
          </w:p>
        </w:tc>
      </w:tr>
    </w:tbl>
    <w:p/>
    <w:tbl>
      <w:tblPr>
        <w:tblW w:type="auto" w:w="0"/>
        <w:jc w:val="center"/>
        <w:tblLook w:firstColumn="1" w:firstRow="1" w:lastColumn="0" w:lastRow="0" w:noHBand="0" w:noVBand="1" w:val="04A0"/>
      </w:tblPr>
      <w:tblGrid>
        <w:gridCol w:w="3168"/>
        <w:gridCol w:w="6912"/>
      </w:tblGrid>
      <w:tr>
        <w:tc>
          <w:tcPr>
            <w:tcW w:type="dxa" w:w="5112"/>
            <w:tcMar>
              <w:top w:w="90" w:type="dxa"/>
              <w:start w:w="110" w:type="dxa"/>
              <w:bottom w:w="90" w:type="dxa"/>
              <w:end w:w="110" w:type="dxa"/>
            </w:tcMar>
            <w:vAlign w:val="center"/>
            <w:shd w:fill="EEE8F8"/>
          </w:tcPr>
          <w:p>
            <w:r>
              <w:rPr>
                <w:rFonts w:ascii="Lato" w:hAnsi="Lato"/>
                <w:b/>
                <w:color w:val="5F3F91"/>
                <w:sz w:val="21"/>
              </w:rPr>
              <w:t>3) Health Promotion and Maintenance of Wellness</w:t>
              <w:br/>
            </w:r>
            <w:r>
              <w:rPr>
                <w:rFonts w:ascii="Lato" w:hAnsi="Lato"/>
                <w:b/>
                <w:color w:val="AD2E2E"/>
                <w:sz w:val="22"/>
              </w:rPr>
              <w:t>Answer: C</w:t>
            </w:r>
          </w:p>
        </w:tc>
        <w:tc>
          <w:tcPr>
            <w:tcW w:type="dxa" w:w="5112"/>
            <w:tcMar>
              <w:top w:w="90" w:type="dxa"/>
              <w:start w:w="110" w:type="dxa"/>
              <w:bottom w:w="90" w:type="dxa"/>
              <w:end w:w="110" w:type="dxa"/>
            </w:tcMar>
            <w:vAlign w:val="center"/>
            <w:shd w:fill="F4F4F4"/>
          </w:tcPr>
          <w:p>
            <w:r>
              <w:rPr>
                <w:rFonts w:ascii="Lato" w:hAnsi="Lato"/>
                <w:color w:val="191919"/>
                <w:sz w:val="20"/>
              </w:rPr>
              <w:t>This statement reflects realistic long-term self-care: diet, exercise, and follow-up even when symptoms are absent. The question is centred on prevention and wellness maintenance.</w:t>
            </w:r>
          </w:p>
        </w:tc>
      </w:tr>
    </w:tbl>
    <w:p/>
    <w:tbl>
      <w:tblPr>
        <w:tblW w:type="auto" w:w="0"/>
        <w:jc w:val="center"/>
        <w:tblLook w:firstColumn="1" w:firstRow="1" w:lastColumn="0" w:lastRow="0" w:noHBand="0" w:noVBand="1" w:val="04A0"/>
      </w:tblPr>
      <w:tblGrid>
        <w:gridCol w:w="3168"/>
        <w:gridCol w:w="6912"/>
      </w:tblGrid>
      <w:tr>
        <w:tc>
          <w:tcPr>
            <w:tcW w:type="dxa" w:w="5112"/>
            <w:tcMar>
              <w:top w:w="90" w:type="dxa"/>
              <w:start w:w="110" w:type="dxa"/>
              <w:bottom w:w="90" w:type="dxa"/>
              <w:end w:w="110" w:type="dxa"/>
            </w:tcMar>
            <w:vAlign w:val="center"/>
            <w:shd w:fill="EEE8F8"/>
          </w:tcPr>
          <w:p>
            <w:r>
              <w:rPr>
                <w:rFonts w:ascii="Lato" w:hAnsi="Lato"/>
                <w:b/>
                <w:color w:val="5F3F91"/>
                <w:sz w:val="21"/>
              </w:rPr>
              <w:t>4) Nursing Leadership and Management</w:t>
              <w:br/>
            </w:r>
            <w:r>
              <w:rPr>
                <w:rFonts w:ascii="Lato" w:hAnsi="Lato"/>
                <w:b/>
                <w:color w:val="AD2E2E"/>
                <w:sz w:val="22"/>
              </w:rPr>
              <w:t>Answer: C</w:t>
            </w:r>
          </w:p>
        </w:tc>
        <w:tc>
          <w:tcPr>
            <w:tcW w:type="dxa" w:w="5112"/>
            <w:tcMar>
              <w:top w:w="90" w:type="dxa"/>
              <w:start w:w="110" w:type="dxa"/>
              <w:bottom w:w="90" w:type="dxa"/>
              <w:end w:w="110" w:type="dxa"/>
            </w:tcMar>
            <w:vAlign w:val="center"/>
            <w:shd w:fill="F4F4F4"/>
          </w:tcPr>
          <w:p>
            <w:r>
              <w:rPr>
                <w:rFonts w:ascii="Lato" w:hAnsi="Lato"/>
                <w:color w:val="191919"/>
                <w:sz w:val="20"/>
              </w:rPr>
              <w:t>Assisting with hygiene is within the role of the nursing assistant, while teaching, assessment, and evaluation remain the responsibility of the registered nurse.</w:t>
            </w:r>
          </w:p>
        </w:tc>
      </w:tr>
    </w:tbl>
    <w:p/>
    <w:tbl>
      <w:tblPr>
        <w:tblW w:type="auto" w:w="0"/>
        <w:jc w:val="center"/>
        <w:tblLook w:firstColumn="1" w:firstRow="1" w:lastColumn="0" w:lastRow="0" w:noHBand="0" w:noVBand="1" w:val="04A0"/>
      </w:tblPr>
      <w:tblGrid>
        <w:gridCol w:w="3168"/>
        <w:gridCol w:w="6912"/>
      </w:tblGrid>
      <w:tr>
        <w:tc>
          <w:tcPr>
            <w:tcW w:type="dxa" w:w="5112"/>
            <w:tcMar>
              <w:top w:w="90" w:type="dxa"/>
              <w:start w:w="110" w:type="dxa"/>
              <w:bottom w:w="90" w:type="dxa"/>
              <w:end w:w="110" w:type="dxa"/>
            </w:tcMar>
            <w:vAlign w:val="center"/>
            <w:shd w:fill="EEE8F8"/>
          </w:tcPr>
          <w:p>
            <w:r>
              <w:rPr>
                <w:rFonts w:ascii="Lato" w:hAnsi="Lato"/>
                <w:b/>
                <w:color w:val="5F3F91"/>
                <w:sz w:val="21"/>
              </w:rPr>
              <w:t>5) Communication</w:t>
              <w:br/>
            </w:r>
            <w:r>
              <w:rPr>
                <w:rFonts w:ascii="Lato" w:hAnsi="Lato"/>
                <w:b/>
                <w:color w:val="AD2E2E"/>
                <w:sz w:val="22"/>
              </w:rPr>
              <w:t>Answer: C</w:t>
            </w:r>
          </w:p>
        </w:tc>
        <w:tc>
          <w:tcPr>
            <w:tcW w:type="dxa" w:w="5112"/>
            <w:tcMar>
              <w:top w:w="90" w:type="dxa"/>
              <w:start w:w="110" w:type="dxa"/>
              <w:bottom w:w="90" w:type="dxa"/>
              <w:end w:w="110" w:type="dxa"/>
            </w:tcMar>
            <w:vAlign w:val="center"/>
            <w:shd w:fill="F4F4F4"/>
          </w:tcPr>
          <w:p>
            <w:r>
              <w:rPr>
                <w:rFonts w:ascii="Lato" w:hAnsi="Lato"/>
                <w:color w:val="191919"/>
                <w:sz w:val="20"/>
              </w:rPr>
              <w:t>This response encourages expression and helps the client identify concerns. It is therapeutic, open-ended, and patient-centred.</w:t>
            </w:r>
          </w:p>
        </w:tc>
      </w:tr>
    </w:tbl>
    <w:p/>
    <w:tbl>
      <w:tblPr>
        <w:tblW w:type="auto" w:w="0"/>
        <w:jc w:val="center"/>
        <w:tblLook w:firstColumn="1" w:firstRow="1" w:lastColumn="0" w:lastRow="0" w:noHBand="0" w:noVBand="1" w:val="04A0"/>
      </w:tblPr>
      <w:tblGrid>
        <w:gridCol w:w="3168"/>
        <w:gridCol w:w="6912"/>
      </w:tblGrid>
      <w:tr>
        <w:tc>
          <w:tcPr>
            <w:tcW w:type="dxa" w:w="5112"/>
            <w:tcMar>
              <w:top w:w="90" w:type="dxa"/>
              <w:start w:w="110" w:type="dxa"/>
              <w:bottom w:w="90" w:type="dxa"/>
              <w:end w:w="110" w:type="dxa"/>
            </w:tcMar>
            <w:vAlign w:val="center"/>
            <w:shd w:fill="EEE8F8"/>
          </w:tcPr>
          <w:p>
            <w:r>
              <w:rPr>
                <w:rFonts w:ascii="Lato" w:hAnsi="Lato"/>
                <w:b/>
                <w:color w:val="5F3F91"/>
                <w:sz w:val="21"/>
              </w:rPr>
              <w:t>6) Clinical Decision Making and Intervention</w:t>
              <w:br/>
            </w:r>
            <w:r>
              <w:rPr>
                <w:rFonts w:ascii="Lato" w:hAnsi="Lato"/>
                <w:b/>
                <w:color w:val="AD2E2E"/>
                <w:sz w:val="22"/>
              </w:rPr>
              <w:t>Answer: B</w:t>
            </w:r>
          </w:p>
        </w:tc>
        <w:tc>
          <w:tcPr>
            <w:tcW w:type="dxa" w:w="5112"/>
            <w:tcMar>
              <w:top w:w="90" w:type="dxa"/>
              <w:start w:w="110" w:type="dxa"/>
              <w:bottom w:w="90" w:type="dxa"/>
              <w:end w:w="110" w:type="dxa"/>
            </w:tcMar>
            <w:vAlign w:val="center"/>
            <w:shd w:fill="F4F4F4"/>
          </w:tcPr>
          <w:p>
            <w:r>
              <w:rPr>
                <w:rFonts w:ascii="Lato" w:hAnsi="Lato"/>
                <w:color w:val="191919"/>
                <w:sz w:val="20"/>
              </w:rPr>
              <w:t>The signs suggest hypoglycaemia, so the nurse should take the most immediate and appropriate action by giving a fast-acting carbohydrate if the client can swallow safely.</w:t>
            </w:r>
          </w:p>
        </w:tc>
      </w:tr>
    </w:tbl>
    <w:p/>
    <w:tbl>
      <w:tblPr>
        <w:tblW w:type="auto" w:w="0"/>
        <w:jc w:val="center"/>
        <w:tblLook w:firstColumn="1" w:firstRow="1" w:lastColumn="0" w:lastRow="0" w:noHBand="0" w:noVBand="1" w:val="04A0"/>
      </w:tblPr>
      <w:tblGrid>
        <w:gridCol w:w="3168"/>
        <w:gridCol w:w="6912"/>
      </w:tblGrid>
      <w:tr>
        <w:tc>
          <w:tcPr>
            <w:tcW w:type="dxa" w:w="5112"/>
            <w:tcMar>
              <w:top w:w="90" w:type="dxa"/>
              <w:start w:w="110" w:type="dxa"/>
              <w:bottom w:w="90" w:type="dxa"/>
              <w:end w:w="110" w:type="dxa"/>
            </w:tcMar>
            <w:vAlign w:val="center"/>
            <w:shd w:fill="EEE8F8"/>
          </w:tcPr>
          <w:p>
            <w:r>
              <w:rPr>
                <w:rFonts w:ascii="Lato" w:hAnsi="Lato"/>
                <w:b/>
                <w:color w:val="5F3F91"/>
                <w:sz w:val="21"/>
              </w:rPr>
              <w:t>7) Professional Development</w:t>
              <w:br/>
            </w:r>
            <w:r>
              <w:rPr>
                <w:rFonts w:ascii="Lato" w:hAnsi="Lato"/>
                <w:b/>
                <w:color w:val="AD2E2E"/>
                <w:sz w:val="22"/>
              </w:rPr>
              <w:t>Answer: C</w:t>
            </w:r>
          </w:p>
        </w:tc>
        <w:tc>
          <w:tcPr>
            <w:tcW w:type="dxa" w:w="5112"/>
            <w:tcMar>
              <w:top w:w="90" w:type="dxa"/>
              <w:start w:w="110" w:type="dxa"/>
              <w:bottom w:w="90" w:type="dxa"/>
              <w:end w:w="110" w:type="dxa"/>
            </w:tcMar>
            <w:vAlign w:val="center"/>
            <w:shd w:fill="F4F4F4"/>
          </w:tcPr>
          <w:p>
            <w:r>
              <w:rPr>
                <w:rFonts w:ascii="Lato" w:hAnsi="Lato"/>
                <w:color w:val="191919"/>
                <w:sz w:val="20"/>
              </w:rPr>
              <w:t>The best professional response is to seek further evidence-based learning and guidance. This shows responsibility for maintaining competence and improving practice.</w:t>
            </w:r>
          </w:p>
        </w:tc>
      </w:tr>
    </w:tbl>
    <w:p/>
    <w:p>
      <w:r>
        <w:br w:type="page"/>
      </w:r>
    </w:p>
    <w:p>
      <w:r>
        <w:rPr>
          <w:rFonts w:ascii="DejaVu Serif" w:hAnsi="DejaVu Serif"/>
          <w:b/>
          <w:color w:val="412B6C"/>
          <w:sz w:val="36"/>
        </w:rPr>
        <w:t>Big Teaching Points for Students</w:t>
      </w:r>
    </w:p>
    <w:p>
      <w:pPr>
        <w:spacing w:after="80"/>
        <w:ind w:left="216"/>
      </w:pPr>
      <w:r>
        <w:rPr>
          <w:rFonts w:ascii="Lato" w:hAnsi="Lato"/>
          <w:b/>
          <w:color w:val="008080"/>
          <w:sz w:val="22"/>
        </w:rPr>
        <w:t xml:space="preserve">• Nursing Practice </w:t>
      </w:r>
      <w:r>
        <w:rPr>
          <w:rFonts w:ascii="Lato" w:hAnsi="Lato"/>
          <w:color w:val="191919"/>
          <w:sz w:val="21"/>
        </w:rPr>
        <w:t>asks what the nurse should assess or do safely.</w:t>
      </w:r>
    </w:p>
    <w:p>
      <w:pPr>
        <w:spacing w:after="80"/>
        <w:ind w:left="216"/>
      </w:pPr>
      <w:r>
        <w:rPr>
          <w:rFonts w:ascii="Lato" w:hAnsi="Lato"/>
          <w:b/>
          <w:color w:val="008080"/>
          <w:sz w:val="22"/>
        </w:rPr>
        <w:t xml:space="preserve">• Professional Conduct </w:t>
      </w:r>
      <w:r>
        <w:rPr>
          <w:rFonts w:ascii="Lato" w:hAnsi="Lato"/>
          <w:color w:val="191919"/>
          <w:sz w:val="21"/>
        </w:rPr>
        <w:t>asks what is ethically and legally correct.</w:t>
      </w:r>
    </w:p>
    <w:p>
      <w:pPr>
        <w:spacing w:after="80"/>
        <w:ind w:left="216"/>
      </w:pPr>
      <w:r>
        <w:rPr>
          <w:rFonts w:ascii="Lato" w:hAnsi="Lato"/>
          <w:b/>
          <w:color w:val="008080"/>
          <w:sz w:val="22"/>
        </w:rPr>
        <w:t xml:space="preserve">• Health Promotion </w:t>
      </w:r>
      <w:r>
        <w:rPr>
          <w:rFonts w:ascii="Lato" w:hAnsi="Lato"/>
          <w:color w:val="191919"/>
          <w:sz w:val="21"/>
        </w:rPr>
        <w:t>asks how the nurse can prevent complications and support wellness.</w:t>
      </w:r>
    </w:p>
    <w:p>
      <w:pPr>
        <w:spacing w:after="80"/>
        <w:ind w:left="216"/>
      </w:pPr>
      <w:r>
        <w:rPr>
          <w:rFonts w:ascii="Lato" w:hAnsi="Lato"/>
          <w:b/>
          <w:color w:val="008080"/>
          <w:sz w:val="22"/>
        </w:rPr>
        <w:t xml:space="preserve">• Leadership and Management </w:t>
      </w:r>
      <w:r>
        <w:rPr>
          <w:rFonts w:ascii="Lato" w:hAnsi="Lato"/>
          <w:color w:val="191919"/>
          <w:sz w:val="21"/>
        </w:rPr>
        <w:t>asks how care is coordinated and what can be delegated safely.</w:t>
      </w:r>
    </w:p>
    <w:p>
      <w:pPr>
        <w:spacing w:after="80"/>
        <w:ind w:left="216"/>
      </w:pPr>
      <w:r>
        <w:rPr>
          <w:rFonts w:ascii="Lato" w:hAnsi="Lato"/>
          <w:b/>
          <w:color w:val="008080"/>
          <w:sz w:val="22"/>
        </w:rPr>
        <w:t xml:space="preserve">• Communication </w:t>
      </w:r>
      <w:r>
        <w:rPr>
          <w:rFonts w:ascii="Lato" w:hAnsi="Lato"/>
          <w:color w:val="191919"/>
          <w:sz w:val="21"/>
        </w:rPr>
        <w:t>asks how the nurse should respond therapeutically and respectfully.</w:t>
      </w:r>
    </w:p>
    <w:p>
      <w:pPr>
        <w:spacing w:after="80"/>
        <w:ind w:left="216"/>
      </w:pPr>
      <w:r>
        <w:rPr>
          <w:rFonts w:ascii="Lato" w:hAnsi="Lato"/>
          <w:b/>
          <w:color w:val="008080"/>
          <w:sz w:val="22"/>
        </w:rPr>
        <w:t xml:space="preserve">• Clinical Decision Making and Intervention </w:t>
      </w:r>
      <w:r>
        <w:rPr>
          <w:rFonts w:ascii="Lato" w:hAnsi="Lato"/>
          <w:color w:val="191919"/>
          <w:sz w:val="21"/>
        </w:rPr>
        <w:t>asks what the priority action is right now.</w:t>
      </w:r>
    </w:p>
    <w:p>
      <w:pPr>
        <w:spacing w:after="80"/>
        <w:ind w:left="216"/>
      </w:pPr>
      <w:r>
        <w:rPr>
          <w:rFonts w:ascii="Lato" w:hAnsi="Lato"/>
          <w:b/>
          <w:color w:val="008080"/>
          <w:sz w:val="22"/>
        </w:rPr>
        <w:t xml:space="preserve">• Professional Development </w:t>
      </w:r>
      <w:r>
        <w:rPr>
          <w:rFonts w:ascii="Lato" w:hAnsi="Lato"/>
          <w:color w:val="191919"/>
          <w:sz w:val="21"/>
        </w:rPr>
        <w:t>asks how the nurse maintains competence and continues to grow.</w:t>
      </w:r>
    </w:p>
    <w:p>
      <w:r>
        <w:rPr>
          <w:rFonts w:ascii="Lato" w:hAnsi="Lato"/>
          <w:b/>
          <w:color w:val="BE8C28"/>
          <w:sz w:val="22"/>
        </w:rPr>
        <w:t xml:space="preserve">Key exam idea: </w:t>
      </w:r>
      <w:r>
        <w:rPr>
          <w:rFonts w:ascii="Lato" w:hAnsi="Lato"/>
          <w:b w:val="0"/>
          <w:color w:val="191919"/>
          <w:sz w:val="22"/>
        </w:rPr>
        <w:t xml:space="preserve">the </w:t>
      </w:r>
      <w:r>
        <w:rPr>
          <w:rFonts w:ascii="Lato" w:hAnsi="Lato"/>
          <w:b/>
          <w:color w:val="AD2E2E"/>
          <w:sz w:val="22"/>
        </w:rPr>
        <w:t>disease may stay the same</w:t>
      </w:r>
      <w:r>
        <w:rPr>
          <w:rFonts w:ascii="Lato" w:hAnsi="Lato"/>
          <w:b w:val="0"/>
          <w:color w:val="191919"/>
          <w:sz w:val="22"/>
        </w:rPr>
        <w:t xml:space="preserve">, but the </w:t>
      </w:r>
      <w:r>
        <w:rPr>
          <w:rFonts w:ascii="Lato" w:hAnsi="Lato"/>
          <w:b/>
          <w:color w:val="5F3F91"/>
          <w:sz w:val="22"/>
        </w:rPr>
        <w:t>domain changes what the question is really testing</w:t>
      </w:r>
      <w:r>
        <w:rPr>
          <w:rFonts w:ascii="Lato" w:hAnsi="Lato"/>
          <w:b w:val="0"/>
          <w:color w:val="191919"/>
          <w:sz w:val="22"/>
        </w:rPr>
        <w:t>.</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F5F5F"/>
        <w:sz w:val="18"/>
      </w:rPr>
      <w:t xml:space="preserve">RENR Domains Handout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5F3F91"/>
        <w:sz w:val="18"/>
      </w:rPr>
      <w:t>NRG – Nursing Review Examination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