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As a bioinformatics specialist, assembling a high-quality, reproducible data compendium requires prioritizing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publicly confirmed, well-annotated, human-only datasets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with sufficient depth for single-cell, single-nucleus, and spatial resolution.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my step-by-step methodological approach and the curated result.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1: Plan Targeted Searches &amp; Define Omics Strategy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capture the distinct pathophysiologies of Acute Respiratory Distress Syndrome (ARDS) and Idiopathic Pulmonary Fibrosis (IPF), the search strategy must account for severe clinical realities: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Acute (ARDS):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Patients in acute respiratory failure are critically ill and mechanically ventilated; lung biopsies are strictly contraindicated due to bleeding/pneumothorax risks. Therefore, the highest-quality human data comes from liquid biopsies (Bronchoalveolar Lavage Fluid [BALF] or PBMCs) to capture live immune dysregulation. To achieve true tissue-level context, we must rely on rapid-autopsy cohorts (frequently leveraging severe lethal COVID-19 as a high-N proxy for viral ARDS).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Chronic (IPF):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Because IPF is a terminal disease frequently treated with lung transplantation, the availability of large, high-quality explanted human lung tissue is excellent. However, dense fibrotic extracellular matrix (ECM) creates a "dissociation bias" in standard scRNA-seq, meaning matrix-embedded myofibroblasts are often lost. Therefore, my search prioritizes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snRNA-seq (single-nucleus)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Spatial Transcriptomics (Visium/Xenium)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bypass enzymatic dissociation and preserve the architectural context of "fibroblastic foci."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Search Parameters: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 queried GEO, ArrayExpress, CZ CELLxGENE, and PubMed using targeted Boolean logic: ("scRNA-seq" OR "snRNA-seq" OR "spatial transcriptomics") AND ("ARDS" OR "IPF" OR "Idiopathic Pulmonary Fibrosis") AND "human".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2: Identify and Filter Public Datasets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Inclusion Criteria: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Strictly Homo sapiens samples. Must contain robust clinical metadata (disease state vs. healthy controls, or longitudinal severity gradients). Data must be completely open-access (raw counts, FASTQs, or .h5ad objects available without heavy institutional Data Access Committee bottlenecks).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Exclusion Criteria: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Filtered out all murine/animal models (e.g., bleomycin-induced pulmonary fibrosis, LPS-induced ALI). Excluded standard bulk RNA-seq (unless mapped to spatial coordinates) as it lacks the cellular resolution required for modern microenvironment mapping.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Step 3: Extract and Structure the Data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Below is the curated repository of top-tier datasets, structured by disease phenotype.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Section 1: Acute (ARDS / ALI)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Relevance Focus: Tracking hyper-inflammatory cascades, macrophage dysregulation, diffuse alveolar damage (DAD), and early exudative-to-fibroproliferative transitions.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Paper Citation (Title, Year, DOI)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Accession &amp; Link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Clinical Cohort (Metadata)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Omics Tech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Public Availability &amp; Relevance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Melms et al., 2021</w:t>
            </w:r>
          </w:p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A molecular single-cell lung atlas of lethal COVID-19</w:t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hyperlink r:id="rId6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10.1038/s41586-021-03569-1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GSE171524</w:t>
            </w:r>
          </w:p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hyperlink r:id="rId7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GEO 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n=26 subjects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(19 severe COVID-19 ARDS decedents, 7 healthy controls).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Sample: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Autopsy lung parenchyma.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snRNA-seq</w:t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(10x Genomics, ~116k nuclei)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Yes (GEO &amp; CELLxGENE)</w:t>
            </w:r>
          </w:p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Reasoning: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The "gold standard" tissue atlas for viral ARDS. By utilizing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nuclei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it bypasses the dissociation bias that destroys fragile alveolar type 1 (AT1) cells. Maps pathological macrophage states and the failure of alveolar regeneration directly in the damaged lung.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Liao et al., 2020</w:t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Single-cell landscape of bronchoalveolar immune cells in patients with COVID-19</w:t>
            </w:r>
          </w:p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hyperlink r:id="rId8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10.1038/s41591-020-0901-9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GSE145926</w:t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hyperlink r:id="rId9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GEO 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n=13 subjects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(6 severe ARDS, 3 moderate, 4 controls).</w:t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Sample: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Bronchoalveolar lavage fluid (BALF).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scRNA-seq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(10x Genomics, ~66k cells)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Yes (GEO)</w:t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Reasoning: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Crucial for investigating the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local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airway immune microenvironment in living patients. Captures the profound depletion of tissue-resident alveolar macrophages and the massive influx of inflammatory monocyte-derived macrophages.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Jiang et al., 2020</w:t>
            </w:r>
          </w:p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Single cell RNA sequencing identifies an early monocyte gene signature in ARDS</w:t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hyperlink r:id="rId10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10.1172/jci.insight.135678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GSE151263</w:t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hyperlink r:id="rId11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GEO 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n=7 subjects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(3 sepsis+early ARDS, 4 sepsis-only controls).</w:t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Sample: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PBMCs (Blood).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scRNA-seq</w:t>
            </w:r>
          </w:p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(10x Genomics)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Yes (GEO)</w:t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Reasoning: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Focuses on standard bacterial-sepsis ARDS. Essential for tracing the systemic peripheral immune compartment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prior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to full lung failure. Identifies a highly specific Type I IFN-driven, pro-inflammatory monocyte signature.</w:t>
            </w:r>
          </w:p>
        </w:tc>
      </w:tr>
    </w:tbl>
    <w:p w:rsidR="00000000" w:rsidDel="00000000" w:rsidP="00000000" w:rsidRDefault="00000000" w:rsidRPr="00000000" w14:paraId="0000004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Section 2: Chronic (Idiopathic Pulmonary Fibrosis - IPF)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Relevance Focus: Discovering exhausted/senescent epithelial transitions, mapping spatial niches (fibroblastic foci), and targeting aberrant developmental pathways in remodeled extracellular matrices.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872"/>
        <w:gridCol w:w="1872"/>
        <w:gridCol w:w="1872"/>
        <w:gridCol w:w="1872"/>
        <w:gridCol w:w="1872"/>
        <w:tblGridChange w:id="0">
          <w:tblGrid>
            <w:gridCol w:w="1872"/>
            <w:gridCol w:w="1872"/>
            <w:gridCol w:w="1872"/>
            <w:gridCol w:w="1872"/>
            <w:gridCol w:w="187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Paper Citation (Title, Year, DOI)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Accession &amp; Link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Clinical Cohort (Metadata)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Omics Tech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Public Availability &amp; Relevance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Adams et al. (IPF Cell Atlas), 2020</w:t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scRNA-seq reveals ectopic and aberrant lung-resident cell populations in IPF</w:t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hyperlink r:id="rId12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10.1126/sciadv.aba1983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GSE136831</w:t>
            </w:r>
          </w:p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hyperlink r:id="rId13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GEO Link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(Also: </w:t>
            </w:r>
            <w:hyperlink r:id="rId14">
              <w:r w:rsidDel="00000000" w:rsidR="00000000" w:rsidRPr="00000000">
                <w:rPr>
                  <w:rFonts w:ascii="Google Sans" w:cs="Google Sans" w:eastAsia="Google Sans" w:hAnsi="Google Sans"/>
                  <w:i w:val="1"/>
                  <w:iCs w:val="1"/>
                  <w:color w:val="0b57d0"/>
                  <w:u w:val="single"/>
                  <w:shd w:fill="auto" w:val="clear"/>
                  <w:rtl w:val="0"/>
                </w:rPr>
                <w:t xml:space="preserve">ipfcellatlas.com</w:t>
              </w:r>
            </w:hyperlink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n=78 subjects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(32 IPF, 28 healthy, 18 COPD).</w:t>
            </w:r>
          </w:p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Sample: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Distal lung parenchyma explants.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scRNA-seq</w:t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(10x Genomics, ~312k cells)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Yes (GEO, Atlas Portal)</w:t>
            </w:r>
          </w:p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Reasoning: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The definitive baseline foundation for IPF. Discovered the pathogenic KRT17+/KRT5- "aberrant basaloid" epithelial cells driving fibrogenesis. Offers massive statistical power.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Vannan et al., 2025</w:t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Spatial transcriptomics identifies molecular niche dysregulation associated with distal lung remodeling...</w:t>
            </w:r>
          </w:p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hyperlink r:id="rId15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10.1038/s41588-025-02080-x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GSE250346</w:t>
            </w:r>
          </w:p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hyperlink r:id="rId16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GEO 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n=35 unique lungs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(IPF &amp; controls).</w:t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Sample: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FFPE Distal lung tissue blocks.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Spatial Transcriptomics</w:t>
            </w:r>
          </w:p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(10x Xenium, 1.6M cells)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Yes (GEO)</w:t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Reasoning: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The most advanced sub-cellular spatial atlas of IPF to date. Overcomes the loss of spatial architecture inherent in standard scRNA-seq, mapping gradients of alveolar remodeling and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SPP1+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macrophage polarization perfectly in physical space.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Kaminski Lab, 2025</w:t>
            </w:r>
          </w:p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Single Nuclear RNAseq and MultiOme of IPF and Control Lung Tissue</w:t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(GEO dataset)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GSE286182</w:t>
            </w:r>
          </w:p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hyperlink r:id="rId17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GEO 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Multiple Lungs: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IPF post-transplant vs. healthy donor controls.</w:t>
            </w:r>
          </w:p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Sample: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Frozen microCT tissue cores.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snRNA-seq + snATAC-seq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Yes (GEO)</w:t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Reasoning: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Highly recent multiomics dataset. Utilizes nuclear extraction to entirely bypass the enzymatic dissociation biases caused by dense IPF collagen. Allows for the mapping of open-chromatin gene regulatory networks in deeply embedded myofibroblasts.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Matuszkiewicz et al., 2024</w:t>
            </w:r>
          </w:p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Spatial transcriptomics Visium data for human IPF and control lungs</w:t>
            </w:r>
          </w:p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hyperlink r:id="rId18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E-MTAB-14121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E-MTAB-14121</w:t>
            </w:r>
          </w:p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0b57d0"/>
                <w:u w:val="single"/>
                <w:shd w:fill="auto" w:val="clear"/>
              </w:rPr>
            </w:pPr>
            <w:hyperlink r:id="rId19">
              <w:r w:rsidDel="00000000" w:rsidR="00000000" w:rsidRPr="00000000">
                <w:rPr>
                  <w:rFonts w:ascii="Google Sans" w:cs="Google Sans" w:eastAsia="Google Sans" w:hAnsi="Google Sans"/>
                  <w:color w:val="0b57d0"/>
                  <w:u w:val="single"/>
                  <w:shd w:fill="auto" w:val="clear"/>
                  <w:rtl w:val="0"/>
                </w:rPr>
                <w:t xml:space="preserve">ArrayExpress Link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n=8 subjects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(4 IPF, 4 healthy).</w:t>
            </w:r>
          </w:p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Sample: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25 tissue sections matching mild, moderate, and severe regions per donor.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Spatial Transcriptomics</w:t>
            </w:r>
          </w:p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(10x Visium)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  <w:rtl w:val="0"/>
              </w:rPr>
              <w:t xml:space="preserve">Yes (ArrayExpress/BioStudies)</w:t>
            </w:r>
          </w:p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" w:cs="Google Sans" w:eastAsia="Google Sans" w:hAnsi="Google Sans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Reasoning: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 By capturing mild, moderate, and severe regions </w:t>
            </w:r>
            <w:r w:rsidDel="00000000" w:rsidR="00000000" w:rsidRPr="00000000">
              <w:rPr>
                <w:rFonts w:ascii="Google Sans" w:cs="Google Sans" w:eastAsia="Google Sans" w:hAnsi="Google Sans"/>
                <w:i w:val="1"/>
                <w:iCs w:val="1"/>
                <w:color w:val="1f1f1f"/>
                <w:shd w:fill="auto" w:val="clear"/>
                <w:rtl w:val="0"/>
              </w:rPr>
              <w:t xml:space="preserve">within the exact same donor</w:t>
            </w: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shd w:fill="auto" w:val="clear"/>
                <w:rtl w:val="0"/>
              </w:rPr>
              <w:t xml:space="preserve">, it completely removes host genetic bias, allowing for precise transcriptomic tracking of fibrosis progression in situ.</w:t>
            </w:r>
          </w:p>
        </w:tc>
      </w:tr>
    </w:tbl>
    <w:p w:rsidR="00000000" w:rsidDel="00000000" w:rsidP="00000000" w:rsidRDefault="00000000" w:rsidRPr="00000000" w14:paraId="0000009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💡 Bioinformatics Integration &amp; Execution Recommendations:</w:t>
      </w:r>
    </w:p>
    <w:p w:rsidR="00000000" w:rsidDel="00000000" w:rsidP="00000000" w:rsidRDefault="00000000" w:rsidRPr="00000000" w14:paraId="0000009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Leveraging CZ CELLxGENE (HLCA):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For cross-disease comparisons, avoid downloading raw .fastq or uncorrected .h5ad files directly from GEO. Instead, utilize the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b57d0"/>
            <w:u w:val="single"/>
            <w:rtl w:val="0"/>
          </w:rPr>
          <w:t xml:space="preserve">CZ CELLxGENE Discover portal</w:t>
        </w:r>
      </w:hyperlink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pull from the harmonized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Human Lung Cell Atlas (HLCA)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The Adams GSE136831 and Melms GSE171524 datasets have been integrated there, providing unified, expert-curated cell ontologies (e.g., standardizing nomenclature for transitional AT2 cells) across multiple studies with batch effects already removed.</w:t>
      </w:r>
    </w:p>
    <w:p w:rsidR="00000000" w:rsidDel="00000000" w:rsidP="00000000" w:rsidRDefault="00000000" w:rsidRPr="00000000" w14:paraId="0000009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Spatial Deconvolution Strategy: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To maximize the utility of the 2024/2025 Spatial Transcriptomics datasets (like the Vannan Xenium data), use the Adams IPF Cell Atlas scRNA-seq matrix as a reference dictionary. Feed this into spatial algorithms like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Cell2location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RCTD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in Python to precisely pinpoint the histopathological coordinates of emerging pro-fibrotic pathways.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cellxgene.cziscience.com/" TargetMode="External"/><Relationship Id="rId11" Type="http://schemas.openxmlformats.org/officeDocument/2006/relationships/hyperlink" Target="https://www.ncbi.nlm.nih.gov/geo/query/acc.cgi?acc=GSE151263" TargetMode="External"/><Relationship Id="rId10" Type="http://schemas.openxmlformats.org/officeDocument/2006/relationships/hyperlink" Target="https://doi.org/10.1172/jci.insight.135678" TargetMode="External"/><Relationship Id="rId13" Type="http://schemas.openxmlformats.org/officeDocument/2006/relationships/hyperlink" Target="https://www.ncbi.nlm.nih.gov/geo/query/acc.cgi?acc=GSE136831" TargetMode="External"/><Relationship Id="rId12" Type="http://schemas.openxmlformats.org/officeDocument/2006/relationships/hyperlink" Target="https://doi.org/10.1126/sciadv.aba1983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ncbi.nlm.nih.gov/geo/query/acc.cgi?acc=GSE145926" TargetMode="External"/><Relationship Id="rId15" Type="http://schemas.openxmlformats.org/officeDocument/2006/relationships/hyperlink" Target="https://pubmed.ncbi.nlm.nih.gov/39901013/" TargetMode="External"/><Relationship Id="rId14" Type="http://schemas.openxmlformats.org/officeDocument/2006/relationships/hyperlink" Target="http://www.ipfcellatlas.com/" TargetMode="External"/><Relationship Id="rId17" Type="http://schemas.openxmlformats.org/officeDocument/2006/relationships/hyperlink" Target="https://www.ncbi.nlm.nih.gov/geo/query/acc.cgi?acc=GSE286182" TargetMode="External"/><Relationship Id="rId16" Type="http://schemas.openxmlformats.org/officeDocument/2006/relationships/hyperlink" Target="https://www.ncbi.nlm.nih.gov/geo/query/acc.cgi?acc=GSE250346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google.com/search?q=https://www.ebi.ac.uk/biostudies/arrayexpress/studies/E-MTAB-14121" TargetMode="External"/><Relationship Id="rId6" Type="http://schemas.openxmlformats.org/officeDocument/2006/relationships/hyperlink" Target="https://doi.org/10.1038/s41586-021-03569-1" TargetMode="External"/><Relationship Id="rId18" Type="http://schemas.openxmlformats.org/officeDocument/2006/relationships/hyperlink" Target="https://www.google.com/search?q=https://www.ebi.ac.uk/biostudies/arrayexpress/studies/E-MTAB-14121" TargetMode="External"/><Relationship Id="rId7" Type="http://schemas.openxmlformats.org/officeDocument/2006/relationships/hyperlink" Target="https://www.ncbi.nlm.nih.gov/geo/query/acc.cgi?acc=GSE171524" TargetMode="External"/><Relationship Id="rId8" Type="http://schemas.openxmlformats.org/officeDocument/2006/relationships/hyperlink" Target="https://www.google.com/search?q=https://doi.org/10.1038/s41591-020-0901-9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