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Psychiatrists Working with PAs</w:t>
      </w:r>
    </w:p>
    <w:p>
      <w:pPr>
        <w:spacing w:after="120"/>
      </w:pPr>
      <w:r>
        <w:rPr>
          <w:b/>
          <w:bCs/>
        </w:rPr>
        <w:t xml:space="preserve">Key points</w:t>
      </w:r>
    </w:p>
    <w:p>
      <w:pPr>
        <w:pStyle w:val="ListParagraph"/>
        <w:numPr>
          <w:ilvl w:val="0"/>
          <w:numId w:val="2"/>
        </w:numPr>
        <w:spacing w:after="100"/>
      </w:pPr>
      <w:r>
        <w:t xml:space="preserve">Our PAs are experts in emergency psychiatry assessment and disposition planning.</w:t>
      </w:r>
    </w:p>
    <w:p>
      <w:pPr>
        <w:pStyle w:val="ListParagraph"/>
        <w:numPr>
          <w:ilvl w:val="0"/>
          <w:numId w:val="2"/>
        </w:numPr>
        <w:spacing w:after="100"/>
      </w:pPr>
      <w:r>
        <w:t xml:space="preserve">Default model: psychiatrists and PAs assess different patients in parallel — not the same patient together.</w:t>
      </w:r>
    </w:p>
    <w:p>
      <w:pPr>
        <w:pStyle w:val="ListParagraph"/>
        <w:numPr>
          <w:ilvl w:val="0"/>
          <w:numId w:val="2"/>
        </w:numPr>
        <w:spacing w:after="100"/>
      </w:pPr>
      <w:r>
        <w:t xml:space="preserve">Exceptions: first time working together, cases of great complexity, legal reasons (e.g., higher-risk discharges), and occasionally end of shift.</w:t>
      </w:r>
    </w:p>
    <w:p>
      <w:pPr>
        <w:pStyle w:val="ListParagraph"/>
        <w:numPr>
          <w:ilvl w:val="0"/>
          <w:numId w:val="2"/>
        </w:numPr>
        <w:spacing w:after="100"/>
      </w:pPr>
      <w:r>
        <w:t xml:space="preserve">Do not pair up for documentation — Scribeberry handles notes; PA expertise belongs with patients.</w:t>
      </w:r>
    </w:p>
    <w:p>
      <w:pPr>
        <w:spacing w:after="160"/>
      </w:pPr>
      <w:r>
        <w:t xml:space="preserve">The physician assistants (PAs) on the PVCS team are experts in emergency psychiatry assessment, with extensive experience in disposition planning within the service. They conduct thorough crisis assessments, formulate risk, and are well versed in the disposition options available across the province. Psychiatrists can approach the working relationship with confidence in the quality of PA assessments, which is consistent with the broader evidence showing that PAs are reliable assessors who are well accepted by emergency teams and patients, and whose involvement improves patient flow [1, 2].</w:t>
      </w:r>
    </w:p>
    <w:p>
      <w:pPr>
        <w:pStyle w:val="Heading2"/>
      </w:pPr>
      <w:r>
        <w:t xml:space="preserve">The usual model: parallel assessments, not joint ones</w:t>
      </w:r>
    </w:p>
    <w:p>
      <w:pPr>
        <w:spacing w:after="160"/>
      </w:pPr>
      <w:r>
        <w:t xml:space="preserve">For efficiency, a psychiatrist would not ordinarily conduct a consult at the same time as a PA. When each clinician assesses a different patient, the team sees more people sooner, wait times fall, and each clinician’s expertise is fully used. Two experienced assessors sitting in the same interview generally adds little that one of them would have missed, while a patient elsewhere waits longer. Working in parallel is the default; seeing patients together is the exception, and it will be less common than it might otherwise have been.</w:t>
      </w:r>
    </w:p>
    <w:p>
      <w:pPr>
        <w:pStyle w:val="Heading2"/>
      </w:pPr>
      <w:r>
        <w:t xml:space="preserve">When seeing a patient together makes sense</w:t>
      </w:r>
    </w:p>
    <w:p>
      <w:pPr>
        <w:spacing w:after="160"/>
      </w:pPr>
      <w:r>
        <w:t xml:space="preserve">Some circumstances do justify a joint or overlapping assessment:</w:t>
      </w:r>
    </w:p>
    <w:p>
      <w:pPr>
        <w:pStyle w:val="ListParagraph"/>
        <w:numPr>
          <w:ilvl w:val="0"/>
          <w:numId w:val="3"/>
        </w:numPr>
        <w:spacing w:after="120"/>
      </w:pPr>
      <w:r>
        <w:rPr>
          <w:b/>
          <w:bCs/>
        </w:rPr>
        <w:t xml:space="preserve">Working with a PA for the first time. </w:t>
      </w:r>
      <w:r>
        <w:t xml:space="preserve">The first time a psychiatrist works with a PA, it is expected and encouraged that the psychiatrist watch the PA complete an assessment. This is not supervision for its own sake — it is how each of you learns the other’s style, and it is the foundation of the mutual trust and understanding that makes the parallel model work well afterward.</w:t>
      </w:r>
    </w:p>
    <w:p>
      <w:pPr>
        <w:pStyle w:val="ListParagraph"/>
        <w:numPr>
          <w:ilvl w:val="0"/>
          <w:numId w:val="3"/>
        </w:numPr>
        <w:spacing w:after="120"/>
      </w:pPr>
      <w:r>
        <w:rPr>
          <w:b/>
          <w:bCs/>
        </w:rPr>
        <w:t xml:space="preserve">Cases of great complexity. </w:t>
      </w:r>
      <w:r>
        <w:t xml:space="preserve">Occasionally a presentation is complex enough that two perspectives genuinely help. Even in these cases, the most efficient pattern is usually for the PA to complete the initial assessment, with the psychiatrist taking part in a later, more focused assessment that builds on the PA’s work rather than duplicating it.</w:t>
      </w:r>
    </w:p>
    <w:p>
      <w:pPr>
        <w:pStyle w:val="ListParagraph"/>
        <w:numPr>
          <w:ilvl w:val="0"/>
          <w:numId w:val="3"/>
        </w:numPr>
        <w:spacing w:after="120"/>
      </w:pPr>
      <w:r>
        <w:rPr>
          <w:b/>
          <w:bCs/>
        </w:rPr>
        <w:t xml:space="preserve">Legal and medico-legal considerations. </w:t>
      </w:r>
      <w:r>
        <w:t xml:space="preserve">Sometimes there are legal reasons for two clinicians to see the same person — for example, an anticipated higher-risk discharge where independent documentation from two assessors strengthens the clinical record and the defensibility of the decision.</w:t>
      </w:r>
    </w:p>
    <w:p>
      <w:pPr>
        <w:pStyle w:val="ListParagraph"/>
        <w:numPr>
          <w:ilvl w:val="0"/>
          <w:numId w:val="3"/>
        </w:numPr>
        <w:spacing w:after="120"/>
      </w:pPr>
      <w:r>
        <w:rPr>
          <w:b/>
          <w:bCs/>
        </w:rPr>
        <w:t xml:space="preserve">End of shift. </w:t>
      </w:r>
      <w:r>
        <w:t xml:space="preserve">When less than 1.5 hours — or especially less than an hour — remains in the shift, working a case together has sometimes allowed paperwork to be completed before handover. Even this circumstance is expected to be greatly reduced now that we are using Scribeberry, since documentation no longer takes long enough to justify pairing up for it.</w:t>
      </w:r>
    </w:p>
    <w:p>
      <w:pPr>
        <w:pStyle w:val="Heading2"/>
      </w:pPr>
      <w:r>
        <w:t xml:space="preserve">Documentation is not a reason to pair up</w:t>
      </w:r>
    </w:p>
    <w:p>
      <w:pPr>
        <w:spacing w:after="160"/>
      </w:pPr>
      <w:r>
        <w:t xml:space="preserve">Psychiatrists should not have a PA join an assessment simply to write the notes. Our PAs are highly trained clinicians; using that expertise as a scribe is not a good use of it, and it takes them away from patients they could be assessing. Scribeberry is effective for exactly this purpose — it listens to the encounter and drafts structured notes and consult reports, and it is HIPAA and PIPEDA compliant with Canadian data staying in Canada. See our internal guide (</w:t>
      </w:r>
      <w:hyperlink w:history="1" r:id="rId843ab8gdf9yefct_qse_-">
        <w:r>
          <w:rPr>
            <w:rStyle w:val="Hyperlink"/>
          </w:rPr>
          <w:t xml:space="preserve">pvcsmanitoba.ca/scribeberry.html</w:t>
        </w:r>
      </w:hyperlink>
      <w:r>
        <w:t xml:space="preserve"> on the team site) for how we use it within PVCS, and the vendor’s pages for more detail: </w:t>
      </w:r>
      <w:hyperlink w:history="1" r:id="rIdrpufj-qzuwafsc85dqbcu">
        <w:r>
          <w:rPr>
            <w:rStyle w:val="Hyperlink"/>
          </w:rPr>
          <w:t xml:space="preserve">scribeberry.com</w:t>
        </w:r>
      </w:hyperlink>
      <w:r>
        <w:t xml:space="preserve">, the psychiatry-specific overview at </w:t>
      </w:r>
      <w:hyperlink w:history="1" r:id="rIdedhp7ibl21ugswzic-8yl">
        <w:r>
          <w:rPr>
            <w:rStyle w:val="Hyperlink"/>
          </w:rPr>
          <w:t xml:space="preserve">scribeberry.com/specialties/psychiatry</w:t>
        </w:r>
      </w:hyperlink>
      <w:r>
        <w:t xml:space="preserve">, and the app itself at </w:t>
      </w:r>
      <w:hyperlink w:history="1" r:id="rIdvlz_wy0p1ffhgyohwpyya">
        <w:r>
          <w:rPr>
            <w:rStyle w:val="Hyperlink"/>
          </w:rPr>
          <w:t xml:space="preserve">app.scribeberry.com</w:t>
        </w:r>
      </w:hyperlink>
      <w:r>
        <w:t xml:space="preserve">.</w:t>
      </w:r>
    </w:p>
    <w:p>
      <w:pPr>
        <w:pStyle w:val="Heading2"/>
      </w:pPr>
      <w:r>
        <w:t xml:space="preserve">In summary</w:t>
      </w:r>
    </w:p>
    <w:p>
      <w:pPr>
        <w:spacing w:after="160"/>
      </w:pPr>
      <w:r>
        <w:t xml:space="preserve">The default is that psychiatrists and PAs assess different patients at the same time. Joint assessments have their place — building a new working relationship, unusually complex cases, legal reasons such as higher-risk discharges, and occasionally end-of-shift practicalities — but each of these should have a clear purpose, and with Scribeberry handling documentation, joint working will be less common than it otherwise would be. The goal throughout is the same: respect for each clinician’s expertise, and the shortest possible wait for the people who need us.</w:t>
      </w:r>
    </w:p>
    <w:p>
      <w:pPr>
        <w:pStyle w:val="Heading2"/>
      </w:pPr>
      <w:r>
        <w:t xml:space="preserve">References</w:t>
      </w:r>
    </w:p>
    <w:p>
      <w:pPr>
        <w:pStyle w:val="ListParagraph"/>
        <w:numPr>
          <w:ilvl w:val="0"/>
          <w:numId w:val="4"/>
        </w:numPr>
        <w:spacing w:after="120"/>
      </w:pPr>
      <w:r>
        <w:t xml:space="preserve">Doan Q, Sabhaney V, Kissoon N, Sheps S, Singer J. A systematic review: the role and impact of the physician assistant in the emergency department. Emergency Medicine Australasia. 2011;23(1):7–15. </w:t>
      </w:r>
      <w:hyperlink w:history="1" r:id="rIdh0c7jszlfasx_q4emhf7d">
        <w:r>
          <w:rPr>
            <w:rStyle w:val="Hyperlink"/>
          </w:rPr>
          <w:t xml:space="preserve">https://pubmed.ncbi.nlm.nih.gov/21284809/</w:t>
        </w:r>
      </w:hyperlink>
    </w:p>
    <w:p>
      <w:pPr>
        <w:pStyle w:val="ListParagraph"/>
        <w:numPr>
          <w:ilvl w:val="0"/>
          <w:numId w:val="4"/>
        </w:numPr>
        <w:spacing w:after="120"/>
      </w:pPr>
      <w:r>
        <w:t xml:space="preserve">The contribution of physician associates or assistants to the emergency department: a systematic scoping review. JACEP Open. 2023. </w:t>
      </w:r>
      <w:hyperlink w:history="1" r:id="rId0xfdhgcq5joqs_thfmghi">
        <w:r>
          <w:rPr>
            <w:rStyle w:val="Hyperlink"/>
          </w:rPr>
          <w:t xml:space="preserve">https://pmc.ncbi.nlm.nih.gov/articles/PMC10288079/</w:t>
        </w:r>
      </w:hyperlink>
    </w:p>
    <w:p>
      <w:pPr>
        <w:pStyle w:val="ListParagraph"/>
        <w:numPr>
          <w:ilvl w:val="0"/>
          <w:numId w:val="4"/>
        </w:numPr>
        <w:spacing w:after="120"/>
      </w:pPr>
      <w:r>
        <w:t xml:space="preserve">Canadian Association of Physician Assistants — scope of practice and role information. </w:t>
      </w:r>
      <w:hyperlink w:history="1" r:id="rIdgaq-5nr13l4okchu-ztyx">
        <w:r>
          <w:rPr>
            <w:rStyle w:val="Hyperlink"/>
          </w:rPr>
          <w:t xml:space="preserve">https://capa-acam.ca/</w:t>
        </w:r>
      </w:hyperlink>
    </w:p>
    <w:p>
      <w:pPr>
        <w:pStyle w:val="ListParagraph"/>
        <w:numPr>
          <w:ilvl w:val="0"/>
          <w:numId w:val="4"/>
        </w:numPr>
        <w:spacing w:after="120"/>
      </w:pPr>
      <w:r>
        <w:t xml:space="preserve">Scribeberry — AI medical scribe (HIPAA, PIPEDA, SOC 2). </w:t>
      </w:r>
      <w:hyperlink w:history="1" r:id="rIdna13ke93xyv7e1mrqjp8s">
        <w:r>
          <w:rPr>
            <w:rStyle w:val="Hyperlink"/>
          </w:rPr>
          <w:t xml:space="preserve">https://scribeberry.com/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43ab8gdf9yefct_qse_-" Type="http://schemas.openxmlformats.org/officeDocument/2006/relationships/hyperlink" Target="https://pvcsmanitoba.ca/scribeberry.html" TargetMode="External"/><Relationship Id="rIdrpufj-qzuwafsc85dqbcu" Type="http://schemas.openxmlformats.org/officeDocument/2006/relationships/hyperlink" Target="https://scribeberry.com/" TargetMode="External"/><Relationship Id="rIdedhp7ibl21ugswzic-8yl" Type="http://schemas.openxmlformats.org/officeDocument/2006/relationships/hyperlink" Target="https://scribeberry.com/specialties/psychiatry" TargetMode="External"/><Relationship Id="rIdvlz_wy0p1ffhgyohwpyya" Type="http://schemas.openxmlformats.org/officeDocument/2006/relationships/hyperlink" Target="https://app.scribeberry.com" TargetMode="External"/><Relationship Id="rIdh0c7jszlfasx_q4emhf7d" Type="http://schemas.openxmlformats.org/officeDocument/2006/relationships/hyperlink" Target="https://pubmed.ncbi.nlm.nih.gov/21284809/" TargetMode="External"/><Relationship Id="rId0xfdhgcq5joqs_thfmghi" Type="http://schemas.openxmlformats.org/officeDocument/2006/relationships/hyperlink" Target="https://pmc.ncbi.nlm.nih.gov/articles/PMC10288079/" TargetMode="External"/><Relationship Id="rIdgaq-5nr13l4okchu-ztyx" Type="http://schemas.openxmlformats.org/officeDocument/2006/relationships/hyperlink" Target="https://capa-acam.ca/" TargetMode="External"/><Relationship Id="rIdna13ke93xyv7e1mrqjp8s" Type="http://schemas.openxmlformats.org/officeDocument/2006/relationships/hyperlink" Target="https://scribeberry.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2026-07-06T23:25:39.758Z</dcterms:created>
  <dcterms:modified xsi:type="dcterms:W3CDTF">2026-07-06T23:25:39.758Z</dcterms:modified>
</cp:coreProperties>
</file>

<file path=docProps/custom.xml><?xml version="1.0" encoding="utf-8"?>
<Properties xmlns="http://schemas.openxmlformats.org/officeDocument/2006/custom-properties" xmlns:vt="http://schemas.openxmlformats.org/officeDocument/2006/docPropsVTypes"/>
</file>