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Doctors360 Leadership Profile</w:t>
      </w:r>
    </w:p>
    <w:p>
      <w:r>
        <w:rPr>
          <w:b/>
          <w:sz w:val="32"/>
        </w:rPr>
        <w:t>Estone Omondi Kiziah</w:t>
        <w:br/>
      </w:r>
      <w:r>
        <w:rPr>
          <w:b/>
        </w:rPr>
        <w:t>Board Chair</w:t>
      </w:r>
    </w:p>
    <w:p>
      <w:r>
        <w:t>Estone Omondi Kiziah is the Board Chair of Doctors360 and a seasoned finance and governance professional with over 20 years of leadership experience across the humanitarian, health, and development sectors in Africa and the Middle East.</w:t>
      </w:r>
    </w:p>
    <w:p>
      <w:r>
        <w:t>He has held senior executive positions with international non-governmental organisations, providing strategic leadership in finance, corporate governance, human resources, administration, compliance, risk management, and organisational development. Throughout his career, he has worked closely with executive leadership teams, boards of directors, development partners, auditors, and regulatory authorities to strengthen institutional performance, accountability, and transparency.</w:t>
      </w:r>
    </w:p>
    <w:p>
      <w:r>
        <w:t>Estone brings extensive expertise in strategic planning, financial stewardship, governance, policy development, and institutional strengthening. He has successfully led the design and implementation of governance frameworks, financial systems, and operational policies that have enhanced organisational effectiveness and ensured compliance with international standards and donor requirements.</w:t>
      </w:r>
    </w:p>
    <w:p>
      <w:r>
        <w:t>As Board Chair of Doctors360, Estone provides strategic oversight, promotes sound corporate governance, and supports the organisation's long-term vision of delivering accessible, high-quality healthcare. He is widely respected for his integrity, strategic thinking, and collaborative leadership, with a strong commitment to ethical decision-making, prudent financial management, and sustainable organisational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