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0434F1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480" w:after="480" w:line="400" w:lineRule="exact"/>
        <w:ind w:left="0" w:firstLine="643" w:firstLineChars="200"/>
        <w:jc w:val="both"/>
        <w:textAlignment w:val="auto"/>
        <w:rPr>
          <w:rFonts w:hint="eastAsia" w:ascii="黑体" w:hAnsi="黑体" w:eastAsia="黑体" w:cs="黑体"/>
          <w:sz w:val="32"/>
          <w:szCs w:val="32"/>
        </w:rPr>
      </w:pPr>
      <w:r>
        <w:rPr>
          <w:rFonts w:hint="eastAsia" w:ascii="黑体" w:hAnsi="黑体" w:eastAsia="黑体" w:cs="黑体"/>
          <w:b/>
          <w:sz w:val="32"/>
          <w:szCs w:val="32"/>
        </w:rPr>
        <w:t>夺宝利剑功能学习笔记</w:t>
      </w:r>
    </w:p>
    <w:p w14:paraId="65B8B16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line="400" w:lineRule="exact"/>
        <w:ind w:left="0" w:firstLine="480" w:firstLineChars="200"/>
        <w:jc w:val="both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本次主要学习夺宝利剑三大核心功能：三维波动量、飞天AI智能均线、双龙出海战法以及配套的抓牛股信号指标，全方位掌握指标用法、判断标准、市场含义及实战技巧，用于股票全周期分析、捕捉买卖点、预判股价变盘趋势。</w:t>
      </w:r>
    </w:p>
    <w:p w14:paraId="6D469BB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20" w:line="400" w:lineRule="exact"/>
        <w:ind w:left="0" w:firstLine="482" w:firstLineChars="200"/>
        <w:jc w:val="both"/>
        <w:textAlignment w:val="auto"/>
        <w:outlineLvl w:val="1"/>
        <w:rPr>
          <w:rFonts w:hint="eastAsia" w:asciiTheme="minorEastAsia" w:hAnsiTheme="minorEastAsia" w:eastAsiaTheme="minorEastAsia" w:cstheme="minorEastAsia"/>
          <w:sz w:val="24"/>
          <w:szCs w:val="24"/>
        </w:rPr>
      </w:pPr>
      <w:bookmarkStart w:id="0" w:name="heading_0"/>
      <w:r>
        <w:rPr>
          <w:rFonts w:hint="eastAsia" w:asciiTheme="minorEastAsia" w:hAnsiTheme="minorEastAsia" w:eastAsiaTheme="minorEastAsia" w:cstheme="minorEastAsia"/>
          <w:b/>
          <w:sz w:val="24"/>
          <w:szCs w:val="24"/>
        </w:rPr>
        <w:t>一、三维波动量</w:t>
      </w:r>
      <w:bookmarkEnd w:id="0"/>
    </w:p>
    <w:p w14:paraId="626D97B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line="400" w:lineRule="exact"/>
        <w:ind w:left="0" w:firstLine="480" w:firstLineChars="200"/>
        <w:jc w:val="both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三维波动量是股票交易盈利的核心指标，能够直观拆解多空双方动能强弱、捕捉股价变盘节点、追踪整体运行趋势，弥补普通指标分析片面、无法把控时间节点的短板。</w:t>
      </w:r>
    </w:p>
    <w:p w14:paraId="447E640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00" w:line="400" w:lineRule="exact"/>
        <w:ind w:left="0" w:firstLine="482" w:firstLineChars="200"/>
        <w:jc w:val="both"/>
        <w:textAlignment w:val="auto"/>
        <w:outlineLvl w:val="2"/>
        <w:rPr>
          <w:rFonts w:hint="eastAsia" w:asciiTheme="minorEastAsia" w:hAnsiTheme="minorEastAsia" w:eastAsiaTheme="minorEastAsia" w:cstheme="minorEastAsia"/>
          <w:sz w:val="24"/>
          <w:szCs w:val="24"/>
        </w:rPr>
      </w:pPr>
      <w:bookmarkStart w:id="1" w:name="heading_1"/>
      <w:r>
        <w:rPr>
          <w:rFonts w:hint="eastAsia" w:asciiTheme="minorEastAsia" w:hAnsiTheme="minorEastAsia" w:eastAsiaTheme="minorEastAsia" w:cstheme="minorEastAsia"/>
          <w:b/>
          <w:sz w:val="24"/>
          <w:szCs w:val="24"/>
        </w:rPr>
        <w:t>（一）核心参数含义</w:t>
      </w:r>
      <w:bookmarkEnd w:id="1"/>
    </w:p>
    <w:p w14:paraId="6385E3A4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line="400" w:lineRule="exact"/>
        <w:ind w:leftChars="200" w:firstLine="480" w:firstLineChars="200"/>
        <w:jc w:val="both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b w:val="0"/>
          <w:bCs/>
          <w:sz w:val="24"/>
          <w:szCs w:val="24"/>
        </w:rPr>
        <w:t>ZM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：多方动能，代</w:t>
      </w:r>
      <w:bookmarkStart w:id="14" w:name="_GoBack"/>
      <w:bookmarkEnd w:id="14"/>
      <w:r>
        <w:rPr>
          <w:rFonts w:hint="eastAsia" w:asciiTheme="minorEastAsia" w:hAnsiTheme="minorEastAsia" w:eastAsiaTheme="minorEastAsia" w:cstheme="minorEastAsia"/>
          <w:sz w:val="24"/>
          <w:szCs w:val="24"/>
        </w:rPr>
        <w:t>表市场买入资金力量，数值越高，多头进攻意愿越强。</w:t>
      </w:r>
    </w:p>
    <w:p w14:paraId="3CDE06D5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line="400" w:lineRule="exact"/>
        <w:ind w:leftChars="200" w:firstLine="480" w:firstLineChars="200"/>
        <w:jc w:val="both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b w:val="0"/>
          <w:bCs/>
          <w:sz w:val="24"/>
          <w:szCs w:val="24"/>
        </w:rPr>
        <w:t>ZS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：空方动能，代表市场卖出资金力量，数值越高，空头抛售压力越大。</w:t>
      </w:r>
    </w:p>
    <w:p w14:paraId="12167CAF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line="400" w:lineRule="exact"/>
        <w:ind w:leftChars="200" w:firstLine="480" w:firstLineChars="200"/>
        <w:jc w:val="both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b w:val="0"/>
          <w:bCs/>
          <w:sz w:val="24"/>
          <w:szCs w:val="24"/>
        </w:rPr>
        <w:t>ZF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：多空差值，多方动能与空方动能的差额，直观展示当下市场整体偏向，差值为正偏向多头，差值为负偏向空头。</w:t>
      </w:r>
    </w:p>
    <w:p w14:paraId="555AF38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00" w:line="400" w:lineRule="exact"/>
        <w:ind w:left="0" w:firstLine="482" w:firstLineChars="200"/>
        <w:jc w:val="both"/>
        <w:textAlignment w:val="auto"/>
        <w:outlineLvl w:val="2"/>
        <w:rPr>
          <w:rFonts w:hint="eastAsia" w:asciiTheme="minorEastAsia" w:hAnsiTheme="minorEastAsia" w:eastAsiaTheme="minorEastAsia" w:cstheme="minorEastAsia"/>
          <w:sz w:val="24"/>
          <w:szCs w:val="24"/>
        </w:rPr>
      </w:pPr>
      <w:bookmarkStart w:id="2" w:name="heading_2"/>
      <w:r>
        <w:rPr>
          <w:rFonts w:hint="eastAsia" w:asciiTheme="minorEastAsia" w:hAnsiTheme="minorEastAsia" w:eastAsiaTheme="minorEastAsia" w:cstheme="minorEastAsia"/>
          <w:b/>
          <w:sz w:val="24"/>
          <w:szCs w:val="24"/>
        </w:rPr>
        <w:t>（二）三线指标作用</w:t>
      </w:r>
      <w:bookmarkEnd w:id="2"/>
    </w:p>
    <w:p w14:paraId="377ECAB3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line="400" w:lineRule="exact"/>
        <w:ind w:leftChars="200" w:firstLine="482" w:firstLineChars="200"/>
        <w:jc w:val="both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b/>
          <w:sz w:val="24"/>
          <w:szCs w:val="24"/>
        </w:rPr>
        <w:t>白色线（多空博弈线）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：核心作用是标记多空力量转换临界点，判断市场多空局势反转，辅助投资者判断当下行情主导方；单一白线分析具备局限性，需结合另外两条线综合研判。</w:t>
      </w:r>
    </w:p>
    <w:p w14:paraId="77528B8C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line="400" w:lineRule="exact"/>
        <w:ind w:leftChars="200" w:firstLine="482" w:firstLineChars="200"/>
        <w:jc w:val="both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b/>
          <w:sz w:val="24"/>
          <w:szCs w:val="24"/>
        </w:rPr>
        <w:t>黄色线（股价变局线）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：把控变盘时间节点，是该指标最大优势。当黄色线到达关键位置或上穿0轴时，预示股价即将发生重大趋势转变，精准弥补多数技术指标无法锁定变盘时间的缺陷。</w:t>
      </w:r>
    </w:p>
    <w:p w14:paraId="6A289A03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line="400" w:lineRule="exact"/>
        <w:ind w:leftChars="200" w:firstLine="482" w:firstLineChars="200"/>
        <w:jc w:val="both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b/>
          <w:sz w:val="24"/>
          <w:szCs w:val="24"/>
        </w:rPr>
        <w:t>紫色线（趋势追踪线）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：主打中长期趋势追踪，帮助投资者判断个股整体运行趋势，区分震荡、上涨、下跌三种行情，规避逆势交易风险。</w:t>
      </w:r>
    </w:p>
    <w:p w14:paraId="6928F67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20" w:line="400" w:lineRule="exact"/>
        <w:ind w:left="0" w:firstLine="482" w:firstLineChars="200"/>
        <w:jc w:val="both"/>
        <w:textAlignment w:val="auto"/>
        <w:outlineLvl w:val="1"/>
        <w:rPr>
          <w:rFonts w:hint="eastAsia" w:asciiTheme="minorEastAsia" w:hAnsiTheme="minorEastAsia" w:eastAsiaTheme="minorEastAsia" w:cstheme="minorEastAsia"/>
          <w:sz w:val="24"/>
          <w:szCs w:val="24"/>
        </w:rPr>
      </w:pPr>
      <w:bookmarkStart w:id="3" w:name="heading_3"/>
      <w:r>
        <w:rPr>
          <w:rFonts w:hint="eastAsia" w:asciiTheme="minorEastAsia" w:hAnsiTheme="minorEastAsia" w:eastAsiaTheme="minorEastAsia" w:cstheme="minorEastAsia"/>
          <w:b/>
          <w:sz w:val="24"/>
          <w:szCs w:val="24"/>
        </w:rPr>
        <w:t>二、飞天（AI智能均线）</w:t>
      </w:r>
      <w:bookmarkEnd w:id="3"/>
    </w:p>
    <w:p w14:paraId="3FB7A54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line="400" w:lineRule="exact"/>
        <w:ind w:left="0" w:firstLine="480" w:firstLineChars="200"/>
        <w:jc w:val="both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飞天指标被定义为最聪明的AI智能均线，结合波动量使用，可适配全周期分析，精准预判股价变盘点、识别买卖信号，适配短线、中线多种交易模式。</w:t>
      </w:r>
    </w:p>
    <w:p w14:paraId="22CEBFE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00" w:line="400" w:lineRule="exact"/>
        <w:ind w:left="0" w:firstLine="482" w:firstLineChars="200"/>
        <w:jc w:val="both"/>
        <w:textAlignment w:val="auto"/>
        <w:outlineLvl w:val="2"/>
        <w:rPr>
          <w:rFonts w:hint="eastAsia" w:asciiTheme="minorEastAsia" w:hAnsiTheme="minorEastAsia" w:eastAsiaTheme="minorEastAsia" w:cstheme="minorEastAsia"/>
          <w:sz w:val="24"/>
          <w:szCs w:val="24"/>
        </w:rPr>
      </w:pPr>
      <w:bookmarkStart w:id="4" w:name="heading_4"/>
      <w:r>
        <w:rPr>
          <w:rFonts w:hint="eastAsia" w:asciiTheme="minorEastAsia" w:hAnsiTheme="minorEastAsia" w:eastAsiaTheme="minorEastAsia" w:cstheme="minorEastAsia"/>
          <w:b/>
          <w:sz w:val="24"/>
          <w:szCs w:val="24"/>
        </w:rPr>
        <w:t>（一）基础买入三大条件（与天外飞仙信号通用）</w:t>
      </w:r>
      <w:bookmarkEnd w:id="4"/>
    </w:p>
    <w:p w14:paraId="506F32CE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line="400" w:lineRule="exact"/>
        <w:ind w:leftChars="200" w:firstLine="480" w:firstLineChars="200"/>
        <w:jc w:val="both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波动量多空博弈白线，成功上穿0轴，市场多头力量开始占据主导；</w:t>
      </w:r>
    </w:p>
    <w:p w14:paraId="0CC249B1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line="400" w:lineRule="exact"/>
        <w:ind w:leftChars="200" w:firstLine="480" w:firstLineChars="200"/>
        <w:jc w:val="both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波动量当期红色柱体长度，大于昨日全部柱体总长度，多头资金放量进攻；</w:t>
      </w:r>
    </w:p>
    <w:p w14:paraId="36FE8032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line="400" w:lineRule="exact"/>
        <w:ind w:leftChars="200" w:firstLine="480" w:firstLineChars="200"/>
        <w:jc w:val="both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个股股价有效冲出天线压力位，突破短期压制。</w:t>
      </w:r>
    </w:p>
    <w:p w14:paraId="7DD6839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00" w:line="400" w:lineRule="exact"/>
        <w:ind w:left="0" w:firstLine="482" w:firstLineChars="200"/>
        <w:jc w:val="both"/>
        <w:textAlignment w:val="auto"/>
        <w:outlineLvl w:val="2"/>
        <w:rPr>
          <w:rFonts w:hint="eastAsia" w:asciiTheme="minorEastAsia" w:hAnsiTheme="minorEastAsia" w:eastAsiaTheme="minorEastAsia" w:cstheme="minorEastAsia"/>
          <w:sz w:val="24"/>
          <w:szCs w:val="24"/>
        </w:rPr>
      </w:pPr>
      <w:bookmarkStart w:id="5" w:name="heading_5"/>
      <w:r>
        <w:rPr>
          <w:rFonts w:hint="eastAsia" w:asciiTheme="minorEastAsia" w:hAnsiTheme="minorEastAsia" w:eastAsiaTheme="minorEastAsia" w:cstheme="minorEastAsia"/>
          <w:b/>
          <w:sz w:val="24"/>
          <w:szCs w:val="24"/>
        </w:rPr>
        <w:t>（二）实战持股风控用法</w:t>
      </w:r>
      <w:bookmarkEnd w:id="5"/>
    </w:p>
    <w:p w14:paraId="0743606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line="400" w:lineRule="exact"/>
        <w:ind w:left="0" w:firstLine="480" w:firstLineChars="200"/>
        <w:jc w:val="both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持股阶段可依托天线判断止盈、止损变盘点：股价突破天线后，一般会开启上涨行情；上涨过程中，天线会动态跟随股价，形成保护压力/支撑位。</w:t>
      </w:r>
    </w:p>
    <w:p w14:paraId="6A37A2C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line="400" w:lineRule="exact"/>
        <w:ind w:left="0" w:firstLine="480" w:firstLineChars="200"/>
        <w:jc w:val="both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若股价冲高后跌破天线，代表上涨趋势出现转折信号，多头动能衰竭，潜在风险加剧，需及时警惕，结合盘面考虑减仓或清仓离场；该用法可提前预判变盘拐点，帮助投资者规避回落亏损。</w:t>
      </w:r>
    </w:p>
    <w:p w14:paraId="491F45E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00" w:line="400" w:lineRule="exact"/>
        <w:ind w:left="0" w:firstLine="482" w:firstLineChars="200"/>
        <w:jc w:val="both"/>
        <w:textAlignment w:val="auto"/>
        <w:outlineLvl w:val="2"/>
        <w:rPr>
          <w:rFonts w:hint="eastAsia" w:asciiTheme="minorEastAsia" w:hAnsiTheme="minorEastAsia" w:eastAsiaTheme="minorEastAsia" w:cstheme="minorEastAsia"/>
          <w:sz w:val="24"/>
          <w:szCs w:val="24"/>
        </w:rPr>
      </w:pPr>
      <w:bookmarkStart w:id="6" w:name="heading_6"/>
      <w:r>
        <w:rPr>
          <w:rFonts w:hint="eastAsia" w:asciiTheme="minorEastAsia" w:hAnsiTheme="minorEastAsia" w:eastAsiaTheme="minorEastAsia" w:cstheme="minorEastAsia"/>
          <w:b/>
          <w:sz w:val="24"/>
          <w:szCs w:val="24"/>
        </w:rPr>
        <w:t>（三）飞天四线排列形态</w:t>
      </w:r>
      <w:bookmarkEnd w:id="6"/>
    </w:p>
    <w:p w14:paraId="68B21B6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line="400" w:lineRule="exact"/>
        <w:ind w:left="0" w:firstLine="480" w:firstLineChars="200"/>
        <w:jc w:val="both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飞天四线存在</w:t>
      </w:r>
      <w:r>
        <w:rPr>
          <w:rFonts w:hint="eastAsia" w:asciiTheme="minorEastAsia" w:hAnsiTheme="minorEastAsia" w:eastAsiaTheme="minorEastAsia" w:cstheme="minorEastAsia"/>
          <w:b/>
          <w:sz w:val="24"/>
          <w:szCs w:val="24"/>
        </w:rPr>
        <w:t>四线合并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特殊形态，合并后分化为两种趋势结构，是判断涨跌趋势的重要依据，同时可辅助捕捉下跌后的反弹反击机会：</w:t>
      </w:r>
    </w:p>
    <w:p w14:paraId="36AB8DA5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line="400" w:lineRule="exact"/>
        <w:ind w:leftChars="200" w:firstLine="482" w:firstLineChars="200"/>
        <w:jc w:val="both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b/>
          <w:sz w:val="24"/>
          <w:szCs w:val="24"/>
        </w:rPr>
        <w:t>多头排列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：天线在上，流线在下。代表市场多头格局，支撑股价持续上涨，适合持仓、低吸加仓；</w:t>
      </w:r>
    </w:p>
    <w:p w14:paraId="29405804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line="400" w:lineRule="exact"/>
        <w:ind w:leftChars="200" w:firstLine="482" w:firstLineChars="200"/>
        <w:jc w:val="both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b/>
          <w:sz w:val="24"/>
          <w:szCs w:val="24"/>
        </w:rPr>
        <w:t>空头排列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：流线在上，天线在下。代表市场空头格局，股价整体承压下行，非绝佳买点，以观望为主。</w:t>
      </w:r>
    </w:p>
    <w:p w14:paraId="4C19566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20" w:line="400" w:lineRule="exact"/>
        <w:ind w:left="0" w:firstLine="482" w:firstLineChars="200"/>
        <w:jc w:val="both"/>
        <w:textAlignment w:val="auto"/>
        <w:outlineLvl w:val="1"/>
        <w:rPr>
          <w:rFonts w:hint="eastAsia" w:asciiTheme="minorEastAsia" w:hAnsiTheme="minorEastAsia" w:eastAsiaTheme="minorEastAsia" w:cstheme="minorEastAsia"/>
          <w:sz w:val="24"/>
          <w:szCs w:val="24"/>
        </w:rPr>
      </w:pPr>
      <w:bookmarkStart w:id="7" w:name="heading_7"/>
      <w:r>
        <w:rPr>
          <w:rFonts w:hint="eastAsia" w:asciiTheme="minorEastAsia" w:hAnsiTheme="minorEastAsia" w:eastAsiaTheme="minorEastAsia" w:cstheme="minorEastAsia"/>
          <w:b/>
          <w:sz w:val="24"/>
          <w:szCs w:val="24"/>
        </w:rPr>
        <w:t>三、双龙出海（进阶买入战法）</w:t>
      </w:r>
      <w:bookmarkEnd w:id="7"/>
    </w:p>
    <w:p w14:paraId="6A3EA1F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line="400" w:lineRule="exact"/>
        <w:ind w:left="0" w:firstLine="480" w:firstLineChars="200"/>
        <w:jc w:val="both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双龙出海为确定性较高的顺势买入信号，适配趋势上涨行情，信号出现代表场内买盘集中爆发，短期股价上涨概率极高。</w:t>
      </w:r>
    </w:p>
    <w:p w14:paraId="3FB0E4A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00" w:line="400" w:lineRule="exact"/>
        <w:ind w:left="0" w:firstLine="482" w:firstLineChars="200"/>
        <w:jc w:val="both"/>
        <w:textAlignment w:val="auto"/>
        <w:outlineLvl w:val="2"/>
        <w:rPr>
          <w:rFonts w:hint="eastAsia" w:asciiTheme="minorEastAsia" w:hAnsiTheme="minorEastAsia" w:eastAsiaTheme="minorEastAsia" w:cstheme="minorEastAsia"/>
          <w:sz w:val="24"/>
          <w:szCs w:val="24"/>
        </w:rPr>
      </w:pPr>
      <w:bookmarkStart w:id="8" w:name="heading_8"/>
      <w:r>
        <w:rPr>
          <w:rFonts w:hint="eastAsia" w:asciiTheme="minorEastAsia" w:hAnsiTheme="minorEastAsia" w:eastAsiaTheme="minorEastAsia" w:cstheme="minorEastAsia"/>
          <w:b/>
          <w:sz w:val="24"/>
          <w:szCs w:val="24"/>
        </w:rPr>
        <w:t>（一）信号触发三大条件（缺一不可）</w:t>
      </w:r>
      <w:bookmarkEnd w:id="8"/>
    </w:p>
    <w:p w14:paraId="4558B878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line="400" w:lineRule="exact"/>
        <w:ind w:leftChars="200" w:firstLine="480" w:firstLineChars="200"/>
        <w:jc w:val="both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三维波动量黄色股价变局线上穿0轴，确认股价进入变盘窗口期；</w:t>
      </w:r>
    </w:p>
    <w:p w14:paraId="4EF19422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line="400" w:lineRule="exact"/>
        <w:ind w:leftChars="200" w:firstLine="480" w:firstLineChars="200"/>
        <w:jc w:val="both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飞天指标天线上穿流线，均线结构形成多头趋势；</w:t>
      </w:r>
    </w:p>
    <w:p w14:paraId="4D127FD1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line="400" w:lineRule="exact"/>
        <w:ind w:leftChars="200" w:firstLine="480" w:firstLineChars="200"/>
        <w:jc w:val="both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个股当前股价稳定运行于天线上方，突破压力且站稳支撑。</w:t>
      </w:r>
    </w:p>
    <w:p w14:paraId="4E374EF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00" w:line="400" w:lineRule="exact"/>
        <w:ind w:left="0" w:firstLine="482" w:firstLineChars="200"/>
        <w:jc w:val="both"/>
        <w:textAlignment w:val="auto"/>
        <w:outlineLvl w:val="2"/>
        <w:rPr>
          <w:rFonts w:hint="eastAsia" w:asciiTheme="minorEastAsia" w:hAnsiTheme="minorEastAsia" w:eastAsiaTheme="minorEastAsia" w:cstheme="minorEastAsia"/>
          <w:sz w:val="24"/>
          <w:szCs w:val="24"/>
        </w:rPr>
      </w:pPr>
      <w:bookmarkStart w:id="9" w:name="heading_9"/>
      <w:r>
        <w:rPr>
          <w:rFonts w:hint="eastAsia" w:asciiTheme="minorEastAsia" w:hAnsiTheme="minorEastAsia" w:eastAsiaTheme="minorEastAsia" w:cstheme="minorEastAsia"/>
          <w:b/>
          <w:sz w:val="24"/>
          <w:szCs w:val="24"/>
        </w:rPr>
        <w:t>（二）战法核心逻辑</w:t>
      </w:r>
      <w:bookmarkEnd w:id="9"/>
    </w:p>
    <w:p w14:paraId="5AF79A0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line="400" w:lineRule="exact"/>
        <w:ind w:left="0" w:firstLine="480" w:firstLineChars="200"/>
        <w:jc w:val="both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在特定时间节点，市场买盘资金远超卖盘，股价同步上穿下方股价变局线，当日K线完成趋势质变。依托三维波动量黄线锁定时间、飞天均线确认趋势，双重保障，大幅提升买入成功率。</w:t>
      </w:r>
    </w:p>
    <w:p w14:paraId="0D0622E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20" w:line="400" w:lineRule="exact"/>
        <w:ind w:left="0" w:firstLine="482" w:firstLineChars="200"/>
        <w:jc w:val="both"/>
        <w:textAlignment w:val="auto"/>
        <w:outlineLvl w:val="1"/>
        <w:rPr>
          <w:rFonts w:hint="eastAsia" w:asciiTheme="minorEastAsia" w:hAnsiTheme="minorEastAsia" w:eastAsiaTheme="minorEastAsia" w:cstheme="minorEastAsia"/>
          <w:sz w:val="24"/>
          <w:szCs w:val="24"/>
        </w:rPr>
      </w:pPr>
      <w:bookmarkStart w:id="10" w:name="heading_10"/>
      <w:r>
        <w:rPr>
          <w:rFonts w:hint="eastAsia" w:asciiTheme="minorEastAsia" w:hAnsiTheme="minorEastAsia" w:eastAsiaTheme="minorEastAsia" w:cstheme="minorEastAsia"/>
          <w:b/>
          <w:sz w:val="24"/>
          <w:szCs w:val="24"/>
        </w:rPr>
        <w:t>四、抓牛股：天外飞仙（专项牛股信号）</w:t>
      </w:r>
      <w:bookmarkEnd w:id="10"/>
    </w:p>
    <w:p w14:paraId="138EC59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00" w:line="400" w:lineRule="exact"/>
        <w:ind w:left="0" w:firstLine="482" w:firstLineChars="200"/>
        <w:jc w:val="both"/>
        <w:textAlignment w:val="auto"/>
        <w:outlineLvl w:val="2"/>
        <w:rPr>
          <w:rFonts w:hint="eastAsia" w:asciiTheme="minorEastAsia" w:hAnsiTheme="minorEastAsia" w:eastAsiaTheme="minorEastAsia" w:cstheme="minorEastAsia"/>
          <w:sz w:val="24"/>
          <w:szCs w:val="24"/>
        </w:rPr>
      </w:pPr>
      <w:bookmarkStart w:id="11" w:name="heading_11"/>
      <w:r>
        <w:rPr>
          <w:rFonts w:hint="eastAsia" w:asciiTheme="minorEastAsia" w:hAnsiTheme="minorEastAsia" w:eastAsiaTheme="minorEastAsia" w:cstheme="minorEastAsia"/>
          <w:b/>
          <w:sz w:val="24"/>
          <w:szCs w:val="24"/>
        </w:rPr>
        <w:t>（一）基础入场信号</w:t>
      </w:r>
      <w:bookmarkEnd w:id="11"/>
    </w:p>
    <w:p w14:paraId="10E9D9D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line="400" w:lineRule="exact"/>
        <w:ind w:left="0" w:firstLine="480" w:firstLineChars="200"/>
        <w:jc w:val="both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满足前文飞天指标三大基础买入条件：波动量多空博弈线上穿0轴、当期波动量红柱长度大于昨日柱体总长、股价成功冲出天线压力位。该信号又名飞天上手指，是捕捉牛股的基础预警信号。</w:t>
      </w:r>
    </w:p>
    <w:p w14:paraId="7F30D8D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00" w:line="400" w:lineRule="exact"/>
        <w:ind w:left="0" w:firstLine="482" w:firstLineChars="200"/>
        <w:jc w:val="both"/>
        <w:textAlignment w:val="auto"/>
        <w:outlineLvl w:val="2"/>
        <w:rPr>
          <w:rFonts w:hint="eastAsia" w:asciiTheme="minorEastAsia" w:hAnsiTheme="minorEastAsia" w:eastAsiaTheme="minorEastAsia" w:cstheme="minorEastAsia"/>
          <w:sz w:val="24"/>
          <w:szCs w:val="24"/>
        </w:rPr>
      </w:pPr>
      <w:bookmarkStart w:id="12" w:name="heading_12"/>
      <w:r>
        <w:rPr>
          <w:rFonts w:hint="eastAsia" w:asciiTheme="minorEastAsia" w:hAnsiTheme="minorEastAsia" w:eastAsiaTheme="minorEastAsia" w:cstheme="minorEastAsia"/>
          <w:b/>
          <w:sz w:val="24"/>
          <w:szCs w:val="24"/>
        </w:rPr>
        <w:t>（二）波动出击（主动加仓信号）</w:t>
      </w:r>
      <w:bookmarkEnd w:id="12"/>
    </w:p>
    <w:p w14:paraId="3D07BFC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line="400" w:lineRule="exact"/>
        <w:ind w:left="0" w:firstLine="480" w:firstLineChars="200"/>
        <w:jc w:val="both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核心逻辑：依托向上跳空缺口，判断多头是否完全占据市场上风，属于激进型加仓、入场信号。</w:t>
      </w:r>
    </w:p>
    <w:p w14:paraId="30DD49B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line="400" w:lineRule="exact"/>
        <w:ind w:left="0" w:firstLine="480" w:firstLineChars="200"/>
        <w:jc w:val="both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判断标准：个股出现</w:t>
      </w:r>
      <w:r>
        <w:rPr>
          <w:rFonts w:hint="eastAsia" w:asciiTheme="minorEastAsia" w:hAnsiTheme="minorEastAsia" w:eastAsiaTheme="minorEastAsia" w:cstheme="minorEastAsia"/>
          <w:b/>
          <w:sz w:val="24"/>
          <w:szCs w:val="24"/>
        </w:rPr>
        <w:t>向上跳空缺口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，且同步满足波动量多空博弈白线上穿0轴的条件，缺口叠加放量多头信号，说明主力主动进攻意愿强烈，可择机主动出击。</w:t>
      </w:r>
    </w:p>
    <w:p w14:paraId="423AB28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00" w:line="400" w:lineRule="exact"/>
        <w:ind w:left="0" w:firstLine="482" w:firstLineChars="200"/>
        <w:jc w:val="both"/>
        <w:textAlignment w:val="auto"/>
        <w:outlineLvl w:val="2"/>
        <w:rPr>
          <w:rFonts w:hint="eastAsia" w:asciiTheme="minorEastAsia" w:hAnsiTheme="minorEastAsia" w:eastAsiaTheme="minorEastAsia" w:cstheme="minorEastAsia"/>
          <w:sz w:val="24"/>
          <w:szCs w:val="24"/>
        </w:rPr>
      </w:pPr>
      <w:bookmarkStart w:id="13" w:name="heading_13"/>
      <w:r>
        <w:rPr>
          <w:rFonts w:hint="eastAsia" w:asciiTheme="minorEastAsia" w:hAnsiTheme="minorEastAsia" w:eastAsiaTheme="minorEastAsia" w:cstheme="minorEastAsia"/>
          <w:b/>
          <w:sz w:val="24"/>
          <w:szCs w:val="24"/>
        </w:rPr>
        <w:t>（三）综合总结</w:t>
      </w:r>
      <w:bookmarkEnd w:id="13"/>
    </w:p>
    <w:p w14:paraId="2610B40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line="400" w:lineRule="exact"/>
        <w:ind w:left="0" w:firstLine="480" w:firstLineChars="200"/>
        <w:jc w:val="both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天外飞仙信号结合飞天四线、三维波动量指标，既能捕捉短线爆发牛股，也能借助四线排列形态，在股价下跌回调阶段，精准捕捉反弹反击机会。三维波动量+飞天AI均线双向配合，可实现全周期、全方位解析个股行情，覆盖选股、入场、加仓、风控、离场全交易流程。</w:t>
      </w:r>
    </w:p>
    <w:sectPr>
      <w:headerReference r:id="rId3" w:type="default"/>
      <w:footerReference r:id="rId4" w:type="default"/>
      <w:pgSz w:w="11905" w:h="1684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20EECA9"/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187A2E7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ocumentProtection w:enforcement="0"/>
  <w:compat>
    <w:useFELayout/>
    <w:splitPgBreakAndParaMark/>
    <w:compatSetting w:name="compatibilityMode" w:uri="http://schemas.microsoft.com/office/word" w:val="12"/>
  </w:compat>
  <w:rsids>
    <w:rsidRoot w:val="00000000"/>
    <w:rsid w:val="600C26B7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sz w:val="21"/>
      <w:szCs w:val="22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3</Pages>
  <Words>1680</Words>
  <Characters>1688</Characters>
  <TotalTime>1</TotalTime>
  <ScaleCrop>false</ScaleCrop>
  <LinksUpToDate>false</LinksUpToDate>
  <CharactersWithSpaces>1690</CharactersWithSpaces>
  <Application>WPS Office_12.1.0.26375_F1E327BC-269C-435d-A152-05C5408002CA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2026-05-28T02:36:00Z</dcterms:created>
  <dc:creator>Apache POI</dc:creator>
  <cp:lastModifiedBy>凌寒</cp:lastModifiedBy>
  <dcterms:modified xsi:type="dcterms:W3CDTF">2026-05-28T02:39:42Z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{"Label":"1","ContentProducer":"001191110102MACQD9K64010000","ProduceID":"7644765951397940443","ReservedCode1":"","ContentPropagator":"","PropagateID":"","ReservedCode2":""}</vt:lpwstr>
  </property>
  <property fmtid="{D5CDD505-2E9C-101B-9397-08002B2CF9AE}" pid="3" name="KSOTemplateDocerSaveRecord">
    <vt:lpwstr>eyJoZGlkIjoiMzkxY2RjZTEzMTNiZDllODUyOWNkYjMyYzI5YzY3ZjIiLCJ1c2VySWQiOiI4NzQxNzA4NzkifQ==</vt:lpwstr>
  </property>
  <property fmtid="{D5CDD505-2E9C-101B-9397-08002B2CF9AE}" pid="4" name="KSOProductBuildVer">
    <vt:lpwstr>2052-12.1.0.26375</vt:lpwstr>
  </property>
  <property fmtid="{D5CDD505-2E9C-101B-9397-08002B2CF9AE}" pid="5" name="ICV">
    <vt:lpwstr>112AEF025AA542CE83911678FF3CFD67_12</vt:lpwstr>
  </property>
</Properties>
</file>