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Paper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>Yost, K.E., Satpathy, A.T., Wells, D.K. </w:t>
      </w:r>
      <w:r>
        <w:rPr>
          <w:rFonts w:ascii="宋体" w:hAnsi="宋体" w:eastAsia="宋体" w:cs="宋体"/>
          <w:i/>
          <w:color w:val="222222"/>
          <w:kern w:val="0"/>
          <w:sz w:val="33"/>
          <w:szCs w:val="33"/>
          <w:shd w:val="clear" w:fill="FFFFFF"/>
          <w:lang w:val="en-US" w:eastAsia="zh-CN" w:bidi="ar"/>
        </w:rPr>
        <w:t>et al.</w:t>
      </w:r>
      <w:r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> Clonal replacement of tumor-specific T cells following PD-1 blockade. </w:t>
      </w:r>
      <w:r>
        <w:rPr>
          <w:rFonts w:ascii="宋体" w:hAnsi="宋体" w:eastAsia="宋体" w:cs="宋体"/>
          <w:i/>
          <w:color w:val="222222"/>
          <w:kern w:val="0"/>
          <w:sz w:val="33"/>
          <w:szCs w:val="33"/>
          <w:shd w:val="clear" w:fill="FFFFFF"/>
          <w:lang w:val="en-US" w:eastAsia="zh-CN" w:bidi="ar"/>
        </w:rPr>
        <w:t>Nat Med</w:t>
      </w:r>
      <w:r>
        <w:rPr>
          <w:rFonts w:ascii="宋体" w:hAnsi="宋体" w:eastAsia="宋体" w:cs="宋体"/>
          <w:b/>
          <w:color w:val="222222"/>
          <w:kern w:val="0"/>
          <w:sz w:val="33"/>
          <w:szCs w:val="33"/>
          <w:shd w:val="clear" w:fill="FFFFFF"/>
          <w:lang w:val="en-US" w:eastAsia="zh-CN" w:bidi="ar"/>
        </w:rPr>
        <w:t>25, </w:t>
      </w:r>
      <w:r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 xml:space="preserve">1251–1259 (2019).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"https://doi.org/10.1038/s41591-019-0522-3"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003884"/>
          <w:sz w:val="33"/>
          <w:szCs w:val="33"/>
          <w:u w:val="single"/>
          <w:shd w:val="clear" w:fill="FFFFFF"/>
        </w:rPr>
        <w:t>https://doi.org/10.1038/s41591-019-0522-3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>droplet-based 5′ single-cell RNA-sequencing from 11 patients</w:t>
      </w:r>
      <w:r>
        <w:rPr>
          <w:rFonts w:hint="eastAsia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>（response: 6 Yes,5 No）</w:t>
      </w:r>
      <w:r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 xml:space="preserve"> with advanced basal cell carcinoma (BCC) before and after anti-PD-1 treatment in site-matched primary tumors.</w:t>
      </w:r>
      <w:r>
        <w:rPr>
          <w:rFonts w:hint="eastAsia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>52218</w:t>
      </w:r>
      <w:r>
        <w:rPr>
          <w:rFonts w:hint="eastAsia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 xml:space="preserve"> cells.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38735</wp:posOffset>
            </wp:positionV>
            <wp:extent cx="4144645" cy="3972560"/>
            <wp:effectExtent l="0" t="0" r="8255" b="8890"/>
            <wp:wrapTight wrapText="bothSides">
              <wp:wrapPolygon>
                <wp:start x="0" y="0"/>
                <wp:lineTo x="0" y="21545"/>
                <wp:lineTo x="21544" y="21545"/>
                <wp:lineTo x="21544" y="0"/>
                <wp:lineTo x="0" y="0"/>
              </wp:wrapPolygon>
            </wp:wrapTight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</w:p>
    <w:tbl>
      <w:tblPr>
        <w:tblStyle w:val="4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6"/>
        <w:gridCol w:w="852"/>
        <w:gridCol w:w="1614"/>
        <w:gridCol w:w="1824"/>
        <w:gridCol w:w="1332"/>
        <w:gridCol w:w="997"/>
        <w:gridCol w:w="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8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Patient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Tumor Type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Treatment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Ongoing Vismodegib treatment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Prior treatment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Response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Best %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Pembrolizumab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Vismodegib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Pembrolizumab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Vismodegib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Pembrolizumab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Vismodegib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6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su004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Cemiplimab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su005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Pembrolizumab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Vismodegib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su006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Pembrolizumab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Vismodegib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su007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Pembrolizumab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Vismodegib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3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su008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Pembrolizumab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Vismodegib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6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su009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Cemiplimab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Sonidegib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su010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Pembrolizumab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6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su012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BCC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Cemiplimab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Vismodegib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-57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>Pre treatment: 20969 cells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 xml:space="preserve">Post treatment: </w:t>
      </w:r>
      <w:r>
        <w:rPr>
          <w:rFonts w:hint="default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>31249</w:t>
      </w:r>
      <w:r>
        <w:rPr>
          <w:rFonts w:hint="eastAsia" w:ascii="宋体" w:hAnsi="宋体" w:eastAsia="宋体" w:cs="宋体"/>
          <w:color w:val="222222"/>
          <w:kern w:val="0"/>
          <w:sz w:val="33"/>
          <w:szCs w:val="33"/>
          <w:shd w:val="clear" w:fill="FFFFFF"/>
          <w:lang w:val="en-US" w:eastAsia="zh-CN" w:bidi="ar"/>
        </w:rPr>
        <w:t xml:space="preserve"> cells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01338"/>
    <w:rsid w:val="18101338"/>
    <w:rsid w:val="427360AA"/>
    <w:rsid w:val="45300906"/>
    <w:rsid w:val="485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2020-09-30T02:12:00Z</dcterms:created>
  <dc:creator>钻石龙</dc:creator>
  <cp:lastModifiedBy>钻石龙</cp:lastModifiedBy>
  <dcterms:modified xsi:type="dcterms:W3CDTF">2020-09-30T09:34:25Z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