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CLINICAL TRIAL SUPPLY AGREEMENT</w:t>
      </w:r>
    </w:p>
    <w:p/>
    <w:p>
      <w:r>
        <w:t>This Clinical Trial Supply Agreement (this "Agreement") is entered into as of May 10, 2025 (the "Effective Date"), by and between:</w:t>
      </w:r>
    </w:p>
    <w:p>
      <w:pPr>
        <w:ind w:left="720"/>
      </w:pPr>
      <w:r>
        <w:rPr>
          <w:b/>
        </w:rPr>
        <w:t>Fontara</w:t>
      </w:r>
      <w:r>
        <w:t>, a corporation organized under the laws of the State of California, with its principal office at 7052 Enterprise Parkway, California (hereinafter referred to as "Client");</w:t>
      </w:r>
    </w:p>
    <w:p>
      <w:pPr>
        <w:jc w:val="center"/>
      </w:pPr>
      <w:r>
        <w:t>and</w:t>
      </w:r>
    </w:p>
    <w:p>
      <w:pPr>
        <w:ind w:left="720"/>
      </w:pPr>
      <w:r>
        <w:rPr>
          <w:b/>
        </w:rPr>
        <w:t>MarketPulse Dynamics</w:t>
      </w:r>
      <w:r>
        <w:t>, a corporation organized under the laws of the State of Georgia, with its principal office at 2310 Market Lane, Georgia (hereinafter referred to as "Provider");</w:t>
      </w:r>
    </w:p>
    <w:p/>
    <w:p>
      <w:r>
        <w:t>Each individually a "Party" and collectively the "Parties."</w:t>
      </w:r>
    </w:p>
    <w:p>
      <w:r>
        <w:rPr>
          <w:b/>
          <w:sz w:val="26"/>
        </w:rPr>
        <w:t>RECITALS</w:t>
      </w:r>
    </w:p>
    <w:p>
      <w:r>
        <w:t>WHEREAS, Agreement for manufacture, packaging, and supply of investigational drug products or clinical trial materials under GMP rules. This document type is specifically a 'Clinical Trial Supply Agreement' and should be classified as such rather than any standard agreement type. Key structural indicators: (1) document title or header explicitly references 'Clinical Trial Supply Agreement' or closely related terminology, (2) the agreement contains industry-specific terms, obligations, and commercial structures unique to this type of arrangement, (3) the parties, roles, and responsibilities described are consistent with a clinical trial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MarketPulse Dynamics shall provide goods and/or services to Fontara as further described herein and in any applicable Statements of Work, Purchase Orders, or Exhibits attached hereto.</w:t>
      </w:r>
    </w:p>
    <w:p>
      <w:r>
        <w:t>Provider agrees to perform all obligations in accordance with the specifications, standards, and timelines set forth in this Agreement and applicable industry best practices.</w:t>
      </w:r>
    </w:p>
    <w:p>
      <w:r>
        <w:rPr>
          <w:b/>
          <w:sz w:val="24"/>
        </w:rPr>
        <w:t>SECTION 2. COMPENSATION AND PAYMENT</w:t>
      </w:r>
    </w:p>
    <w:p>
      <w:r>
        <w:t>Client shall compensate Provider in accordance with the pricing set forth in Exhibit A attached hereto.</w:t>
      </w:r>
    </w:p>
    <w:p>
      <w:r>
        <w:t>Payment terms are Net 90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Clinical Batch Size (units). </w:t>
      </w:r>
      <w:r>
        <w:t>Batch size for Phase III clinical supply is fifty thousand (50,000) capsules per lot, with overage of five percent to account for testing, retention samples, and transit losses.</w:t>
      </w:r>
    </w:p>
    <w:p>
      <w:r>
        <w:rPr>
          <w:b/>
        </w:rPr>
        <w:t xml:space="preserve">3.2 Pharma - Cost Per Unit (USD). </w:t>
      </w:r>
      <w:r>
        <w:t>Cost per finished unit is twelve dollars and fifty cents ($12.50) for the oral solid dosage form, exclusive of secondary packaging and clinical labeling costs.</w:t>
      </w:r>
    </w:p>
    <w:p>
      <w:r>
        <w:rPr>
          <w:b/>
        </w:rPr>
        <w:t xml:space="preserve">3.3 Pharma - Required Shelf Life (months). </w:t>
      </w:r>
      <w:r>
        <w:t>Minimum acceptable shelf life at time of receipt is twenty-four (24) months, based on the stability data supporting the current approved storage conditions.</w:t>
      </w:r>
    </w:p>
    <w:p>
      <w:r>
        <w:rPr>
          <w:b/>
          <w:sz w:val="24"/>
        </w:rPr>
        <w:t>SECTION 4. TERM AND TERMINATION</w:t>
      </w:r>
    </w:p>
    <w:p>
      <w:r>
        <w:t>This Agreement shall commence on the Effective Date and continue for an initial term of 2 years (the "Initial Term"), unless earlier terminated in accordance with this Section.</w:t>
      </w:r>
    </w:p>
    <w:p>
      <w:r>
        <w:t>The Initial Term expires on May 10,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Georgia,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Maya Patel</w:t>
      </w:r>
    </w:p>
    <w:p>
      <w:r>
        <w:t>Title: Chief Financial Officer</w:t>
      </w:r>
    </w:p>
    <w:p>
      <w:r>
        <w:t>Date: ____________________________</w:t>
      </w:r>
    </w:p>
    <w:p/>
    <w:p>
      <w:r>
        <w:rPr>
          <w:b/>
        </w:rPr>
        <w:t>MARKETPULSE DYNAMICS</w:t>
      </w:r>
    </w:p>
    <w:p/>
    <w:p>
      <w:r>
        <w:t>By: ____________________________</w:t>
      </w:r>
    </w:p>
    <w:p>
      <w:r>
        <w:t>Name: Yuki Tan</w:t>
      </w:r>
    </w:p>
    <w:p>
      <w:r>
        <w:t>Title: Chief Operating Officer</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