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CLINICAL TRIAL SUPPLY AGREEMENT</w:t>
      </w:r>
    </w:p>
    <w:p/>
    <w:p>
      <w:r>
        <w:t>This Clinical Trial Supply Agreement (this "Agreement") is entered into as of December 08, 2025 (the "Effective Date"), by and between:</w:t>
      </w:r>
    </w:p>
    <w:p>
      <w:pPr>
        <w:ind w:left="720"/>
      </w:pPr>
      <w:r>
        <w:rPr>
          <w:b/>
        </w:rPr>
        <w:t>Fontara</w:t>
      </w:r>
      <w:r>
        <w:t>, a corporation organized under the laws of the State of California, with its principal office at 1590 Innovation Way, California (hereinafter referred to as "Principal");</w:t>
      </w:r>
    </w:p>
    <w:p>
      <w:pPr>
        <w:jc w:val="center"/>
      </w:pPr>
      <w:r>
        <w:t>and</w:t>
      </w:r>
    </w:p>
    <w:p>
      <w:pPr>
        <w:ind w:left="720"/>
      </w:pPr>
      <w:r>
        <w:rPr>
          <w:b/>
        </w:rPr>
        <w:t>Stellogica</w:t>
      </w:r>
      <w:r>
        <w:t>, a corporation organized under the laws of the State of Washington, with its principal office at 4811 Business Road, Washington (hereinafter referred to as "Contractor");</w:t>
      </w:r>
    </w:p>
    <w:p/>
    <w:p>
      <w:r>
        <w:t>Each individually a "Party" and collectively the "Parties."</w:t>
      </w:r>
    </w:p>
    <w:p>
      <w:r>
        <w:rPr>
          <w:b/>
          <w:sz w:val="26"/>
        </w:rPr>
        <w:t>RECITALS</w:t>
      </w:r>
    </w:p>
    <w:p>
      <w:r>
        <w:t>WHEREAS, Agreement for manufacture, packaging, and supply of investigational drug products or clinical trial materials under GMP rules. This document type is specifically a 'Clinical Trial Supply Agreement' and should be classified as such rather than any standard agreement type. Key structural indicators: (1) document title or header explicitly references 'Clinical Trial Supply Agreement' or closely related terminology, (2) the agreement contains industry-specific terms, obligations, and commercial structures unique to this type of arrangement, (3) the parties, roles, and responsibilities described are consistent with a clinical trial supply agreement rather than a generic contract. Typical language found in this document type includes terms directly related to the specific commercial arrangement described above. This type must NOT be confused with generic standard agreement types such as License, Subscription, Miscellaneous, or other broad categories. The distinguishing factor is the specialized nature of the agreement — it addresses a specific commercial need that general-purpose agreement types do not adequately describe.;</w:t>
      </w:r>
    </w:p>
    <w:p>
      <w:r>
        <w:t>WHEREAS, the Parties desire to set forth the terms and conditions under which services and/or goods will be provided;</w:t>
      </w:r>
    </w:p>
    <w:p>
      <w:r>
        <w:t>NOW, THEREFORE, in consideration of the mutual covenants and agreements set forth herein, and for other good and valuable consideration, the receipt and sufficiency of which are hereby acknowledged, the Parties agree as follows:</w:t>
      </w:r>
    </w:p>
    <w:p>
      <w:r>
        <w:rPr>
          <w:b/>
          <w:sz w:val="24"/>
        </w:rPr>
        <w:t>SECTION 1. SCOPE OF AGREEMENT</w:t>
      </w:r>
    </w:p>
    <w:p>
      <w:r>
        <w:t>This Agreement sets forth the terms under which Stellogica shall provide goods and/or services to Fontara as further described herein and in any applicable Statements of Work, Purchase Orders, or Exhibits attached hereto.</w:t>
      </w:r>
    </w:p>
    <w:p>
      <w:r>
        <w:t>Contractor agrees to perform all obligations in accordance with the specifications, standards, and timelines set forth in this Agreement and applicable industry best practices.</w:t>
      </w:r>
    </w:p>
    <w:p>
      <w:r>
        <w:rPr>
          <w:b/>
          <w:sz w:val="24"/>
        </w:rPr>
        <w:t>SECTION 2. COMPENSATION AND PAYMENT</w:t>
      </w:r>
    </w:p>
    <w:p>
      <w:r>
        <w:t>Principal shall compensate Contractor in accordance with the pricing set forth in Exhibit A attached hereto.</w:t>
      </w:r>
    </w:p>
    <w:p>
      <w:r>
        <w:t>Payment terms are Net 60 days from the date of receipt of a valid invoice. Late payments shall accrue interest at the rate of one and one-half percent (1.5%) per month.</w:t>
      </w:r>
    </w:p>
    <w:p>
      <w:r>
        <w:t>All amounts are stated in United States Dollars (USD) unless otherwise specified.</w:t>
      </w:r>
    </w:p>
    <w:p>
      <w:r>
        <w:rPr>
          <w:b/>
          <w:sz w:val="24"/>
        </w:rPr>
        <w:t>SECTION 3. SPECIFIC TERMS AND CONDITIONS</w:t>
      </w:r>
    </w:p>
    <w:p>
      <w:r>
        <w:rPr>
          <w:b/>
        </w:rPr>
        <w:t xml:space="preserve">3.1 Pharma - Clinical Batch Size (units). </w:t>
      </w:r>
      <w:r>
        <w:t>The agreed clinical batch size is twenty-five thousand (25,000) pre-filled syringes per production campaign, with batch records maintained per GMP requirements.</w:t>
      </w:r>
    </w:p>
    <w:p>
      <w:r>
        <w:rPr>
          <w:b/>
        </w:rPr>
        <w:t xml:space="preserve">3.2 Pharma - Cost Per Unit (USD). </w:t>
      </w:r>
      <w:r>
        <w:t>The agreed-upon unit price for each pre-filled syringe of study drug is seventy-eight dollars ($78.00) at the specified batch size, inclusive of all quality release testing.</w:t>
      </w:r>
    </w:p>
    <w:p>
      <w:r>
        <w:rPr>
          <w:b/>
        </w:rPr>
        <w:t xml:space="preserve">3.3 Pharma - Required Shelf Life (months). </w:t>
      </w:r>
      <w:r>
        <w:t>Product must retain at least twelve (12) months of remaining shelf life upon delivery to the distribution center to allow adequate time for site distribution and patient dosing.</w:t>
      </w:r>
    </w:p>
    <w:p>
      <w:r>
        <w:rPr>
          <w:b/>
          <w:sz w:val="24"/>
        </w:rPr>
        <w:t>SECTION 4. TERM AND TERMINATION</w:t>
      </w:r>
    </w:p>
    <w:p>
      <w:r>
        <w:t>This Agreement shall commence on the Effective Date and continue for an initial term of 3 years (the "Initial Term"), unless earlier terminated in accordance with this Section.</w:t>
      </w:r>
    </w:p>
    <w:p>
      <w:r>
        <w:t>The Initial Term expires on December 07, 2028. Thereafter, this Agreement shall automatically renew for successive one (1) year periods unless either Party provides written notice of non-renewal at least ninety (90) days prior to the expiration of the then-current term.</w:t>
      </w:r>
    </w:p>
    <w:p>
      <w:r>
        <w:t>Either Party may terminate this Agreement for cause upon sixty (60) days prior written notice if the other Party materially breaches any provision of this Agreement and fails to cure such breach within such sixty (60) day period.</w:t>
      </w:r>
    </w:p>
    <w:p>
      <w:r>
        <w:rPr>
          <w:b/>
          <w:sz w:val="24"/>
        </w:rPr>
        <w:t>SECTION 5. CONFIDENTIALITY</w:t>
      </w:r>
    </w:p>
    <w:p>
      <w:r>
        <w:t>Each Party agrees to maintain in strict confidence all Confidential Information received from the other Party. "Confidential Information" means any non-public information disclosed by either Party, whether orally, in writing, or electronically, that is designated as confidential or that a reasonable person would understand to be confidential.</w:t>
      </w:r>
    </w:p>
    <w:p>
      <w:r>
        <w:t>The obligations of confidentiality shall survive the termination or expiration of this Agreement for a period of three (3) years.</w:t>
      </w:r>
    </w:p>
    <w:p>
      <w:r>
        <w:rPr>
          <w:b/>
          <w:sz w:val="24"/>
        </w:rPr>
        <w:t>SECTION 6. LIMITATION OF LIABILITY</w:t>
      </w:r>
    </w:p>
    <w:p>
      <w:r>
        <w:t>IN NO EVENT SHALL EITHER PARTY BE LIABLE TO THE OTHER PARTY FOR ANY INDIRECT, INCIDENTAL, SPECIAL, CONSEQUENTIAL, OR PUNITIVE DAMAGES, INCLUDING BUT NOT LIMITED TO LOSS OF PROFITS, LOSS OF DATA, OR BUSINESS INTERRUPTION, ARISING OUT OF OR IN CONNECTION WITH THIS AGREEMENT.</w:t>
      </w:r>
    </w:p>
    <w:p>
      <w:r>
        <w:t>Each Party's total cumulative liability under this Agreement shall not exceed the total fees paid or payable under this Agreement during the twelve (12) month period immediately preceding the event giving rise to such liability.</w:t>
      </w:r>
    </w:p>
    <w:p>
      <w:r>
        <w:rPr>
          <w:b/>
          <w:sz w:val="24"/>
        </w:rPr>
        <w:t>SECTION 7. INDEMNIFICATION</w:t>
      </w:r>
    </w:p>
    <w:p>
      <w:r>
        <w:t>Each Party (the "Indemnifying Party") agrees to indemnify, defend, and hold harmless the other Party (the "Indemnified Party") from and against any third-party claims, damages, losses, and expenses (including reasonable attorneys' fees) arising out of or relating to the Indemnifying Party's negligence, willful misconduct, or breach of this Agreement.</w:t>
      </w:r>
    </w:p>
    <w:p>
      <w:r>
        <w:rPr>
          <w:b/>
          <w:sz w:val="24"/>
        </w:rPr>
        <w:t>SECTION 8. GOVERNING LAW AND DISPUTE RESOLUTION</w:t>
      </w:r>
    </w:p>
    <w:p>
      <w:r>
        <w:t>This Agreement shall be governed by and construed in accordance with the laws of the State of Colorado, without regard to its conflict of laws principles.</w:t>
      </w:r>
    </w:p>
    <w:p>
      <w:r>
        <w:t>Any dispute arising under this Agreement shall first be subject to good faith negotiation between the Parties for a period of thirty (30) days. If the dispute is not resolved through negotiation, it shall be submitted to binding arbitration under the rules of the American Arbitration Association.</w:t>
      </w:r>
    </w:p>
    <w:p>
      <w:r>
        <w:rPr>
          <w:b/>
          <w:sz w:val="24"/>
        </w:rPr>
        <w:t>SECTION 9. GENERAL PROVISIONS</w:t>
      </w:r>
    </w:p>
    <w:p>
      <w:r>
        <w:t>This Agreement constitutes the entire agreement between the Parties with respect to the subject matter hereof and supersedes all prior and contemporaneous agreements, proposals, and representations, written or oral.</w:t>
      </w:r>
    </w:p>
    <w:p>
      <w:r>
        <w:t>No amendment or modification of this Agreement shall be valid or binding unless made in writing and signed by both Parties.</w:t>
      </w:r>
    </w:p>
    <w:p>
      <w:r>
        <w:t>Neither Party may assign this Agreement without the prior written consent of the other Party, except in connection with a merger, acquisition, or sale of all or substantially all of its assets.</w:t>
      </w:r>
    </w:p>
    <w:p>
      <w:r>
        <w:t>If any provision of this Agreement is held to be invalid or unenforceable, the remaining provisions shall continue in full force and effect.</w:t>
      </w:r>
    </w:p>
    <w:p/>
    <w:p>
      <w:r>
        <w:rPr>
          <w:i/>
        </w:rPr>
        <w:t>IN WITNESS WHEREOF, the Parties have executed this Agreement as of the date first written above.</w:t>
      </w:r>
    </w:p>
    <w:p/>
    <w:p>
      <w:r>
        <w:rPr>
          <w:b/>
        </w:rPr>
        <w:t>FONTARA</w:t>
      </w:r>
    </w:p>
    <w:p/>
    <w:p>
      <w:r>
        <w:t>By: ____________________________</w:t>
      </w:r>
    </w:p>
    <w:p>
      <w:r>
        <w:t>Name: Maya Patel</w:t>
      </w:r>
    </w:p>
    <w:p>
      <w:r>
        <w:t>Title: VP of Procurement</w:t>
      </w:r>
    </w:p>
    <w:p>
      <w:r>
        <w:t>Date: ____________________________</w:t>
      </w:r>
    </w:p>
    <w:p/>
    <w:p>
      <w:r>
        <w:rPr>
          <w:b/>
        </w:rPr>
        <w:t>STELLOGICA</w:t>
      </w:r>
    </w:p>
    <w:p/>
    <w:p>
      <w:r>
        <w:t>By: ____________________________</w:t>
      </w:r>
    </w:p>
    <w:p>
      <w:r>
        <w:t>Name: Emma Li</w:t>
      </w:r>
    </w:p>
    <w:p>
      <w:r>
        <w:t>Title: VP of Operations</w:t>
      </w:r>
    </w:p>
    <w:p>
      <w:r>
        <w:t>Date: 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