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CLINICAL TRIAL SUPPLY AGREEMENT</w:t>
      </w:r>
    </w:p>
    <w:p/>
    <w:p>
      <w:r>
        <w:t>This Clinical Trial Supply Agreement (this "Agreement") is entered into as of October 03, 2025 (the "Effective Date"), by and between:</w:t>
      </w:r>
    </w:p>
    <w:p>
      <w:pPr>
        <w:ind w:left="720"/>
      </w:pPr>
      <w:r>
        <w:rPr>
          <w:b/>
        </w:rPr>
        <w:t>Fontara</w:t>
      </w:r>
      <w:r>
        <w:t>, a corporation organized under the laws of the State of California, with its principal office at 380 Enterprise Parkway, California (hereinafter referred to as "Company");</w:t>
      </w:r>
    </w:p>
    <w:p>
      <w:pPr>
        <w:jc w:val="center"/>
      </w:pPr>
      <w:r>
        <w:t>and</w:t>
      </w:r>
    </w:p>
    <w:p>
      <w:pPr>
        <w:ind w:left="720"/>
      </w:pPr>
      <w:r>
        <w:rPr>
          <w:b/>
        </w:rPr>
        <w:t>Pine Care</w:t>
      </w:r>
      <w:r>
        <w:t>, a corporation organized under the laws of the State of Massachusetts, with its principal office at 1533 Executive Place, Massachusetts (hereinafter referred to as "Service Provider");</w:t>
      </w:r>
    </w:p>
    <w:p/>
    <w:p>
      <w:r>
        <w:t>Each individually a "Party" and collectively the "Parties."</w:t>
      </w:r>
    </w:p>
    <w:p>
      <w:r>
        <w:rPr>
          <w:b/>
          <w:sz w:val="26"/>
        </w:rPr>
        <w:t>RECITALS</w:t>
      </w:r>
    </w:p>
    <w:p>
      <w:r>
        <w:t>WHEREAS, Agreement for manufacture, packaging, and supply of investigational drug products or clinical trial materials under GMP rules. This document type is specifically a 'Clinical Trial Supply Agreement' and should be classified as such rather than any standard agreement type. Key structural indicators: (1) document title or header explicitly references 'Clinical Trial Supply Agreement' or closely related terminology, (2) the agreement contains industry-specific terms, obligations, and commercial structures unique to this type of arrangement, (3) the parties, roles, and responsibilities described are consistent with a clinical trial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Pine Care shall provide goods and/or services to Fontara as further described herein and in any applicable Statements of Work, Purchase Orders, or Exhibits attached hereto.</w:t>
      </w:r>
    </w:p>
    <w:p>
      <w:r>
        <w:t>Service Provider agrees to perform all obligations in accordance with the specifications, standards, and timelines set forth in this Agreement and applicable industry best practices.</w:t>
      </w:r>
    </w:p>
    <w:p>
      <w:r>
        <w:rPr>
          <w:b/>
          <w:sz w:val="24"/>
        </w:rPr>
        <w:t>SECTION 2. COMPENSATION AND PAYMENT</w:t>
      </w:r>
    </w:p>
    <w:p>
      <w:r>
        <w:t>Company shall compensate Service Provider in accordance with the pricing set forth in Exhibit A attached hereto.</w:t>
      </w:r>
    </w:p>
    <w:p>
      <w:r>
        <w:t>Payment terms are Net 60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Clinical Batch Size (units). </w:t>
      </w:r>
      <w:r>
        <w:t>Each manufacturing batch shall produce a minimum of ten thousand (10,000) units of investigational product in the agreed-upon dosage form, sufficient to supply twelve clinical sites for one quarter.</w:t>
      </w:r>
    </w:p>
    <w:p>
      <w:r>
        <w:rPr>
          <w:b/>
        </w:rPr>
        <w:t xml:space="preserve">3.2 Pharma - Cost Per Unit (USD). </w:t>
      </w:r>
      <w:r>
        <w:t>The per-unit manufacturing cost for the investigational product is forty-five dollars ($45.00) including raw materials, manufacturing labor, quality testing, and primary packaging.</w:t>
      </w:r>
    </w:p>
    <w:p>
      <w:r>
        <w:rPr>
          <w:b/>
        </w:rPr>
        <w:t xml:space="preserve">3.3 Pharma - Required Shelf Life (months). </w:t>
      </w:r>
      <w:r>
        <w:t>All clinical supplies delivered to Sponsor must have a minimum remaining shelf life of eighteen (18) months from the date of delivery to the designated clinical depot.</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October 03,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Georgia,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Alexandra Kim</w:t>
      </w:r>
    </w:p>
    <w:p>
      <w:r>
        <w:t>Title: Head of Commercial Operations</w:t>
      </w:r>
    </w:p>
    <w:p>
      <w:r>
        <w:t>Date: ____________________________</w:t>
      </w:r>
    </w:p>
    <w:p/>
    <w:p>
      <w:r>
        <w:rPr>
          <w:b/>
        </w:rPr>
        <w:t>PINE CARE</w:t>
      </w:r>
    </w:p>
    <w:p/>
    <w:p>
      <w:r>
        <w:t>By: ____________________________</w:t>
      </w:r>
    </w:p>
    <w:p>
      <w:r>
        <w:t>Name: James Blackwood</w:t>
      </w:r>
    </w:p>
    <w:p>
      <w:r>
        <w:t>Title: Chief Executive Officer</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