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CONTRACT RESEARCH ORGANIZATION (CRO) SERVICES AGREEMENT</w:t>
      </w:r>
    </w:p>
    <w:p/>
    <w:p>
      <w:r>
        <w:t>This Contract Research Organization (CRO) Services Agreement (this "Agreement") is entered into as of July 22, 2026 (the "Effective Date"), by and between:</w:t>
      </w:r>
    </w:p>
    <w:p>
      <w:pPr>
        <w:ind w:left="720"/>
      </w:pPr>
      <w:r>
        <w:rPr>
          <w:b/>
        </w:rPr>
        <w:t>Fontara</w:t>
      </w:r>
      <w:r>
        <w:t>, a corporation organized under the laws of the State of California, with its principal office at 129 Innovation Way, California (hereinafter referred to as "Company");</w:t>
      </w:r>
    </w:p>
    <w:p>
      <w:pPr>
        <w:jc w:val="center"/>
      </w:pPr>
      <w:r>
        <w:t>and</w:t>
      </w:r>
    </w:p>
    <w:p>
      <w:pPr>
        <w:ind w:left="720"/>
      </w:pPr>
      <w:r>
        <w:rPr>
          <w:b/>
        </w:rPr>
        <w:t>MarketPulse Dynamics</w:t>
      </w:r>
      <w:r>
        <w:t>, a corporation organized under the laws of the State of Georgia, with its principal office at 3912 Corporate Lane, Georgia (hereinafter referred to as "Service Provider");</w:t>
      </w:r>
    </w:p>
    <w:p/>
    <w:p>
      <w:r>
        <w:t>Each individually a "Party" and collectively the "Parties."</w:t>
      </w:r>
    </w:p>
    <w:p>
      <w:r>
        <w:rPr>
          <w:b/>
          <w:sz w:val="26"/>
        </w:rPr>
        <w:t>RECITALS</w:t>
      </w:r>
    </w:p>
    <w:p>
      <w:r>
        <w:t>WHEREAS, Contract with a CRO for clinical trial management, patient recruitment, site monitoring, data analysis, and regulatory filings. This document type is specifically a 'Contract Research Organization (CRO) Services Agreement' and should be classified as such rather than any standard agreement type. Key structural indicators: (1) document title or header explicitly references 'Contract Research Organization (CRO) Services Agreement' or closely related terminology, (2) the agreement contains industry-specific terms, obligations, and commercial structures unique to this type of arrangement, (3) the parties, roles, and responsibilities described are consistent with a contract research organization (cro) services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MarketPulse Dynamics shall provide goods and/or services to Fontara as further described herein and in any applicable Statements of Work, Purchase Orders, or Exhibits attached hereto.</w:t>
      </w:r>
    </w:p>
    <w:p>
      <w:r>
        <w:t>Service Provider agrees to perform all obligations in accordance with the specifications, standards, and timelines set forth in this Agreement and applicable industry best practices.</w:t>
      </w:r>
    </w:p>
    <w:p>
      <w:r>
        <w:rPr>
          <w:b/>
          <w:sz w:val="24"/>
        </w:rPr>
        <w:t>SECTION 2. COMPENSATION AND PAYMENT</w:t>
      </w:r>
    </w:p>
    <w:p>
      <w:r>
        <w:t>Company shall compensate Service Provider in accordance with the pricing set forth in Exhibit A attached hereto.</w:t>
      </w:r>
    </w:p>
    <w:p>
      <w:r>
        <w:t>Payment terms are Net 30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Total Study Budget (USD). </w:t>
      </w:r>
      <w:r>
        <w:t>Study budget for the Phase II clinical trial is four million two hundred thousand dollars ($4,200,000), allocated across the milestones and deliverables described in Exhibit B.</w:t>
      </w:r>
    </w:p>
    <w:p>
      <w:r>
        <w:rPr>
          <w:b/>
        </w:rPr>
        <w:t xml:space="preserve">3.2 Pharma - Number of Clinical Sites. </w:t>
      </w:r>
      <w:r>
        <w:t>The study will be conducted at up to twenty (20) investigational sites in the United States, with CRO responsible for all site management and monitoring activities.</w:t>
      </w:r>
    </w:p>
    <w:p>
      <w:r>
        <w:rPr>
          <w:b/>
        </w:rPr>
        <w:t xml:space="preserve">3.3 Pharma - Patient Enrollment Target. </w:t>
      </w:r>
      <w:r>
        <w:t>The patient enrollment target for this study is one thousand two hundred (1,200) subjects randomized across all sites within an eighteen-month enrollment period.</w:t>
      </w:r>
    </w:p>
    <w:p>
      <w:r>
        <w:rPr>
          <w:b/>
          <w:sz w:val="24"/>
        </w:rPr>
        <w:t>SECTION 4. TERM AND TERMINATION</w:t>
      </w:r>
    </w:p>
    <w:p>
      <w:r>
        <w:t>This Agreement shall commence on the Effective Date and continue for an initial term of 3 years (the "Initial Term"), unless earlier terminated in accordance with this Section.</w:t>
      </w:r>
    </w:p>
    <w:p>
      <w:r>
        <w:t>The Initial Term expires on July 21, 2029.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Colorado,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Thomas Anderson</w:t>
      </w:r>
    </w:p>
    <w:p>
      <w:r>
        <w:t>Title: VP of Procurement</w:t>
      </w:r>
    </w:p>
    <w:p>
      <w:r>
        <w:t>Date: ____________________________</w:t>
      </w:r>
    </w:p>
    <w:p/>
    <w:p>
      <w:r>
        <w:rPr>
          <w:b/>
        </w:rPr>
        <w:t>MARKETPULSE DYNAMICS</w:t>
      </w:r>
    </w:p>
    <w:p/>
    <w:p>
      <w:r>
        <w:t>By: ____________________________</w:t>
      </w:r>
    </w:p>
    <w:p>
      <w:r>
        <w:t>Name: Dale Simmons</w:t>
      </w:r>
    </w:p>
    <w:p>
      <w:r>
        <w:t>Title: Head of Commercial Operations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