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September 1, 2023 ("Effective Date"), by and between FutureSkills Solutions, a corporation incorporated under the laws of the United States of America, with its principal place of business located at 23 Main St. Suite 1800 Chicago, IL 60606 ("Company"), and Momentum Driver, a Delaware corporation with its principal place of business located at 5500 Enterprise Drive, Chicago, IL 60661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two (2) years, ending on September 1, 2025, unless earlier terminated in accordance with this Agreement ("Initial Term"). Upon the expiration of the Initial Term, this Agreement shall automatically renew for additional one-year terms, unless either party provides written notice of intent not to renew at least sixty (60) days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sixty (60) days 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one hundred twenty (120)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within ninety (90) days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period of five (5)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5.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00" w:lineRule="auto"/>
        <w:jc w:val="center"/>
        <w:rPr>
          <w:b w:val="1"/>
          <w:sz w:val="22"/>
          <w:szCs w:val="22"/>
        </w:rPr>
      </w:pPr>
      <w:r w:rsidDel="00000000" w:rsidR="00000000" w:rsidRPr="00000000">
        <w:rPr>
          <w:b w:val="1"/>
          <w:sz w:val="22"/>
          <w:szCs w:val="22"/>
          <w:rtl w:val="0"/>
        </w:rPr>
        <w:t xml:space="preserve">6. Non-Solicitation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agrees that, during the term of this Agreement and for a period of one (1) year following its termination or expiration, it will not, without the other party’s prior written consent, solicit for employment or engagement, or employ or engage, any individual who was an employee or contractor of the other party and who was directly involved in the performance of services under this Agreement. This restriction shall not apply to individuals who respond to general employment advertisements or job postings not specifically targeted at such employees or contractors.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7. Miscellaneous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8. Governing Law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State of Pennsylvania, without regard to its conflicts of law principles. Any disputes arising out of or in connection with this Agreement shall be resolved in the state or federal courts located in Pittsburgh, PA.</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Thomas Anderson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