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rFonts w:ascii="Calibri" w:cs="Calibri" w:eastAsia="Calibri" w:hAnsi="Calibri"/>
          <w:i w:val="0"/>
          <w:sz w:val="32"/>
          <w:szCs w:val="32"/>
        </w:rPr>
      </w:pPr>
      <w:r w:rsidDel="00000000" w:rsidR="00000000" w:rsidRPr="00000000">
        <w:rPr>
          <w:rFonts w:ascii="Calibri" w:cs="Calibri" w:eastAsia="Calibri" w:hAnsi="Calibri"/>
          <w:i w:val="0"/>
          <w:sz w:val="32"/>
          <w:szCs w:val="32"/>
          <w:rtl w:val="0"/>
        </w:rPr>
        <w:t xml:space="preserve">Statement of Work</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Statement of Work ("SOW") is made effective as of </w:t>
      </w:r>
      <w:r w:rsidDel="00000000" w:rsidR="00000000" w:rsidRPr="00000000">
        <w:rPr>
          <w:rFonts w:ascii="Calibri" w:cs="Calibri" w:eastAsia="Calibri" w:hAnsi="Calibri"/>
          <w:b w:val="1"/>
          <w:rtl w:val="0"/>
        </w:rPr>
        <w:t xml:space="preserve">March 25, 2025</w:t>
      </w:r>
      <w:r w:rsidDel="00000000" w:rsidR="00000000" w:rsidRPr="00000000">
        <w:rPr>
          <w:rFonts w:ascii="Calibri" w:cs="Calibri" w:eastAsia="Calibri" w:hAnsi="Calibri"/>
          <w:rtl w:val="0"/>
        </w:rPr>
        <w:t xml:space="preserve"> (the "Effective Date"), by and between </w:t>
      </w:r>
      <w:r w:rsidDel="00000000" w:rsidR="00000000" w:rsidRPr="00000000">
        <w:rPr>
          <w:rFonts w:ascii="Calibri" w:cs="Calibri" w:eastAsia="Calibri" w:hAnsi="Calibri"/>
          <w:b w:val="1"/>
          <w:rtl w:val="0"/>
        </w:rPr>
        <w:t xml:space="preserve">FutureSkills Solutions</w:t>
      </w:r>
      <w:r w:rsidDel="00000000" w:rsidR="00000000" w:rsidRPr="00000000">
        <w:rPr>
          <w:rFonts w:ascii="Calibri" w:cs="Calibri" w:eastAsia="Calibri" w:hAnsi="Calibri"/>
          <w:rtl w:val="0"/>
        </w:rPr>
        <w:t xml:space="preserve">, a company duly incorporated and existing under the laws of Illinois, with its principal place of business located at </w:t>
      </w:r>
      <w:r w:rsidDel="00000000" w:rsidR="00000000" w:rsidRPr="00000000">
        <w:rPr>
          <w:rFonts w:ascii="Calibri" w:cs="Calibri" w:eastAsia="Calibri" w:hAnsi="Calibri"/>
          <w:b w:val="1"/>
          <w:rtl w:val="0"/>
        </w:rPr>
        <w:t xml:space="preserve">23 Main St., Suite 1800, Chicago, IL 60606</w:t>
      </w:r>
      <w:r w:rsidDel="00000000" w:rsidR="00000000" w:rsidRPr="00000000">
        <w:rPr>
          <w:rFonts w:ascii="Calibri" w:cs="Calibri" w:eastAsia="Calibri" w:hAnsi="Calibri"/>
          <w:rtl w:val="0"/>
        </w:rPr>
        <w:t xml:space="preserve"> ("Client"), and </w:t>
      </w:r>
      <w:r w:rsidDel="00000000" w:rsidR="00000000" w:rsidRPr="00000000">
        <w:rPr>
          <w:rFonts w:ascii="Calibri" w:cs="Calibri" w:eastAsia="Calibri" w:hAnsi="Calibri"/>
          <w:b w:val="1"/>
          <w:rtl w:val="0"/>
        </w:rPr>
        <w:t xml:space="preserve">MarketPulse Dynamics</w:t>
      </w:r>
      <w:r w:rsidDel="00000000" w:rsidR="00000000" w:rsidRPr="00000000">
        <w:rPr>
          <w:rFonts w:ascii="Calibri" w:cs="Calibri" w:eastAsia="Calibri" w:hAnsi="Calibri"/>
          <w:rtl w:val="0"/>
        </w:rPr>
        <w:t xml:space="preserve">, a marketing analytics and strategy service provider, with its principal place of business located at </w:t>
      </w:r>
      <w:r w:rsidDel="00000000" w:rsidR="00000000" w:rsidRPr="00000000">
        <w:rPr>
          <w:rFonts w:ascii="Calibri" w:cs="Calibri" w:eastAsia="Calibri" w:hAnsi="Calibri"/>
          <w:b w:val="1"/>
          <w:rtl w:val="0"/>
        </w:rPr>
        <w:t xml:space="preserve">900 Marketing Row, Atlanta, GA 30308</w:t>
      </w:r>
      <w:r w:rsidDel="00000000" w:rsidR="00000000" w:rsidRPr="00000000">
        <w:rPr>
          <w:rFonts w:ascii="Calibri" w:cs="Calibri" w:eastAsia="Calibri" w:hAnsi="Calibri"/>
          <w:rtl w:val="0"/>
        </w:rPr>
        <w:t xml:space="preserve"> ("Service Provider"). This SOW is governed by the terms and conditions set forth in the Master Service Agreement ("MSA") between the parties dated March 18, 2025.</w:t>
      </w: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1. Background and Objectives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Client seeks to engage Service Provider to design and implement a digital marketing strategy focused on customer journey optimization and campaign performance tracking. The objective is to enhance customer engagement, improve campaign ROI, and generate actionable audience insights.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2. Services to be Provided</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Service Provider agrees to perform the following services ("Services") under this SOW:</w:t>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Customer Journey Mapping</w:t>
        <w:br w:type="textWrapping"/>
      </w:r>
      <w:r w:rsidDel="00000000" w:rsidR="00000000" w:rsidRPr="00000000">
        <w:rPr>
          <w:rFonts w:ascii="Calibri" w:cs="Calibri" w:eastAsia="Calibri" w:hAnsi="Calibri"/>
          <w:rtl w:val="0"/>
        </w:rPr>
        <w:t xml:space="preserve"> Conduct discovery sessions, analyze existing user behavior across digital touchpoints, and create a documented multi-channel customer journey strategy.</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 </w:t>
      </w:r>
      <w:r w:rsidDel="00000000" w:rsidR="00000000" w:rsidRPr="00000000">
        <w:rPr>
          <w:rFonts w:ascii="Calibri" w:cs="Calibri" w:eastAsia="Calibri" w:hAnsi="Calibri"/>
          <w:b w:val="1"/>
          <w:rtl w:val="0"/>
        </w:rPr>
        <w:t xml:space="preserve">Digital Campaign Development &amp; Execution</w:t>
        <w:br w:type="textWrapping"/>
      </w:r>
      <w:r w:rsidDel="00000000" w:rsidR="00000000" w:rsidRPr="00000000">
        <w:rPr>
          <w:rFonts w:ascii="Calibri" w:cs="Calibri" w:eastAsia="Calibri" w:hAnsi="Calibri"/>
          <w:rtl w:val="0"/>
        </w:rPr>
        <w:t xml:space="preserve"> Design, launch, and monitor a multi-wave campaign across email, social, and paid channels to drive engagement and conversions.</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 </w:t>
      </w:r>
      <w:r w:rsidDel="00000000" w:rsidR="00000000" w:rsidRPr="00000000">
        <w:rPr>
          <w:rFonts w:ascii="Calibri" w:cs="Calibri" w:eastAsia="Calibri" w:hAnsi="Calibri"/>
          <w:b w:val="1"/>
          <w:rtl w:val="0"/>
        </w:rPr>
        <w:t xml:space="preserve">Performance Analytics and Reporting</w:t>
        <w:br w:type="textWrapping"/>
      </w:r>
      <w:r w:rsidDel="00000000" w:rsidR="00000000" w:rsidRPr="00000000">
        <w:rPr>
          <w:rFonts w:ascii="Calibri" w:cs="Calibri" w:eastAsia="Calibri" w:hAnsi="Calibri"/>
          <w:rtl w:val="0"/>
        </w:rPr>
        <w:t xml:space="preserve"> Provide weekly dashboards and end-of-campaign wrap-up reports with performance metrics, optimization recommendations, and customer behavior trends.</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 </w:t>
      </w:r>
      <w:r w:rsidDel="00000000" w:rsidR="00000000" w:rsidRPr="00000000">
        <w:rPr>
          <w:rFonts w:ascii="Calibri" w:cs="Calibri" w:eastAsia="Calibri" w:hAnsi="Calibri"/>
          <w:b w:val="1"/>
          <w:rtl w:val="0"/>
        </w:rPr>
        <w:t xml:space="preserve">Ad Hoc Strategic Consultations</w:t>
        <w:br w:type="textWrapping"/>
      </w:r>
      <w:r w:rsidDel="00000000" w:rsidR="00000000" w:rsidRPr="00000000">
        <w:rPr>
          <w:rFonts w:ascii="Calibri" w:cs="Calibri" w:eastAsia="Calibri" w:hAnsi="Calibri"/>
          <w:rtl w:val="0"/>
        </w:rPr>
        <w:t xml:space="preserve"> Offer strategic consulting sessions on campaign pivoting, channel allocation, and messaging tactics, as requested by Client.</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3. Term and Renewal</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SOW shall commence on the Effective Date and shall continue for </w:t>
      </w:r>
      <w:r w:rsidDel="00000000" w:rsidR="00000000" w:rsidRPr="00000000">
        <w:rPr>
          <w:rFonts w:ascii="Calibri" w:cs="Calibri" w:eastAsia="Calibri" w:hAnsi="Calibri"/>
          <w:b w:val="1"/>
          <w:rtl w:val="0"/>
        </w:rPr>
        <w:t xml:space="preserve">nine (9) months</w:t>
      </w:r>
      <w:r w:rsidDel="00000000" w:rsidR="00000000" w:rsidRPr="00000000">
        <w:rPr>
          <w:rFonts w:ascii="Calibri" w:cs="Calibri" w:eastAsia="Calibri" w:hAnsi="Calibri"/>
          <w:rtl w:val="0"/>
        </w:rPr>
        <w:t xml:space="preserve">, ending on </w:t>
      </w:r>
      <w:r w:rsidDel="00000000" w:rsidR="00000000" w:rsidRPr="00000000">
        <w:rPr>
          <w:rFonts w:ascii="Calibri" w:cs="Calibri" w:eastAsia="Calibri" w:hAnsi="Calibri"/>
          <w:b w:val="1"/>
          <w:rtl w:val="0"/>
        </w:rPr>
        <w:t xml:space="preserve">December 31, 2025</w:t>
      </w:r>
      <w:r w:rsidDel="00000000" w:rsidR="00000000" w:rsidRPr="00000000">
        <w:rPr>
          <w:rFonts w:ascii="Calibri" w:cs="Calibri" w:eastAsia="Calibri" w:hAnsi="Calibri"/>
          <w:rtl w:val="0"/>
        </w:rPr>
        <w:t xml:space="preserve">, unless terminated earlier in accordance with the provisions herein. Renewal or extension of Services may be executed through an addendum or new SOW.</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4. Payment Terms</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total contract value for Services under this SOW is </w:t>
      </w:r>
      <w:r w:rsidDel="00000000" w:rsidR="00000000" w:rsidRPr="00000000">
        <w:rPr>
          <w:rFonts w:ascii="Calibri" w:cs="Calibri" w:eastAsia="Calibri" w:hAnsi="Calibri"/>
          <w:b w:val="1"/>
          <w:rtl w:val="0"/>
        </w:rPr>
        <w:t xml:space="preserve">fifty-four thousand five hundred US dollars (USD 54,500)</w:t>
      </w:r>
      <w:r w:rsidDel="00000000" w:rsidR="00000000" w:rsidRPr="00000000">
        <w:rPr>
          <w:rFonts w:ascii="Calibri" w:cs="Calibri" w:eastAsia="Calibri" w:hAnsi="Calibri"/>
          <w:rtl w:val="0"/>
        </w:rPr>
        <w:t xml:space="preserve">. Payments will follow the schedule below:</w:t>
      </w:r>
    </w:p>
    <w:p w:rsidR="00000000" w:rsidDel="00000000" w:rsidP="00000000" w:rsidRDefault="00000000" w:rsidRPr="00000000" w14:paraId="0000000F">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Initial Deposit</w:t>
      </w:r>
      <w:r w:rsidDel="00000000" w:rsidR="00000000" w:rsidRPr="00000000">
        <w:rPr>
          <w:rFonts w:ascii="Calibri" w:cs="Calibri" w:eastAsia="Calibri" w:hAnsi="Calibri"/>
          <w:rtl w:val="0"/>
        </w:rPr>
        <w:t xml:space="preserve"> of </w:t>
      </w:r>
      <w:r w:rsidDel="00000000" w:rsidR="00000000" w:rsidRPr="00000000">
        <w:rPr>
          <w:rFonts w:ascii="Calibri" w:cs="Calibri" w:eastAsia="Calibri" w:hAnsi="Calibri"/>
          <w:b w:val="1"/>
          <w:rtl w:val="0"/>
        </w:rPr>
        <w:t xml:space="preserve">$18,000</w:t>
      </w:r>
      <w:r w:rsidDel="00000000" w:rsidR="00000000" w:rsidRPr="00000000">
        <w:rPr>
          <w:rFonts w:ascii="Calibri" w:cs="Calibri" w:eastAsia="Calibri" w:hAnsi="Calibri"/>
          <w:rtl w:val="0"/>
        </w:rPr>
        <w:t xml:space="preserve"> due by </w:t>
      </w:r>
      <w:r w:rsidDel="00000000" w:rsidR="00000000" w:rsidRPr="00000000">
        <w:rPr>
          <w:rFonts w:ascii="Calibri" w:cs="Calibri" w:eastAsia="Calibri" w:hAnsi="Calibri"/>
          <w:b w:val="1"/>
          <w:rtl w:val="0"/>
        </w:rPr>
        <w:t xml:space="preserve">April 15, 2025</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Second Installment</w:t>
      </w:r>
      <w:r w:rsidDel="00000000" w:rsidR="00000000" w:rsidRPr="00000000">
        <w:rPr>
          <w:rFonts w:ascii="Calibri" w:cs="Calibri" w:eastAsia="Calibri" w:hAnsi="Calibri"/>
          <w:rtl w:val="0"/>
        </w:rPr>
        <w:t xml:space="preserve"> of </w:t>
      </w:r>
      <w:r w:rsidDel="00000000" w:rsidR="00000000" w:rsidRPr="00000000">
        <w:rPr>
          <w:rFonts w:ascii="Calibri" w:cs="Calibri" w:eastAsia="Calibri" w:hAnsi="Calibri"/>
          <w:b w:val="1"/>
          <w:rtl w:val="0"/>
        </w:rPr>
        <w:t xml:space="preserve">$18,000</w:t>
      </w:r>
      <w:r w:rsidDel="00000000" w:rsidR="00000000" w:rsidRPr="00000000">
        <w:rPr>
          <w:rFonts w:ascii="Calibri" w:cs="Calibri" w:eastAsia="Calibri" w:hAnsi="Calibri"/>
          <w:rtl w:val="0"/>
        </w:rPr>
        <w:t xml:space="preserve"> due by </w:t>
      </w:r>
      <w:r w:rsidDel="00000000" w:rsidR="00000000" w:rsidRPr="00000000">
        <w:rPr>
          <w:rFonts w:ascii="Calibri" w:cs="Calibri" w:eastAsia="Calibri" w:hAnsi="Calibri"/>
          <w:b w:val="1"/>
          <w:rtl w:val="0"/>
        </w:rPr>
        <w:t xml:space="preserve">July 15, 2025</w:t>
        <w:br w:type="textWrapping"/>
      </w:r>
    </w:p>
    <w:p w:rsidR="00000000" w:rsidDel="00000000" w:rsidP="00000000" w:rsidRDefault="00000000" w:rsidRPr="00000000" w14:paraId="00000011">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Final Installment</w:t>
      </w:r>
      <w:r w:rsidDel="00000000" w:rsidR="00000000" w:rsidRPr="00000000">
        <w:rPr>
          <w:rFonts w:ascii="Calibri" w:cs="Calibri" w:eastAsia="Calibri" w:hAnsi="Calibri"/>
          <w:rtl w:val="0"/>
        </w:rPr>
        <w:t xml:space="preserve"> of </w:t>
      </w:r>
      <w:r w:rsidDel="00000000" w:rsidR="00000000" w:rsidRPr="00000000">
        <w:rPr>
          <w:rFonts w:ascii="Calibri" w:cs="Calibri" w:eastAsia="Calibri" w:hAnsi="Calibri"/>
          <w:b w:val="1"/>
          <w:rtl w:val="0"/>
        </w:rPr>
        <w:t xml:space="preserve">$18,500</w:t>
      </w:r>
      <w:r w:rsidDel="00000000" w:rsidR="00000000" w:rsidRPr="00000000">
        <w:rPr>
          <w:rFonts w:ascii="Calibri" w:cs="Calibri" w:eastAsia="Calibri" w:hAnsi="Calibri"/>
          <w:rtl w:val="0"/>
        </w:rPr>
        <w:t xml:space="preserve"> due by </w:t>
      </w:r>
      <w:r w:rsidDel="00000000" w:rsidR="00000000" w:rsidRPr="00000000">
        <w:rPr>
          <w:rFonts w:ascii="Calibri" w:cs="Calibri" w:eastAsia="Calibri" w:hAnsi="Calibri"/>
          <w:b w:val="1"/>
          <w:rtl w:val="0"/>
        </w:rPr>
        <w:t xml:space="preserve">October 15, 2025</w:t>
        <w:br w:type="textWrapping"/>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All invoices are payable </w:t>
      </w:r>
      <w:r w:rsidDel="00000000" w:rsidR="00000000" w:rsidRPr="00000000">
        <w:rPr>
          <w:rFonts w:ascii="Calibri" w:cs="Calibri" w:eastAsia="Calibri" w:hAnsi="Calibri"/>
          <w:b w:val="1"/>
          <w:rtl w:val="0"/>
        </w:rPr>
        <w:t xml:space="preserve">within thirty (30) days</w:t>
      </w:r>
      <w:r w:rsidDel="00000000" w:rsidR="00000000" w:rsidRPr="00000000">
        <w:rPr>
          <w:rFonts w:ascii="Calibri" w:cs="Calibri" w:eastAsia="Calibri" w:hAnsi="Calibri"/>
          <w:rtl w:val="0"/>
        </w:rPr>
        <w:t xml:space="preserve"> of receipt. Late payments may incur interest as outlined in the MSA.</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5. Termination</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Either Party may terminate this SOW:</w:t>
      </w:r>
    </w:p>
    <w:p w:rsidR="00000000" w:rsidDel="00000000" w:rsidP="00000000" w:rsidRDefault="00000000" w:rsidRPr="00000000" w14:paraId="00000015">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For Cause</w:t>
      </w:r>
      <w:r w:rsidDel="00000000" w:rsidR="00000000" w:rsidRPr="00000000">
        <w:rPr>
          <w:rFonts w:ascii="Calibri" w:cs="Calibri" w:eastAsia="Calibri" w:hAnsi="Calibri"/>
          <w:rtl w:val="0"/>
        </w:rPr>
        <w:t xml:space="preserve">: With </w:t>
      </w:r>
      <w:r w:rsidDel="00000000" w:rsidR="00000000" w:rsidRPr="00000000">
        <w:rPr>
          <w:rFonts w:ascii="Calibri" w:cs="Calibri" w:eastAsia="Calibri" w:hAnsi="Calibri"/>
          <w:b w:val="1"/>
          <w:rtl w:val="0"/>
        </w:rPr>
        <w:t xml:space="preserve">ninety (90) days’ written notice</w:t>
      </w:r>
      <w:r w:rsidDel="00000000" w:rsidR="00000000" w:rsidRPr="00000000">
        <w:rPr>
          <w:rFonts w:ascii="Calibri" w:cs="Calibri" w:eastAsia="Calibri" w:hAnsi="Calibri"/>
          <w:rtl w:val="0"/>
        </w:rPr>
        <w:t xml:space="preserve"> in the event of a material breach that is not remedied within the notice period.</w:t>
        <w:br w:type="textWrapping"/>
      </w:r>
    </w:p>
    <w:p w:rsidR="00000000" w:rsidDel="00000000" w:rsidP="00000000" w:rsidRDefault="00000000" w:rsidRPr="00000000" w14:paraId="00000016">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For Convenience</w:t>
      </w:r>
      <w:r w:rsidDel="00000000" w:rsidR="00000000" w:rsidRPr="00000000">
        <w:rPr>
          <w:rFonts w:ascii="Calibri" w:cs="Calibri" w:eastAsia="Calibri" w:hAnsi="Calibri"/>
          <w:rtl w:val="0"/>
        </w:rPr>
        <w:t xml:space="preserve">: With </w:t>
      </w:r>
      <w:r w:rsidDel="00000000" w:rsidR="00000000" w:rsidRPr="00000000">
        <w:rPr>
          <w:rFonts w:ascii="Calibri" w:cs="Calibri" w:eastAsia="Calibri" w:hAnsi="Calibri"/>
          <w:b w:val="1"/>
          <w:rtl w:val="0"/>
        </w:rPr>
        <w:t xml:space="preserve">one hundred twenty (120) days’ written notice</w:t>
      </w:r>
      <w:r w:rsidDel="00000000" w:rsidR="00000000" w:rsidRPr="00000000">
        <w:rPr>
          <w:rFonts w:ascii="Calibri" w:cs="Calibri" w:eastAsia="Calibri" w:hAnsi="Calibri"/>
          <w:rtl w:val="0"/>
        </w:rPr>
        <w:t xml:space="preserve"> to the other Party.</w:t>
        <w:br w:type="textWrapping"/>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Any prepaid but unused fees shall be refunded to Client on a pro rata basis upon termination, unless termination is for cause by Service Provider.</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6. Assignment</w:t>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Neither Party may assign this SOW or any obligations hereunder without prior written consent of the other Party, except in the event of merger, acquisition, or sale of substantially all assets, provided the assignee is not a direct competitor.</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7. Governing Law</w:t>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SOW shall be governed by and construed in accordance with the laws of the </w:t>
      </w:r>
      <w:r w:rsidDel="00000000" w:rsidR="00000000" w:rsidRPr="00000000">
        <w:rPr>
          <w:rFonts w:ascii="Calibri" w:cs="Calibri" w:eastAsia="Calibri" w:hAnsi="Calibri"/>
          <w:b w:val="1"/>
          <w:rtl w:val="0"/>
        </w:rPr>
        <w:t xml:space="preserve">State of Georgia</w:t>
      </w:r>
      <w:r w:rsidDel="00000000" w:rsidR="00000000" w:rsidRPr="00000000">
        <w:rPr>
          <w:rFonts w:ascii="Calibri" w:cs="Calibri" w:eastAsia="Calibri" w:hAnsi="Calibri"/>
          <w:rtl w:val="0"/>
        </w:rPr>
        <w:t xml:space="preserve">. Any dispute shall be resolved exclusively in the courts of </w:t>
      </w:r>
      <w:r w:rsidDel="00000000" w:rsidR="00000000" w:rsidRPr="00000000">
        <w:rPr>
          <w:rFonts w:ascii="Calibri" w:cs="Calibri" w:eastAsia="Calibri" w:hAnsi="Calibri"/>
          <w:b w:val="1"/>
          <w:rtl w:val="0"/>
        </w:rPr>
        <w:t xml:space="preserve">Fulton County, Georgia</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8. Signatures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 witness whereof, the parties have executed this SOW as of the Effective Date.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For FutureSkills Solutions: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___________________________</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Title: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Date: _____________________</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For MarketPulse Dynamics: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___________________________</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Title: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Date: _____________________</w:t>
      </w:r>
      <w:r w:rsidDel="00000000" w:rsidR="00000000" w:rsidRPr="00000000">
        <w:br w:type="page"/>
      </w:r>
      <w:r w:rsidDel="00000000" w:rsidR="00000000" w:rsidRPr="00000000">
        <w:rPr>
          <w:rtl w:val="0"/>
        </w:rPr>
      </w:r>
    </w:p>
    <w:p w:rsidR="00000000" w:rsidDel="00000000" w:rsidP="00000000" w:rsidRDefault="00000000" w:rsidRPr="00000000" w14:paraId="0000002B">
      <w:pPr>
        <w:ind w:firstLine="720"/>
        <w:jc w:val="center"/>
        <w:rPr>
          <w:rFonts w:ascii="Calibri" w:cs="Calibri" w:eastAsia="Calibri" w:hAnsi="Calibri"/>
          <w:b w:val="1"/>
          <w:sz w:val="19.920000076293945"/>
          <w:szCs w:val="19.920000076293945"/>
        </w:rPr>
      </w:pPr>
      <w:r w:rsidDel="00000000" w:rsidR="00000000" w:rsidRPr="00000000">
        <w:rPr>
          <w:rFonts w:ascii="Calibri" w:cs="Calibri" w:eastAsia="Calibri" w:hAnsi="Calibri"/>
          <w:b w:val="1"/>
          <w:rtl w:val="0"/>
        </w:rPr>
        <w:t xml:space="preserve">Exhibit A-1 </w:t>
      </w:r>
      <w:r w:rsidDel="00000000" w:rsidR="00000000" w:rsidRPr="00000000">
        <w:rPr>
          <w:rFonts w:ascii="Calibri" w:cs="Calibri" w:eastAsia="Calibri" w:hAnsi="Calibri"/>
          <w:b w:val="1"/>
          <w:sz w:val="19.920000076293945"/>
          <w:szCs w:val="19.920000076293945"/>
          <w:rtl w:val="0"/>
        </w:rPr>
        <w:t xml:space="preserve">to Statement of Work </w:t>
      </w:r>
    </w:p>
    <w:p w:rsidR="00000000" w:rsidDel="00000000" w:rsidP="00000000" w:rsidRDefault="00000000" w:rsidRPr="00000000" w14:paraId="0000002C">
      <w:pPr>
        <w:spacing w:before="228.33251953125" w:lineRule="auto"/>
        <w:ind w:left="810" w:right="2700" w:firstLine="2430"/>
        <w:jc w:val="center"/>
        <w:rPr>
          <w:rFonts w:ascii="Calibri" w:cs="Calibri" w:eastAsia="Calibri" w:hAnsi="Calibri"/>
          <w:sz w:val="22.079999923706055"/>
          <w:szCs w:val="22.079999923706055"/>
        </w:rPr>
      </w:pPr>
      <w:r w:rsidDel="00000000" w:rsidR="00000000" w:rsidRPr="00000000">
        <w:rPr>
          <w:rFonts w:ascii="Calibri" w:cs="Calibri" w:eastAsia="Calibri" w:hAnsi="Calibri"/>
          <w:b w:val="1"/>
          <w:sz w:val="19.920000076293945"/>
          <w:szCs w:val="19.920000076293945"/>
          <w:u w:val="single"/>
          <w:rtl w:val="0"/>
        </w:rPr>
        <w:t xml:space="preserve">Fees and Payment Schedule </w:t>
        <w:br w:type="textWrapping"/>
      </w:r>
      <w:r w:rsidDel="00000000" w:rsidR="00000000" w:rsidRPr="00000000">
        <w:rPr>
          <w:rtl w:val="0"/>
        </w:rPr>
      </w:r>
    </w:p>
    <w:tbl>
      <w:tblPr>
        <w:tblStyle w:val="Table1"/>
        <w:tblpPr w:leftFromText="180" w:rightFromText="180" w:topFromText="180" w:bottomFromText="180" w:vertAnchor="text" w:horzAnchor="text" w:tblpX="270" w:tblpY="0"/>
        <w:tblW w:w="9585.0" w:type="dxa"/>
        <w:jc w:val="left"/>
        <w:tblInd w:w="968.16005706787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665"/>
        <w:gridCol w:w="1965"/>
        <w:gridCol w:w="2835"/>
        <w:tblGridChange w:id="0">
          <w:tblGrid>
            <w:gridCol w:w="3120"/>
            <w:gridCol w:w="1665"/>
            <w:gridCol w:w="1965"/>
            <w:gridCol w:w="2835"/>
          </w:tblGrid>
        </w:tblGridChange>
      </w:tblGrid>
      <w:tr>
        <w:trPr>
          <w:cantSplit w:val="0"/>
          <w:trHeight w:val="610.1892071217299" w:hRule="atLeast"/>
          <w:tblHeader w:val="0"/>
        </w:trPr>
        <w:tc>
          <w:tcPr/>
          <w:p w:rsidR="00000000" w:rsidDel="00000000" w:rsidP="00000000" w:rsidRDefault="00000000" w:rsidRPr="00000000" w14:paraId="0000002D">
            <w:pPr>
              <w:ind w:left="128.03512573242188"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Role </w:t>
            </w:r>
          </w:p>
        </w:tc>
        <w:tc>
          <w:tcPr/>
          <w:p w:rsidR="00000000" w:rsidDel="00000000" w:rsidP="00000000" w:rsidRDefault="00000000" w:rsidRPr="00000000" w14:paraId="0000002E">
            <w:pPr>
              <w:ind w:left="115.22888183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Allocation </w:t>
            </w:r>
          </w:p>
        </w:tc>
        <w:tc>
          <w:tcPr/>
          <w:p w:rsidR="00000000" w:rsidDel="00000000" w:rsidP="00000000" w:rsidRDefault="00000000" w:rsidRPr="00000000" w14:paraId="0000002F">
            <w:pPr>
              <w:ind w:left="128.435058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Location </w:t>
            </w:r>
          </w:p>
        </w:tc>
        <w:tc>
          <w:tcPr/>
          <w:p w:rsidR="00000000" w:rsidDel="00000000" w:rsidP="00000000" w:rsidRDefault="00000000" w:rsidRPr="00000000" w14:paraId="00000030">
            <w:pPr>
              <w:ind w:left="128.0352783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Hourly  Rate</w:t>
            </w:r>
          </w:p>
        </w:tc>
      </w:tr>
      <w:tr>
        <w:trPr>
          <w:cantSplit w:val="0"/>
          <w:trHeight w:val="338.399658203125" w:hRule="atLeast"/>
          <w:tblHeader w:val="0"/>
        </w:trPr>
        <w:tc>
          <w:tcPr/>
          <w:p w:rsidR="00000000" w:rsidDel="00000000" w:rsidP="00000000" w:rsidRDefault="00000000" w:rsidRPr="00000000" w14:paraId="00000031">
            <w:pPr>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Digital Campaign Strategist</w:t>
              <w:tab/>
            </w:r>
          </w:p>
        </w:tc>
        <w:tc>
          <w:tcPr/>
          <w:p w:rsidR="00000000" w:rsidDel="00000000" w:rsidP="00000000" w:rsidRDefault="00000000" w:rsidRPr="00000000" w14:paraId="00000032">
            <w:pPr>
              <w:ind w:left="131.5679931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100% </w:t>
            </w:r>
          </w:p>
        </w:tc>
        <w:tc>
          <w:tcPr/>
          <w:p w:rsidR="00000000" w:rsidDel="00000000" w:rsidP="00000000" w:rsidRDefault="00000000" w:rsidRPr="00000000" w14:paraId="00000033">
            <w:pPr>
              <w:ind w:left="131.7474365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North America </w:t>
            </w:r>
          </w:p>
        </w:tc>
        <w:tc>
          <w:tcPr/>
          <w:p w:rsidR="00000000" w:rsidDel="00000000" w:rsidP="00000000" w:rsidRDefault="00000000" w:rsidRPr="00000000" w14:paraId="00000034">
            <w:pPr>
              <w:ind w:left="123.17810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$135</w:t>
            </w:r>
          </w:p>
        </w:tc>
      </w:tr>
      <w:tr>
        <w:trPr>
          <w:cantSplit w:val="0"/>
          <w:trHeight w:val="338.399658203125" w:hRule="atLeast"/>
          <w:tblHeader w:val="0"/>
        </w:trPr>
        <w:tc>
          <w:tcPr/>
          <w:p w:rsidR="00000000" w:rsidDel="00000000" w:rsidP="00000000" w:rsidRDefault="00000000" w:rsidRPr="00000000" w14:paraId="00000035">
            <w:pPr>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Data Analyst</w:t>
              <w:tab/>
            </w:r>
          </w:p>
        </w:tc>
        <w:tc>
          <w:tcPr/>
          <w:p w:rsidR="00000000" w:rsidDel="00000000" w:rsidP="00000000" w:rsidRDefault="00000000" w:rsidRPr="00000000" w14:paraId="00000036">
            <w:pPr>
              <w:ind w:left="131.5679931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50%</w:t>
            </w:r>
          </w:p>
        </w:tc>
        <w:tc>
          <w:tcPr/>
          <w:p w:rsidR="00000000" w:rsidDel="00000000" w:rsidP="00000000" w:rsidRDefault="00000000" w:rsidRPr="00000000" w14:paraId="00000037">
            <w:pPr>
              <w:ind w:left="131.7474365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North America</w:t>
            </w:r>
          </w:p>
        </w:tc>
        <w:tc>
          <w:tcPr/>
          <w:p w:rsidR="00000000" w:rsidDel="00000000" w:rsidP="00000000" w:rsidRDefault="00000000" w:rsidRPr="00000000" w14:paraId="00000038">
            <w:pPr>
              <w:ind w:left="123.17810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$120</w:t>
            </w:r>
          </w:p>
        </w:tc>
      </w:tr>
      <w:tr>
        <w:trPr>
          <w:cantSplit w:val="0"/>
          <w:trHeight w:val="338.399658203125" w:hRule="atLeast"/>
          <w:tblHeader w:val="0"/>
        </w:trPr>
        <w:tc>
          <w:tcPr/>
          <w:p w:rsidR="00000000" w:rsidDel="00000000" w:rsidP="00000000" w:rsidRDefault="00000000" w:rsidRPr="00000000" w14:paraId="00000039">
            <w:pPr>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Customer Journey Consultant</w:t>
              <w:tab/>
            </w:r>
          </w:p>
        </w:tc>
        <w:tc>
          <w:tcPr/>
          <w:p w:rsidR="00000000" w:rsidDel="00000000" w:rsidP="00000000" w:rsidRDefault="00000000" w:rsidRPr="00000000" w14:paraId="0000003A">
            <w:pPr>
              <w:ind w:left="131.5679931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75%</w:t>
            </w:r>
          </w:p>
        </w:tc>
        <w:tc>
          <w:tcPr/>
          <w:p w:rsidR="00000000" w:rsidDel="00000000" w:rsidP="00000000" w:rsidRDefault="00000000" w:rsidRPr="00000000" w14:paraId="0000003B">
            <w:pPr>
              <w:ind w:left="131.7474365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North America</w:t>
            </w:r>
          </w:p>
        </w:tc>
        <w:tc>
          <w:tcPr/>
          <w:p w:rsidR="00000000" w:rsidDel="00000000" w:rsidP="00000000" w:rsidRDefault="00000000" w:rsidRPr="00000000" w14:paraId="0000003C">
            <w:pPr>
              <w:ind w:left="123.17810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$145</w:t>
            </w:r>
          </w:p>
        </w:tc>
      </w:tr>
    </w:tbl>
    <w:p w:rsidR="00000000" w:rsidDel="00000000" w:rsidP="00000000" w:rsidRDefault="00000000" w:rsidRPr="00000000" w14:paraId="0000003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975.888023376464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F">
      <w:pPr>
        <w:ind w:left="975.888023376464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Monthly Billing Schedule (Based on Allocated Hours):</w:t>
      </w:r>
    </w:p>
    <w:p w:rsidR="00000000" w:rsidDel="00000000" w:rsidP="00000000" w:rsidRDefault="00000000" w:rsidRPr="00000000" w14:paraId="00000040">
      <w:pPr>
        <w:ind w:left="0"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1">
      <w:pPr>
        <w:ind w:left="975.8880233764648" w:firstLine="0"/>
        <w:rPr>
          <w:rFonts w:ascii="Calibri" w:cs="Calibri" w:eastAsia="Calibri" w:hAnsi="Calibri"/>
          <w:sz w:val="22.079999923706055"/>
          <w:szCs w:val="22.079999923706055"/>
        </w:rPr>
      </w:pPr>
      <w:r w:rsidDel="00000000" w:rsidR="00000000" w:rsidRPr="00000000">
        <w:rPr>
          <w:rtl w:val="0"/>
        </w:rPr>
      </w:r>
    </w:p>
    <w:tbl>
      <w:tblPr>
        <w:tblStyle w:val="Table2"/>
        <w:tblW w:w="4291.5997314453125" w:type="dxa"/>
        <w:jc w:val="left"/>
        <w:tblInd w:w="3618.27999114990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4.7998046875"/>
        <w:gridCol w:w="2186.7999267578125"/>
        <w:tblGridChange w:id="0">
          <w:tblGrid>
            <w:gridCol w:w="2104.7998046875"/>
            <w:gridCol w:w="2186.7999267578125"/>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2.2939682006836" w:lineRule="auto"/>
              <w:ind w:left="125.6353759765625" w:right="53.2989501953125" w:firstLine="0"/>
              <w:jc w:val="both"/>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Total Cost</w:t>
            </w:r>
          </w:p>
        </w:tc>
      </w:tr>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128.0352783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April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$6,000</w:t>
            </w:r>
          </w:p>
        </w:tc>
      </w:tr>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128.0352783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$6,000</w:t>
            </w:r>
          </w:p>
        </w:tc>
      </w:tr>
      <w:tr>
        <w:trPr>
          <w:cantSplit w:val="0"/>
          <w:trHeight w:val="33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115.22888183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June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$6,000</w:t>
            </w:r>
          </w:p>
        </w:tc>
      </w:tr>
      <w:tr>
        <w:trPr>
          <w:cantSplit w:val="0"/>
          <w:trHeight w:val="3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114.1247558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July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$6,500</w:t>
            </w:r>
          </w:p>
        </w:tc>
      </w:tr>
      <w:tr>
        <w:trPr>
          <w:cantSplit w:val="0"/>
          <w:trHeight w:val="3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114.1247558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August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$6,500</w:t>
            </w:r>
          </w:p>
        </w:tc>
      </w:tr>
      <w:tr>
        <w:trPr>
          <w:cantSplit w:val="0"/>
          <w:trHeight w:val="3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114.1247558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September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$7,000</w:t>
            </w:r>
          </w:p>
        </w:tc>
      </w:tr>
      <w:tr>
        <w:trPr>
          <w:cantSplit w:val="0"/>
          <w:trHeight w:val="3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114.1247558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October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$7,500</w:t>
            </w:r>
          </w:p>
        </w:tc>
      </w:tr>
      <w:tr>
        <w:trPr>
          <w:cantSplit w:val="0"/>
          <w:trHeight w:val="3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114.1247558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November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$7,000</w:t>
            </w:r>
          </w:p>
        </w:tc>
      </w:tr>
      <w:tr>
        <w:trPr>
          <w:cantSplit w:val="0"/>
          <w:trHeight w:val="3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114.1247558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December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$2,000</w:t>
            </w:r>
          </w:p>
        </w:tc>
      </w:tr>
    </w:tbl>
    <w:p w:rsidR="00000000" w:rsidDel="00000000" w:rsidP="00000000" w:rsidRDefault="00000000" w:rsidRPr="00000000" w14:paraId="0000005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76" w:lineRule="auto"/>
        <w:rPr>
          <w:rFonts w:ascii="Calibri" w:cs="Calibri" w:eastAsia="Calibri" w:hAnsi="Calibri"/>
          <w:b w:val="1"/>
        </w:rPr>
      </w:pPr>
      <w:r w:rsidDel="00000000" w:rsidR="00000000" w:rsidRPr="00000000">
        <w:rPr>
          <w:rFonts w:ascii="Calibri" w:cs="Calibri" w:eastAsia="Calibri" w:hAnsi="Calibri"/>
          <w:rtl w:val="0"/>
        </w:rPr>
        <w:tab/>
        <w:tab/>
        <w:tab/>
        <w:tab/>
        <w:tab/>
      </w:r>
      <w:r w:rsidDel="00000000" w:rsidR="00000000" w:rsidRPr="00000000">
        <w:rPr>
          <w:rFonts w:ascii="Calibri" w:cs="Calibri" w:eastAsia="Calibri" w:hAnsi="Calibri"/>
          <w:b w:val="1"/>
          <w:rtl w:val="0"/>
        </w:rPr>
        <w:t xml:space="preserve">Total: $54,500</w:t>
      </w:r>
    </w:p>
    <w:p w:rsidR="00000000" w:rsidDel="00000000" w:rsidP="00000000" w:rsidRDefault="00000000" w:rsidRPr="00000000" w14:paraId="0000005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240" w:before="240" w:line="243.38072776794434" w:lineRule="auto"/>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Client will pay all proper invoices within </w:t>
      </w:r>
      <w:r w:rsidDel="00000000" w:rsidR="00000000" w:rsidRPr="00000000">
        <w:rPr>
          <w:rFonts w:ascii="Calibri" w:cs="Calibri" w:eastAsia="Calibri" w:hAnsi="Calibri"/>
          <w:b w:val="1"/>
          <w:sz w:val="22.079999923706055"/>
          <w:szCs w:val="22.079999923706055"/>
          <w:rtl w:val="0"/>
        </w:rPr>
        <w:t xml:space="preserve">thirty (30) days</w:t>
      </w:r>
      <w:r w:rsidDel="00000000" w:rsidR="00000000" w:rsidRPr="00000000">
        <w:rPr>
          <w:rFonts w:ascii="Calibri" w:cs="Calibri" w:eastAsia="Calibri" w:hAnsi="Calibri"/>
          <w:sz w:val="22.079999923706055"/>
          <w:szCs w:val="22.079999923706055"/>
          <w:rtl w:val="0"/>
        </w:rPr>
        <w:t xml:space="preserve"> of receipt. Client reserves the right to withhold payment for disputed portions of invoices pending resolution.</w:t>
      </w:r>
    </w:p>
    <w:p w:rsidR="00000000" w:rsidDel="00000000" w:rsidP="00000000" w:rsidRDefault="00000000" w:rsidRPr="00000000" w14:paraId="0000005A">
      <w:pPr>
        <w:spacing w:line="243.38072776794434" w:lineRule="auto"/>
        <w:ind w:left="1331.6929626464844" w:right="700.12939453125" w:firstLine="15.01434326171875"/>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center"/>
      <w:rPr>
        <w:rFonts w:ascii="Times New Roman" w:cs="Times New Roman" w:eastAsia="Times New Roman" w:hAnsi="Times New Roman"/>
        <w:color w:val="666666"/>
        <w:sz w:val="16"/>
        <w:szCs w:val="16"/>
      </w:rPr>
    </w:pPr>
    <w:r w:rsidDel="00000000" w:rsidR="00000000" w:rsidRPr="00000000">
      <w:rPr>
        <w:rFonts w:ascii="Times New Roman" w:cs="Times New Roman" w:eastAsia="Times New Roman" w:hAnsi="Times New Roman"/>
        <w:color w:val="666666"/>
        <w:sz w:val="16"/>
        <w:szCs w:val="16"/>
        <w:rtl w:val="0"/>
      </w:rPr>
      <w:t xml:space="preserve">Sample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