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480" w:line="240" w:lineRule="auto"/>
        <w:jc w:val="center"/>
      </w:pPr>
      <w:r>
        <w:rPr>
          <w:rFonts w:ascii="Calibri" w:hAnsi="Calibri" w:eastAsia="Hiragino Sans GB"/>
          <w:b/>
          <w:i w:val="0"/>
          <w:color w:val="B58A3A"/>
          <w:sz w:val="18"/>
        </w:rPr>
        <w:t>GREENING TRADE · INVESTOR PROPOSAL</w:t>
      </w:r>
    </w:p>
    <w:p>
      <w:pPr>
        <w:spacing w:before="0" w:after="160" w:line="252" w:lineRule="auto"/>
        <w:jc w:val="center"/>
      </w:pPr>
      <w:r>
        <w:rPr>
          <w:rFonts w:ascii="Calibri" w:hAnsi="Calibri" w:eastAsia="Hiragino Sans GB"/>
          <w:b/>
          <w:i w:val="0"/>
          <w:color w:val="073F3A"/>
          <w:sz w:val="54"/>
        </w:rPr>
        <w:t>欧盟 CBAM 绿色贸易服务平台</w:t>
      </w:r>
    </w:p>
    <w:p>
      <w:pPr>
        <w:spacing w:before="0" w:after="140" w:line="264" w:lineRule="auto"/>
        <w:jc w:val="center"/>
      </w:pPr>
      <w:r>
        <w:rPr>
          <w:rFonts w:ascii="Calibri" w:hAnsi="Calibri" w:eastAsia="Hiragino Sans GB"/>
          <w:b w:val="0"/>
          <w:i w:val="0"/>
          <w:color w:val="1F4D78"/>
          <w:sz w:val="30"/>
        </w:rPr>
        <w:t>让每一笔跨境贸易，都自带可信、可核查、可复用的绿色数据</w:t>
      </w:r>
    </w:p>
    <w:p>
      <w:pPr>
        <w:spacing w:before="0" w:after="600" w:line="264" w:lineRule="auto"/>
        <w:jc w:val="center"/>
      </w:pPr>
      <w:r>
        <w:rPr>
          <w:rFonts w:ascii="Calibri" w:hAnsi="Calibri" w:eastAsia="Hiragino Sans GB"/>
          <w:b w:val="0"/>
          <w:i w:val="0"/>
          <w:color w:val="5B6670"/>
          <w:sz w:val="24"/>
        </w:rPr>
        <w:t>进口商标品永久免费 · 出口商/设施订阅付费 · 企业与专业服务扩展</w:t>
      </w:r>
    </w:p>
    <w:tbl>
      <w:tblPr>
        <w:tblW w:type="dxa" w:w="9360"/>
        <w:jc w:val="left"/>
        <w:tblLayout w:type="fixed"/>
        <w:tblLook w:firstColumn="1" w:firstRow="1" w:lastColumn="0" w:lastRow="0" w:noHBand="0" w:noVBand="1" w:val="04A0"/>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4680"/>
        <w:gridCol w:w="4680"/>
      </w:tblGrid>
      <w:tr>
        <w:trPr>
          <w:cantSplit/>
        </w:trPr>
        <w:tc>
          <w:tcPr>
            <w:tcW w:type="dxa" w:w="4680"/>
            <w:tcMar>
              <w:top w:w="100" w:type="dxa"/>
              <w:start w:w="140" w:type="dxa"/>
              <w:bottom w:w="100" w:type="dxa"/>
              <w:end w:w="140" w:type="dxa"/>
            </w:tcMar>
            <w:vAlign w:val="center"/>
            <w:shd w:fill="E8F2EF"/>
          </w:tcPr>
          <w:p>
            <w:pPr>
              <w:spacing w:before="0" w:after="0" w:line="264" w:lineRule="auto"/>
              <w:jc w:val="left"/>
            </w:pPr>
            <w:r>
              <w:rPr>
                <w:rFonts w:ascii="Calibri" w:hAnsi="Calibri" w:eastAsia="Hiragino Sans GB"/>
                <w:b/>
                <w:color w:val="073F3A"/>
                <w:sz w:val="20"/>
              </w:rPr>
              <w:t>融资轮次</w:t>
            </w:r>
          </w:p>
        </w:tc>
        <w:tc>
          <w:tcPr>
            <w:tcW w:type="dxa" w:w="4680"/>
            <w:tcMar>
              <w:top w:w="100" w:type="dxa"/>
              <w:start w:w="140" w:type="dxa"/>
              <w:bottom w:w="100" w:type="dxa"/>
              <w:end w:w="140" w:type="dxa"/>
            </w:tcMar>
            <w:vAlign w:val="center"/>
          </w:tcPr>
          <w:p>
            <w:pPr>
              <w:spacing w:before="0" w:after="0" w:line="264" w:lineRule="auto"/>
              <w:jc w:val="left"/>
            </w:pPr>
            <w:r>
              <w:rPr>
                <w:rFonts w:ascii="Calibri" w:hAnsi="Calibri" w:eastAsia="Hiragino Sans GB"/>
                <w:b w:val="0"/>
                <w:color w:val="1F2933"/>
                <w:sz w:val="20"/>
              </w:rPr>
              <w:t>种子轮 / 天使轮建议方案</w:t>
            </w:r>
          </w:p>
        </w:tc>
      </w:tr>
      <w:tr>
        <w:trPr>
          <w:cantSplit/>
        </w:trPr>
        <w:tc>
          <w:tcPr>
            <w:tcW w:type="dxa" w:w="4680"/>
            <w:tcMar>
              <w:top w:w="100" w:type="dxa"/>
              <w:start w:w="140" w:type="dxa"/>
              <w:bottom w:w="100" w:type="dxa"/>
              <w:end w:w="140" w:type="dxa"/>
            </w:tcMar>
            <w:vAlign w:val="center"/>
            <w:shd w:fill="E8F2EF"/>
          </w:tcPr>
          <w:p>
            <w:pPr>
              <w:spacing w:before="0" w:after="0" w:line="264" w:lineRule="auto"/>
              <w:jc w:val="left"/>
            </w:pPr>
            <w:r>
              <w:rPr>
                <w:rFonts w:ascii="Calibri" w:hAnsi="Calibri" w:eastAsia="Hiragino Sans GB"/>
                <w:b/>
                <w:color w:val="073F3A"/>
                <w:sz w:val="20"/>
              </w:rPr>
              <w:t>建议融资</w:t>
            </w:r>
          </w:p>
        </w:tc>
        <w:tc>
          <w:tcPr>
            <w:tcW w:type="dxa" w:w="4680"/>
            <w:tcMar>
              <w:top w:w="100" w:type="dxa"/>
              <w:start w:w="140" w:type="dxa"/>
              <w:bottom w:w="100" w:type="dxa"/>
              <w:end w:w="140" w:type="dxa"/>
            </w:tcMar>
            <w:vAlign w:val="center"/>
          </w:tcPr>
          <w:p>
            <w:pPr>
              <w:spacing w:before="0" w:after="0" w:line="264" w:lineRule="auto"/>
              <w:jc w:val="left"/>
            </w:pPr>
            <w:r>
              <w:rPr>
                <w:rFonts w:ascii="Calibri" w:hAnsi="Calibri" w:eastAsia="Hiragino Sans GB"/>
                <w:b w:val="0"/>
                <w:color w:val="1F2933"/>
                <w:sz w:val="20"/>
              </w:rPr>
              <w:t>€2.5m · 18—24 个月跑道</w:t>
            </w:r>
          </w:p>
        </w:tc>
      </w:tr>
      <w:tr>
        <w:trPr>
          <w:cantSplit/>
        </w:trPr>
        <w:tc>
          <w:tcPr>
            <w:tcW w:type="dxa" w:w="4680"/>
            <w:tcMar>
              <w:top w:w="100" w:type="dxa"/>
              <w:start w:w="140" w:type="dxa"/>
              <w:bottom w:w="100" w:type="dxa"/>
              <w:end w:w="140" w:type="dxa"/>
            </w:tcMar>
            <w:vAlign w:val="center"/>
            <w:shd w:fill="E8F2EF"/>
          </w:tcPr>
          <w:p>
            <w:pPr>
              <w:spacing w:before="0" w:after="0" w:line="264" w:lineRule="auto"/>
              <w:jc w:val="left"/>
            </w:pPr>
            <w:r>
              <w:rPr>
                <w:rFonts w:ascii="Calibri" w:hAnsi="Calibri" w:eastAsia="Hiragino Sans GB"/>
                <w:b/>
                <w:color w:val="073F3A"/>
                <w:sz w:val="20"/>
              </w:rPr>
              <w:t>核心市场</w:t>
            </w:r>
          </w:p>
        </w:tc>
        <w:tc>
          <w:tcPr>
            <w:tcW w:type="dxa" w:w="4680"/>
            <w:tcMar>
              <w:top w:w="100" w:type="dxa"/>
              <w:start w:w="140" w:type="dxa"/>
              <w:bottom w:w="100" w:type="dxa"/>
              <w:end w:w="140" w:type="dxa"/>
            </w:tcMar>
            <w:vAlign w:val="center"/>
          </w:tcPr>
          <w:p>
            <w:pPr>
              <w:spacing w:before="0" w:after="0" w:line="264" w:lineRule="auto"/>
              <w:jc w:val="left"/>
            </w:pPr>
            <w:r>
              <w:rPr>
                <w:rFonts w:ascii="Calibri" w:hAnsi="Calibri" w:eastAsia="Hiragino Sans GB"/>
                <w:b w:val="0"/>
                <w:color w:val="1F2933"/>
                <w:sz w:val="20"/>
              </w:rPr>
              <w:t>欧洲钢铁/铝高复杂度进口商 + 中国制造设施</w:t>
            </w:r>
          </w:p>
        </w:tc>
      </w:tr>
      <w:tr>
        <w:trPr>
          <w:cantSplit/>
        </w:trPr>
        <w:tc>
          <w:tcPr>
            <w:tcW w:type="dxa" w:w="4680"/>
            <w:tcMar>
              <w:top w:w="100" w:type="dxa"/>
              <w:start w:w="140" w:type="dxa"/>
              <w:bottom w:w="100" w:type="dxa"/>
              <w:end w:w="140" w:type="dxa"/>
            </w:tcMar>
            <w:vAlign w:val="center"/>
            <w:shd w:fill="E8F2EF"/>
          </w:tcPr>
          <w:p>
            <w:pPr>
              <w:spacing w:before="0" w:after="0" w:line="264" w:lineRule="auto"/>
              <w:jc w:val="left"/>
            </w:pPr>
            <w:r>
              <w:rPr>
                <w:rFonts w:ascii="Calibri" w:hAnsi="Calibri" w:eastAsia="Hiragino Sans GB"/>
                <w:b/>
                <w:color w:val="073F3A"/>
                <w:sz w:val="20"/>
              </w:rPr>
              <w:t>材料日期</w:t>
            </w:r>
          </w:p>
        </w:tc>
        <w:tc>
          <w:tcPr>
            <w:tcW w:type="dxa" w:w="4680"/>
            <w:tcMar>
              <w:top w:w="100" w:type="dxa"/>
              <w:start w:w="140" w:type="dxa"/>
              <w:bottom w:w="100" w:type="dxa"/>
              <w:end w:w="140" w:type="dxa"/>
            </w:tcMar>
            <w:vAlign w:val="center"/>
          </w:tcPr>
          <w:p>
            <w:pPr>
              <w:spacing w:before="0" w:after="0" w:line="264" w:lineRule="auto"/>
              <w:jc w:val="left"/>
            </w:pPr>
            <w:r>
              <w:rPr>
                <w:rFonts w:ascii="Calibri" w:hAnsi="Calibri" w:eastAsia="Hiragino Sans GB"/>
                <w:b w:val="0"/>
                <w:color w:val="1F2933"/>
                <w:sz w:val="20"/>
              </w:rPr>
              <w:t>2026 年 8 月 7 日</w:t>
            </w:r>
          </w:p>
        </w:tc>
      </w:tr>
    </w:tbl>
    <w:p>
      <w:pPr>
        <w:spacing w:before="0" w:after="440" w:line="240" w:lineRule="auto"/>
        <w:jc w:val="both"/>
      </w:pPr>
      <w:r>
        <w:rPr>
          <w:rFonts w:ascii="Calibri" w:hAnsi="Calibri" w:eastAsia="Hiragino Sans GB"/>
          <w:b w:val="0"/>
          <w:i w:val="0"/>
          <w:color w:val="1F2933"/>
          <w:sz w:val="2"/>
        </w:rPr>
      </w:r>
    </w:p>
    <w:p>
      <w:pPr>
        <w:spacing w:before="0" w:after="160" w:line="240" w:lineRule="auto"/>
        <w:jc w:val="center"/>
      </w:pPr>
      <w:r>
        <w:rPr>
          <w:rFonts w:ascii="Calibri" w:hAnsi="Calibri" w:eastAsia="Hiragino Sans GB"/>
          <w:b/>
          <w:i w:val="0"/>
          <w:color w:val="0B5A52"/>
          <w:sz w:val="20"/>
        </w:rPr>
        <w:t>投资主张</w:t>
      </w:r>
    </w:p>
    <w:p>
      <w:pPr>
        <w:spacing w:before="0" w:after="520" w:line="312" w:lineRule="auto"/>
        <w:jc w:val="center"/>
      </w:pPr>
      <w:r>
        <w:rPr>
          <w:rFonts w:ascii="Calibri" w:hAnsi="Calibri" w:eastAsia="Hiragino Sans GB"/>
          <w:b/>
          <w:i w:val="0"/>
          <w:color w:val="1F2933"/>
          <w:sz w:val="24"/>
        </w:rPr>
        <w:t>强制合规带来进口商入口，跨企业协同带来供应链网络，核查就绪的设施数据沉淀为可复用资产。平台不替代授权申报或独立核查，而是成为两端可信数据与年度经营的基础设施。</w:t>
      </w:r>
    </w:p>
    <w:p>
      <w:pPr>
        <w:spacing w:before="0" w:after="0" w:line="240" w:lineRule="auto"/>
        <w:jc w:val="center"/>
      </w:pPr>
      <w:r>
        <w:rPr>
          <w:rFonts w:ascii="Calibri" w:hAnsi="Calibri" w:eastAsia="Hiragino Sans GB"/>
          <w:b w:val="0"/>
          <w:i/>
          <w:color w:val="5B6670"/>
          <w:sz w:val="18"/>
        </w:rPr>
        <w:t>项目阶段：产品与商业验证期  |  保密材料</w:t>
      </w:r>
    </w:p>
    <w:p>
      <w:pPr>
        <w:pStyle w:val="Heading1"/>
      </w:pPr>
      <w:r>
        <w:rPr>
          <w:rFonts w:ascii="Calibri" w:hAnsi="Calibri" w:eastAsia="Hiragino Sans GB"/>
          <w:b/>
          <w:color w:val="2E74B5"/>
          <w:sz w:val="32"/>
        </w:rPr>
        <w:t>一页看懂：为什么值得继续谈</w:t>
      </w:r>
    </w:p>
    <w:p>
      <w:pPr>
        <w:spacing w:before="0" w:after="200" w:line="320" w:lineRule="auto"/>
        <w:jc w:val="both"/>
      </w:pPr>
      <w:r>
        <w:rPr>
          <w:rFonts w:ascii="Calibri" w:hAnsi="Calibri" w:eastAsia="Hiragino Sans GB"/>
          <w:b/>
          <w:i w:val="0"/>
          <w:color w:val="073F3A"/>
          <w:sz w:val="22"/>
        </w:rPr>
        <w:t>一句话定位：</w:t>
      </w:r>
      <w:r>
        <w:rPr>
          <w:rFonts w:ascii="Calibri" w:hAnsi="Calibri" w:eastAsia="Hiragino Sans GB"/>
          <w:b w:val="0"/>
          <w:i w:val="0"/>
          <w:color w:val="1F2933"/>
          <w:sz w:val="22"/>
        </w:rPr>
        <w:t>面向欧盟高复杂度进口商及其全球供应链的CBAM年度经营系统，以进口商发起合规任务，以出口商/生产设施协同交付，以可信数据、核查证据和经营分析形成长期订阅。</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584"/>
        <w:gridCol w:w="4392"/>
        <w:gridCol w:w="3384"/>
      </w:tblGrid>
      <w:tr>
        <w:trPr>
          <w:cantSplit/>
          <w:tblHeader w:val="true"/>
          <w:cantSplit/>
        </w:trPr>
        <w:tc>
          <w:tcPr>
            <w:tcW w:type="dxa" w:w="158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7"/>
              </w:rPr>
              <w:t>投资判断</w:t>
            </w:r>
          </w:p>
        </w:tc>
        <w:tc>
          <w:tcPr>
            <w:tcW w:type="dxa" w:w="4392"/>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7"/>
              </w:rPr>
              <w:t>核心证据</w:t>
            </w:r>
          </w:p>
        </w:tc>
        <w:tc>
          <w:tcPr>
            <w:tcW w:type="dxa" w:w="338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7"/>
              </w:rPr>
              <w:t>当前状态 / 需验证</w:t>
            </w:r>
          </w:p>
        </w:tc>
      </w:tr>
      <w:tr>
        <w:trPr>
          <w:cantSplit/>
        </w:trPr>
        <w:tc>
          <w:tcPr>
            <w:tcW w:type="dxa" w:w="158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需求刚性</w:t>
            </w:r>
          </w:p>
        </w:tc>
        <w:tc>
          <w:tcPr>
            <w:tcW w:type="dxa" w:w="43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2026年正式期已生效；核心进口商需授权、申报和履约</w:t>
            </w:r>
          </w:p>
        </w:tc>
        <w:tc>
          <w:tcPr>
            <w:tcW w:type="dxa" w:w="338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法规确定；需求强度需用付费试点验证</w:t>
            </w:r>
          </w:p>
        </w:tc>
      </w:tr>
      <w:tr>
        <w:trPr>
          <w:cantSplit/>
        </w:trPr>
        <w:tc>
          <w:tcPr>
            <w:tcW w:type="dxa" w:w="158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市场聚焦</w:t>
            </w:r>
          </w:p>
        </w:tc>
        <w:tc>
          <w:tcPr>
            <w:tcW w:type="dxa" w:w="43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50吨阈值筛出约2万家高排放、高复杂度核心主体</w:t>
            </w:r>
          </w:p>
        </w:tc>
        <w:tc>
          <w:tcPr>
            <w:tcW w:type="dxa" w:w="338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数量级有官方依据；客户名单需渠道化获取</w:t>
            </w:r>
          </w:p>
        </w:tc>
      </w:tr>
      <w:tr>
        <w:trPr>
          <w:cantSplit/>
        </w:trPr>
        <w:tc>
          <w:tcPr>
            <w:tcW w:type="dxa" w:w="158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产品价值</w:t>
            </w:r>
          </w:p>
        </w:tc>
        <w:tc>
          <w:tcPr>
            <w:tcW w:type="dxa" w:w="43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把进口事件、供应商任务、设施数据、核查与预算连成闭环</w:t>
            </w:r>
          </w:p>
        </w:tc>
        <w:tc>
          <w:tcPr>
            <w:tcW w:type="dxa" w:w="338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已有产品方案；需完成MVP和端到端验收</w:t>
            </w:r>
          </w:p>
        </w:tc>
      </w:tr>
      <w:tr>
        <w:trPr>
          <w:cantSplit/>
        </w:trPr>
        <w:tc>
          <w:tcPr>
            <w:tcW w:type="dxa" w:w="158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商业模型</w:t>
            </w:r>
          </w:p>
        </w:tc>
        <w:tc>
          <w:tcPr>
            <w:tcW w:type="dxa" w:w="43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进口商标品永久免费，出口商订阅付费，设施数据与专业服务扩展</w:t>
            </w:r>
          </w:p>
        </w:tc>
        <w:tc>
          <w:tcPr>
            <w:tcW w:type="dxa" w:w="338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定价假设清晰；ARPA、续费与服务成本待实证</w:t>
            </w:r>
          </w:p>
        </w:tc>
      </w:tr>
      <w:tr>
        <w:trPr>
          <w:cantSplit/>
        </w:trPr>
        <w:tc>
          <w:tcPr>
            <w:tcW w:type="dxa" w:w="158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护城河</w:t>
            </w:r>
          </w:p>
        </w:tc>
        <w:tc>
          <w:tcPr>
            <w:tcW w:type="dxa" w:w="43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真实贸易关系 + 年度可信数据 + 核查授权历史</w:t>
            </w:r>
          </w:p>
        </w:tc>
        <w:tc>
          <w:tcPr>
            <w:tcW w:type="dxa" w:w="338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壁垒随使用形成；早期依赖先发客户和生态伙伴</w:t>
            </w:r>
          </w:p>
        </w:tc>
      </w:tr>
    </w:tbl>
    <w:p>
      <w:pPr>
        <w:pStyle w:val="Heading2"/>
      </w:pPr>
      <w:r>
        <w:rPr>
          <w:rFonts w:ascii="Calibri" w:hAnsi="Calibri" w:eastAsia="Hiragino Sans GB"/>
          <w:b/>
          <w:color w:val="2E74B5"/>
          <w:sz w:val="26"/>
        </w:rPr>
        <w:t>建议融资方案</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340"/>
        <w:gridCol w:w="2340"/>
        <w:gridCol w:w="2340"/>
        <w:gridCol w:w="2340"/>
      </w:tblGrid>
      <w:tr>
        <w:trPr>
          <w:cantSplit/>
        </w:trPr>
        <w:tc>
          <w:tcPr>
            <w:tcW w:type="dxa" w:w="2340"/>
            <w:tcMar>
              <w:top w:w="150" w:type="dxa"/>
              <w:start w:w="100" w:type="dxa"/>
              <w:bottom w:w="150" w:type="dxa"/>
              <w:end w:w="100" w:type="dxa"/>
            </w:tcMar>
            <w:vAlign w:val="center"/>
            <w:shd w:fill="073F3A"/>
          </w:tcPr>
          <w:p>
            <w:pPr>
              <w:spacing w:before="0" w:after="40" w:line="240" w:lineRule="auto"/>
              <w:jc w:val="center"/>
            </w:pPr>
            <w:r>
              <w:rPr>
                <w:rFonts w:ascii="Calibri" w:hAnsi="Calibri" w:eastAsia="Hiragino Sans GB"/>
                <w:b/>
                <w:color w:val="FFFFFF"/>
                <w:sz w:val="32"/>
              </w:rPr>
              <w:t>€2.5m</w:t>
            </w:r>
          </w:p>
          <w:p>
            <w:pPr>
              <w:spacing w:before="0" w:after="0" w:line="252" w:lineRule="auto"/>
              <w:jc w:val="center"/>
            </w:pPr>
            <w:r>
              <w:rPr>
                <w:rFonts w:ascii="Calibri" w:hAnsi="Calibri" w:eastAsia="Hiragino Sans GB"/>
                <w:color w:val="FFFFFF"/>
                <w:sz w:val="15"/>
              </w:rPr>
              <w:t>建议融资规模</w:t>
            </w:r>
          </w:p>
        </w:tc>
        <w:tc>
          <w:tcPr>
            <w:tcW w:type="dxa" w:w="2340"/>
            <w:tcMar>
              <w:top w:w="150" w:type="dxa"/>
              <w:start w:w="100" w:type="dxa"/>
              <w:bottom w:w="150" w:type="dxa"/>
              <w:end w:w="100" w:type="dxa"/>
            </w:tcMar>
            <w:vAlign w:val="center"/>
            <w:shd w:fill="0B5A52"/>
          </w:tcPr>
          <w:p>
            <w:pPr>
              <w:spacing w:before="0" w:after="40" w:line="240" w:lineRule="auto"/>
              <w:jc w:val="center"/>
            </w:pPr>
            <w:r>
              <w:rPr>
                <w:rFonts w:ascii="Calibri" w:hAnsi="Calibri" w:eastAsia="Hiragino Sans GB"/>
                <w:b/>
                <w:color w:val="FFFFFF"/>
                <w:sz w:val="32"/>
              </w:rPr>
              <w:t>18-24月</w:t>
            </w:r>
          </w:p>
          <w:p>
            <w:pPr>
              <w:spacing w:before="0" w:after="0" w:line="252" w:lineRule="auto"/>
              <w:jc w:val="center"/>
            </w:pPr>
            <w:r>
              <w:rPr>
                <w:rFonts w:ascii="Calibri" w:hAnsi="Calibri" w:eastAsia="Hiragino Sans GB"/>
                <w:color w:val="FFFFFF"/>
                <w:sz w:val="15"/>
              </w:rPr>
              <w:t>目标现金跑道</w:t>
            </w:r>
          </w:p>
        </w:tc>
        <w:tc>
          <w:tcPr>
            <w:tcW w:type="dxa" w:w="2340"/>
            <w:tcMar>
              <w:top w:w="150" w:type="dxa"/>
              <w:start w:w="100" w:type="dxa"/>
              <w:bottom w:w="150" w:type="dxa"/>
              <w:end w:w="100" w:type="dxa"/>
            </w:tcMar>
            <w:vAlign w:val="center"/>
            <w:shd w:fill="073F3A"/>
          </w:tcPr>
          <w:p>
            <w:pPr>
              <w:spacing w:before="0" w:after="40" w:line="240" w:lineRule="auto"/>
              <w:jc w:val="center"/>
            </w:pPr>
            <w:r>
              <w:rPr>
                <w:rFonts w:ascii="Calibri" w:hAnsi="Calibri" w:eastAsia="Hiragino Sans GB"/>
                <w:b/>
                <w:color w:val="FFFFFF"/>
                <w:sz w:val="32"/>
              </w:rPr>
              <w:t>€1.35m</w:t>
            </w:r>
          </w:p>
          <w:p>
            <w:pPr>
              <w:spacing w:before="0" w:after="0" w:line="252" w:lineRule="auto"/>
              <w:jc w:val="center"/>
            </w:pPr>
            <w:r>
              <w:rPr>
                <w:rFonts w:ascii="Calibri" w:hAnsi="Calibri" w:eastAsia="Hiragino Sans GB"/>
                <w:color w:val="FFFFFF"/>
                <w:sz w:val="15"/>
              </w:rPr>
              <w:t>24个月末目标ARR</w:t>
            </w:r>
          </w:p>
        </w:tc>
        <w:tc>
          <w:tcPr>
            <w:tcW w:type="dxa" w:w="2340"/>
            <w:tcMar>
              <w:top w:w="150" w:type="dxa"/>
              <w:start w:w="100" w:type="dxa"/>
              <w:bottom w:w="150" w:type="dxa"/>
              <w:end w:w="100" w:type="dxa"/>
            </w:tcMar>
            <w:vAlign w:val="center"/>
            <w:shd w:fill="0B5A52"/>
          </w:tcPr>
          <w:p>
            <w:pPr>
              <w:spacing w:before="0" w:after="40" w:line="240" w:lineRule="auto"/>
              <w:jc w:val="center"/>
            </w:pPr>
            <w:r>
              <w:rPr>
                <w:rFonts w:ascii="Calibri" w:hAnsi="Calibri" w:eastAsia="Hiragino Sans GB"/>
                <w:b/>
                <w:color w:val="FFFFFF"/>
                <w:sz w:val="32"/>
              </w:rPr>
              <w:t>70家</w:t>
            </w:r>
          </w:p>
          <w:p>
            <w:pPr>
              <w:spacing w:before="0" w:after="0" w:line="252" w:lineRule="auto"/>
              <w:jc w:val="center"/>
            </w:pPr>
            <w:r>
              <w:rPr>
                <w:rFonts w:ascii="Calibri" w:hAnsi="Calibri" w:eastAsia="Hiragino Sans GB"/>
                <w:color w:val="FFFFFF"/>
                <w:sz w:val="15"/>
              </w:rPr>
              <w:t>24个月活跃进口商目标</w:t>
            </w:r>
          </w:p>
        </w:tc>
      </w:tr>
    </w:tbl>
    <w:p>
      <w:pPr>
        <w:spacing w:before="0" w:after="80" w:line="240" w:lineRule="auto"/>
        <w:jc w:val="both"/>
      </w:pPr>
      <w:r>
        <w:rPr>
          <w:rFonts w:ascii="Calibri" w:hAnsi="Calibri" w:eastAsia="Hiragino Sans GB"/>
          <w:b w:val="0"/>
          <w:i w:val="0"/>
          <w:color w:val="1F2933"/>
          <w:sz w:val="2"/>
        </w:rPr>
      </w:r>
    </w:p>
    <w:tbl>
      <w:tblPr>
        <w:tblW w:type="dxa" w:w="9360"/>
        <w:jc w:val="left"/>
        <w:tblLayout w:type="fixed"/>
        <w:tblLook w:firstColumn="1" w:firstRow="1" w:lastColumn="0" w:lastRow="0" w:noHBand="0" w:noVBand="1" w:val="04A0"/>
        <w:tblInd w:w="120" w:type="dxa"/>
        <w:tblBorders>
          <w:top w:val="single" w:sz="0" w:space="0" w:color="EEF4E7"/>
          <w:left w:val="single" w:sz="0" w:space="0" w:color="EEF4E7"/>
          <w:bottom w:val="single" w:sz="0" w:space="0" w:color="EEF4E7"/>
          <w:right w:val="single" w:sz="0" w:space="0" w:color="EEF4E7"/>
          <w:insideH w:val="single" w:sz="0" w:space="0" w:color="EEF4E7"/>
          <w:insideV w:val="single" w:sz="0" w:space="0" w:color="EEF4E7"/>
        </w:tblBorders>
      </w:tblPr>
      <w:tblGrid>
        <w:gridCol w:w="9360"/>
      </w:tblGrid>
      <w:tr>
        <w:trPr>
          <w:cantSplit/>
        </w:trPr>
        <w:tc>
          <w:tcPr>
            <w:tcW w:type="dxa" w:w="9360"/>
            <w:tcMar>
              <w:top w:w="120" w:type="dxa"/>
              <w:start w:w="180" w:type="dxa"/>
              <w:bottom w:w="120" w:type="dxa"/>
              <w:end w:w="180" w:type="dxa"/>
            </w:tcMar>
            <w:vAlign w:val="center"/>
            <w:shd w:fill="EEF4E7"/>
          </w:tcPr>
          <w:p>
            <w:pPr>
              <w:spacing w:before="0" w:after="0" w:line="288" w:lineRule="auto"/>
            </w:pPr>
            <w:r>
              <w:rPr>
                <w:rFonts w:ascii="Calibri" w:hAnsi="Calibri" w:eastAsia="Hiragino Sans GB"/>
                <w:b/>
                <w:color w:val="6E9F42"/>
                <w:sz w:val="19"/>
              </w:rPr>
              <w:t xml:space="preserve">投资人应重点验证  </w:t>
            </w:r>
            <w:r>
              <w:rPr>
                <w:rFonts w:ascii="Calibri" w:hAnsi="Calibri" w:eastAsia="Hiragino Sans GB"/>
                <w:color w:val="1F2933"/>
                <w:sz w:val="19"/>
              </w:rPr>
              <w:t>创始团队履历与全职状态、首批欧洲进口商LOI/付费试点、核查机构合作意向、数据责任边界、单客交付成本和供应商激活率。以上证据尚未在现有材料中提供，应作为融资尽调前置清单。</w:t>
            </w:r>
          </w:p>
        </w:tc>
      </w:tr>
    </w:tbl>
    <w:p>
      <w:pPr>
        <w:keepNext/>
        <w:pageBreakBefore/>
        <w:spacing w:before="0" w:after="40" w:line="240" w:lineRule="auto"/>
        <w:jc w:val="left"/>
      </w:pPr>
      <w:r>
        <w:rPr>
          <w:rFonts w:ascii="Calibri" w:hAnsi="Calibri" w:eastAsia="Hiragino Sans GB"/>
          <w:b/>
          <w:i w:val="0"/>
          <w:color w:val="0B5A52"/>
          <w:sz w:val="16"/>
        </w:rPr>
        <w:t>VISION &amp; MISSION</w:t>
      </w:r>
    </w:p>
    <w:p>
      <w:pPr>
        <w:pStyle w:val="Heading1"/>
      </w:pPr>
      <w:r>
        <w:rPr>
          <w:rFonts w:ascii="Calibri" w:hAnsi="Calibri" w:eastAsia="Hiragino Sans GB"/>
          <w:b/>
          <w:color w:val="2E74B5"/>
          <w:sz w:val="32"/>
        </w:rPr>
        <w:t>愿景体系：从CBAM工具走向绿色贸易基础设施</w:t>
      </w:r>
    </w:p>
    <w:p>
      <w:pPr>
        <w:spacing w:before="0" w:after="240" w:line="300" w:lineRule="auto"/>
        <w:jc w:val="left"/>
      </w:pPr>
      <w:r>
        <w:rPr>
          <w:rFonts w:ascii="Calibri" w:hAnsi="Calibri" w:eastAsia="Hiragino Sans GB"/>
          <w:b/>
          <w:i w:val="0"/>
          <w:color w:val="0B5A52"/>
          <w:sz w:val="24"/>
        </w:rPr>
        <w:t xml:space="preserve">对外一句话  </w:t>
      </w:r>
      <w:r>
        <w:rPr>
          <w:rFonts w:ascii="Calibri" w:hAnsi="Calibri" w:eastAsia="Hiragino Sans GB"/>
          <w:b/>
          <w:i w:val="0"/>
          <w:color w:val="073F3A"/>
          <w:sz w:val="24"/>
        </w:rPr>
        <w:t>让每一笔跨境贸易，都自带可信、可核查、可复用的绿色数据。</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368"/>
        <w:gridCol w:w="4680"/>
        <w:gridCol w:w="3312"/>
      </w:tblGrid>
      <w:tr>
        <w:trPr>
          <w:cantSplit/>
          <w:tblHeader w:val="true"/>
          <w:cantSplit/>
        </w:trPr>
        <w:tc>
          <w:tcPr>
            <w:tcW w:type="dxa" w:w="1368"/>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层级</w:t>
            </w:r>
          </w:p>
        </w:tc>
        <w:tc>
          <w:tcPr>
            <w:tcW w:type="dxa" w:w="4680"/>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核心表述</w:t>
            </w:r>
          </w:p>
        </w:tc>
        <w:tc>
          <w:tcPr>
            <w:tcW w:type="dxa" w:w="3312"/>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投资含义</w:t>
            </w:r>
          </w:p>
        </w:tc>
      </w:tr>
      <w:tr>
        <w:trPr>
          <w:cantSplit/>
        </w:trPr>
        <w:tc>
          <w:tcPr>
            <w:tcW w:type="dxa" w:w="1368"/>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企业使命</w:t>
            </w:r>
          </w:p>
        </w:tc>
        <w:tc>
          <w:tcPr>
            <w:tcW w:type="dxa" w:w="468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把复杂的绿色法规转化为企业可协作、可交付、可经营的数字化流程。</w:t>
            </w:r>
          </w:p>
        </w:tc>
        <w:tc>
          <w:tcPr>
            <w:tcW w:type="dxa" w:w="331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解决合规不是终点，而是降低跨境交易摩擦。</w:t>
            </w:r>
          </w:p>
        </w:tc>
      </w:tr>
      <w:tr>
        <w:trPr>
          <w:cantSplit/>
        </w:trPr>
        <w:tc>
          <w:tcPr>
            <w:tcW w:type="dxa" w:w="1368"/>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企业愿景</w:t>
            </w:r>
          </w:p>
        </w:tc>
        <w:tc>
          <w:tcPr>
            <w:tcW w:type="dxa" w:w="468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让中国制造以可验证的低碳竞争力进入全球市场。</w:t>
            </w:r>
          </w:p>
        </w:tc>
        <w:tc>
          <w:tcPr>
            <w:tcW w:type="dxa" w:w="331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把出口合规能力升级为产品与供应链竞争力。</w:t>
            </w:r>
          </w:p>
        </w:tc>
      </w:tr>
      <w:tr>
        <w:trPr>
          <w:cantSplit/>
        </w:trPr>
        <w:tc>
          <w:tcPr>
            <w:tcW w:type="dxa" w:w="1368"/>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平台愿景</w:t>
            </w:r>
          </w:p>
        </w:tc>
        <w:tc>
          <w:tcPr>
            <w:tcW w:type="dxa" w:w="468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成为连接全球买方、制造商、核查与贸易服务机构的绿色贸易数据基础设施。</w:t>
            </w:r>
          </w:p>
        </w:tc>
        <w:tc>
          <w:tcPr>
            <w:tcW w:type="dxa" w:w="331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形成跨组织网络、数据复用和生态入口。</w:t>
            </w:r>
          </w:p>
        </w:tc>
      </w:tr>
      <w:tr>
        <w:trPr>
          <w:cantSplit/>
        </w:trPr>
        <w:tc>
          <w:tcPr>
            <w:tcW w:type="dxa" w:w="1368"/>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业务愿景</w:t>
            </w:r>
          </w:p>
        </w:tc>
        <w:tc>
          <w:tcPr>
            <w:tcW w:type="dxa" w:w="468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以CBAM为切口，延伸至产品碳足迹、绿色采购、DPP、碳资产和绿色金融数据服务。</w:t>
            </w:r>
          </w:p>
        </w:tc>
        <w:tc>
          <w:tcPr>
            <w:tcW w:type="dxa" w:w="331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由单点法规需求扩展为长期、多产品收入。</w:t>
            </w:r>
          </w:p>
        </w:tc>
      </w:tr>
    </w:tbl>
    <w:p>
      <w:pPr>
        <w:pStyle w:val="Heading2"/>
      </w:pPr>
      <w:r>
        <w:rPr>
          <w:rFonts w:ascii="Calibri" w:hAnsi="Calibri" w:eastAsia="Hiragino Sans GB"/>
          <w:b/>
          <w:color w:val="2E74B5"/>
          <w:sz w:val="26"/>
        </w:rPr>
        <w:t>我们现在做什么</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2333"/>
        <w:gridCol w:w="2347"/>
        <w:gridCol w:w="2347"/>
        <w:gridCol w:w="2333"/>
      </w:tblGrid>
      <w:tr>
        <w:trPr>
          <w:cantSplit/>
          <w:tblHeader w:val="true"/>
          <w:cantSplit/>
        </w:trPr>
        <w:tc>
          <w:tcPr>
            <w:tcW w:type="dxa" w:w="2333"/>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需求端</w:t>
            </w:r>
          </w:p>
        </w:tc>
        <w:tc>
          <w:tcPr>
            <w:tcW w:type="dxa" w:w="2347"/>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协同端</w:t>
            </w:r>
          </w:p>
        </w:tc>
        <w:tc>
          <w:tcPr>
            <w:tcW w:type="dxa" w:w="2347"/>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数据端</w:t>
            </w:r>
          </w:p>
        </w:tc>
        <w:tc>
          <w:tcPr>
            <w:tcW w:type="dxa" w:w="2333"/>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服务端</w:t>
            </w:r>
          </w:p>
        </w:tc>
      </w:tr>
      <w:tr>
        <w:trPr>
          <w:cantSplit/>
        </w:trPr>
        <w:tc>
          <w:tcPr>
            <w:tcW w:type="dxa" w:w="2333"/>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val="0"/>
                <w:color w:val="1F2933"/>
                <w:sz w:val="16"/>
              </w:rPr>
              <w:t>进口商免费发起项目并管理责任</w:t>
            </w:r>
          </w:p>
        </w:tc>
        <w:tc>
          <w:tcPr>
            <w:tcW w:type="dxa" w:w="2347"/>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出口商与工厂付费完成持续交付</w:t>
            </w:r>
          </w:p>
        </w:tc>
        <w:tc>
          <w:tcPr>
            <w:tcW w:type="dxa" w:w="2347"/>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平台沉淀设施、产品、证据与授权</w:t>
            </w:r>
          </w:p>
        </w:tc>
        <w:tc>
          <w:tcPr>
            <w:tcW w:type="dxa" w:w="2333"/>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伙伴提供核查、海关、咨询和现场服务</w:t>
            </w:r>
          </w:p>
        </w:tc>
      </w:tr>
    </w:tbl>
    <w:p>
      <w:pPr>
        <w:pStyle w:val="Heading2"/>
      </w:pPr>
      <w:r>
        <w:rPr>
          <w:rFonts w:ascii="Calibri" w:hAnsi="Calibri" w:eastAsia="Hiragino Sans GB"/>
          <w:b/>
          <w:color w:val="2E74B5"/>
          <w:sz w:val="26"/>
        </w:rPr>
        <w:t>我们希望最终干成什么</w:t>
      </w:r>
    </w:p>
    <w:p>
      <w:pPr>
        <w:spacing w:before="0" w:after="0" w:line="312" w:lineRule="auto"/>
        <w:jc w:val="left"/>
      </w:pPr>
      <w:r>
        <w:rPr>
          <w:rFonts w:ascii="Calibri" w:hAnsi="Calibri" w:eastAsia="Hiragino Sans GB"/>
          <w:b/>
          <w:i w:val="0"/>
          <w:color w:val="1F2933"/>
          <w:sz w:val="22"/>
        </w:rPr>
        <w:t>不做只在申报季使用一次的表单工具，而要成为全球贸易链上的绿色数据与服务操作系统：买方用它管理责任和采购，供应商用它复用可信数据，服务机构用它协同交付，金融与交易伙伴用它识别绿色价值。</w:t>
      </w:r>
    </w:p>
    <w:p>
      <w:pPr>
        <w:keepNext/>
        <w:pageBreakBefore/>
        <w:spacing w:before="0" w:after="40" w:line="240" w:lineRule="auto"/>
        <w:jc w:val="left"/>
      </w:pPr>
      <w:r>
        <w:rPr>
          <w:rFonts w:ascii="Calibri" w:hAnsi="Calibri" w:eastAsia="Hiragino Sans GB"/>
          <w:b/>
          <w:i w:val="0"/>
          <w:color w:val="0B5A52"/>
          <w:sz w:val="16"/>
        </w:rPr>
        <w:t>WHY NOW</w:t>
      </w:r>
    </w:p>
    <w:p>
      <w:pPr>
        <w:pStyle w:val="Heading1"/>
      </w:pPr>
      <w:r>
        <w:rPr>
          <w:rFonts w:ascii="Calibri" w:hAnsi="Calibri" w:eastAsia="Hiragino Sans GB"/>
          <w:b/>
          <w:color w:val="2E74B5"/>
          <w:sz w:val="32"/>
        </w:rPr>
        <w:t>法规窗口：从申报工具进入年度经营系统</w:t>
      </w:r>
    </w:p>
    <w:p>
      <w:pPr>
        <w:spacing w:before="0" w:after="160" w:line="320" w:lineRule="auto"/>
        <w:jc w:val="both"/>
      </w:pPr>
      <w:r>
        <w:rPr>
          <w:rFonts w:ascii="Calibri" w:hAnsi="Calibri" w:eastAsia="Hiragino Sans GB"/>
          <w:b w:val="0"/>
          <w:i w:val="0"/>
          <w:color w:val="1F2933"/>
          <w:sz w:val="22"/>
        </w:rPr>
        <w:t>CBAM已经从过渡期进入正式期。监管变化并未消除市场，反而通过50吨阈值把需求集中到更少但更高价值的核心进口商：这些客户通常拥有多CN编码、多供应商、多设施和更高证书责任，更适合平台化服务。</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656"/>
        <w:gridCol w:w="3672"/>
        <w:gridCol w:w="4032"/>
      </w:tblGrid>
      <w:tr>
        <w:trPr>
          <w:cantSplit/>
          <w:tblHeader w:val="true"/>
          <w:cantSplit/>
        </w:trPr>
        <w:tc>
          <w:tcPr>
            <w:tcW w:type="dxa" w:w="1656"/>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7"/>
              </w:rPr>
              <w:t>时间</w:t>
            </w:r>
          </w:p>
        </w:tc>
        <w:tc>
          <w:tcPr>
            <w:tcW w:type="dxa" w:w="3672"/>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7"/>
              </w:rPr>
              <w:t>法规进展</w:t>
            </w:r>
          </w:p>
        </w:tc>
        <w:tc>
          <w:tcPr>
            <w:tcW w:type="dxa" w:w="4032"/>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7"/>
              </w:rPr>
              <w:t>对平台的商业含义</w:t>
            </w:r>
          </w:p>
        </w:tc>
      </w:tr>
      <w:tr>
        <w:trPr>
          <w:cantSplit/>
        </w:trPr>
        <w:tc>
          <w:tcPr>
            <w:tcW w:type="dxa" w:w="165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2023.10-2025.12</w:t>
            </w:r>
          </w:p>
        </w:tc>
        <w:tc>
          <w:tcPr>
            <w:tcW w:type="dxa" w:w="367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过渡期：以季度排放报告为主</w:t>
            </w:r>
          </w:p>
        </w:tc>
        <w:tc>
          <w:tcPr>
            <w:tcW w:type="dxa" w:w="403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市场教育完成，企业暴露出追数、版本和证据链问题</w:t>
            </w:r>
          </w:p>
        </w:tc>
      </w:tr>
      <w:tr>
        <w:trPr>
          <w:cantSplit/>
        </w:trPr>
        <w:tc>
          <w:tcPr>
            <w:tcW w:type="dxa" w:w="165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2026.01</w:t>
            </w:r>
          </w:p>
        </w:tc>
        <w:tc>
          <w:tcPr>
            <w:tcW w:type="dxa" w:w="36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正式期启动；超过阈值的主体需授权CBAM申报人资格</w:t>
            </w:r>
          </w:p>
        </w:tc>
        <w:tc>
          <w:tcPr>
            <w:tcW w:type="dxa" w:w="403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合规从阶段性填报升级为持续责任管理</w:t>
            </w:r>
          </w:p>
        </w:tc>
      </w:tr>
      <w:tr>
        <w:trPr>
          <w:cantSplit/>
        </w:trPr>
        <w:tc>
          <w:tcPr>
            <w:tcW w:type="dxa" w:w="165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2027.02</w:t>
            </w:r>
          </w:p>
        </w:tc>
        <w:tc>
          <w:tcPr>
            <w:tcW w:type="dxa" w:w="367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成员国开始销售与2026年进口排放相关的CBAM证书</w:t>
            </w:r>
          </w:p>
        </w:tc>
        <w:tc>
          <w:tcPr>
            <w:tcW w:type="dxa" w:w="403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证书预算、现金安排和责任测算进入财务流程</w:t>
            </w:r>
          </w:p>
        </w:tc>
      </w:tr>
      <w:tr>
        <w:trPr>
          <w:cantSplit/>
        </w:trPr>
        <w:tc>
          <w:tcPr>
            <w:tcW w:type="dxa" w:w="165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2027.09.30</w:t>
            </w:r>
          </w:p>
        </w:tc>
        <w:tc>
          <w:tcPr>
            <w:tcW w:type="dxa" w:w="36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首次提交2026年度CBAM申报并交回相应证书</w:t>
            </w:r>
          </w:p>
        </w:tc>
        <w:tc>
          <w:tcPr>
            <w:tcW w:type="dxa" w:w="403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年度项目、核查准备和数据冻结形成明确交付节点</w:t>
            </w:r>
          </w:p>
        </w:tc>
      </w:tr>
      <w:tr>
        <w:trPr>
          <w:cantSplit/>
        </w:trPr>
        <w:tc>
          <w:tcPr>
            <w:tcW w:type="dxa" w:w="165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2028（提案）</w:t>
            </w:r>
          </w:p>
        </w:tc>
        <w:tc>
          <w:tcPr>
            <w:tcW w:type="dxa" w:w="367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欧委会提议扩至180类钢铝密集下游产品；立法仍在推进</w:t>
            </w:r>
          </w:p>
        </w:tc>
        <w:tc>
          <w:tcPr>
            <w:tcW w:type="dxa" w:w="403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扩大潜在边界，但基准财务模型不把扩围当既成收入</w:t>
            </w:r>
          </w:p>
        </w:tc>
      </w:tr>
    </w:tbl>
    <w:p>
      <w:pPr>
        <w:pStyle w:val="Heading2"/>
      </w:pPr>
      <w:r>
        <w:rPr>
          <w:rFonts w:ascii="Calibri" w:hAnsi="Calibri" w:eastAsia="Hiragino Sans GB"/>
          <w:b/>
          <w:color w:val="2E74B5"/>
          <w:sz w:val="26"/>
        </w:rPr>
        <w:t>必须采用的准确口径</w:t>
      </w:r>
    </w:p>
    <w:p>
      <w:pPr>
        <w:pStyle w:val="ListBullet"/>
        <w:spacing w:after="80" w:line="290" w:lineRule="auto"/>
        <w:ind w:left="540" w:hanging="279"/>
      </w:pPr>
      <w:r>
        <w:rPr>
          <w:rFonts w:ascii="Calibri" w:hAnsi="Calibri" w:eastAsia="Hiragino Sans GB"/>
          <w:color w:val="1F2933"/>
          <w:sz w:val="22"/>
        </w:rPr>
        <w:t>50吨为每进口商、每日历年累计净重阈值，适用于钢铁、铝、水泥和化肥四类；电力与氢不适用该质量阈值。</w:t>
      </w:r>
    </w:p>
    <w:p>
      <w:pPr>
        <w:pStyle w:val="ListBullet"/>
        <w:spacing w:after="80" w:line="290" w:lineRule="auto"/>
        <w:ind w:left="540" w:hanging="279"/>
      </w:pPr>
      <w:r>
        <w:rPr>
          <w:rFonts w:ascii="Calibri" w:hAnsi="Calibri" w:eastAsia="Hiragino Sans GB"/>
          <w:color w:val="1F2933"/>
          <w:sz w:val="22"/>
        </w:rPr>
        <w:t>官方称该阈值约豁免90%的进口商，同时保持99%以上相关嵌入排放仍在范围内。</w:t>
      </w:r>
    </w:p>
    <w:p>
      <w:pPr>
        <w:pStyle w:val="ListBullet"/>
        <w:spacing w:after="80" w:line="290" w:lineRule="auto"/>
        <w:ind w:left="540" w:hanging="279"/>
      </w:pPr>
      <w:r>
        <w:rPr>
          <w:rFonts w:ascii="Calibri" w:hAnsi="Calibri" w:eastAsia="Hiragino Sans GB"/>
          <w:color w:val="1F2933"/>
          <w:sz w:val="22"/>
        </w:rPr>
        <w:t>2026年证书价格按季度计算，不是固定价：Q1为€75.36/tCO2，Q2为€75.28/tCO2；2027年起改为周度价格。</w:t>
      </w:r>
    </w:p>
    <w:p>
      <w:pPr>
        <w:pStyle w:val="ListBullet"/>
        <w:spacing w:after="80" w:line="290" w:lineRule="auto"/>
        <w:ind w:left="540" w:hanging="279"/>
      </w:pPr>
      <w:r>
        <w:rPr>
          <w:rFonts w:ascii="Calibri" w:hAnsi="Calibri" w:eastAsia="Hiragino Sans GB"/>
          <w:color w:val="1F2933"/>
          <w:sz w:val="22"/>
        </w:rPr>
        <w:t>原产国已实际支付且可证明的碳价可按规则抵扣；平台应支持证据管理，但不应承诺当然抵扣。</w:t>
      </w:r>
    </w:p>
    <w:p>
      <w:pPr>
        <w:keepNext/>
        <w:pageBreakBefore/>
        <w:spacing w:before="0" w:after="40" w:line="240" w:lineRule="auto"/>
        <w:jc w:val="left"/>
      </w:pPr>
      <w:r>
        <w:rPr>
          <w:rFonts w:ascii="Calibri" w:hAnsi="Calibri" w:eastAsia="Hiragino Sans GB"/>
          <w:b/>
          <w:i w:val="0"/>
          <w:color w:val="0B5A52"/>
          <w:sz w:val="16"/>
        </w:rPr>
        <w:t>CUSTOMER PROBLEM</w:t>
      </w:r>
    </w:p>
    <w:p>
      <w:pPr>
        <w:pStyle w:val="Heading1"/>
      </w:pPr>
      <w:r>
        <w:rPr>
          <w:rFonts w:ascii="Calibri" w:hAnsi="Calibri" w:eastAsia="Hiragino Sans GB"/>
          <w:b/>
          <w:color w:val="2E74B5"/>
          <w:sz w:val="32"/>
        </w:rPr>
        <w:t>客户痛点：进口商承担责任，数据却分散在供应链</w:t>
      </w:r>
    </w:p>
    <w:p>
      <w:pPr>
        <w:spacing w:before="0" w:after="160" w:line="320" w:lineRule="auto"/>
        <w:jc w:val="both"/>
      </w:pPr>
      <w:r>
        <w:rPr>
          <w:rFonts w:ascii="Calibri" w:hAnsi="Calibri" w:eastAsia="Hiragino Sans GB"/>
          <w:b w:val="0"/>
          <w:i w:val="0"/>
          <w:color w:val="1F2933"/>
          <w:sz w:val="22"/>
        </w:rPr>
        <w:t>进口商购买的不是一份报告，而是四种经营确定性：影响范围可识别、供应链数据可获得、证书成本可预测、供应商结构可优化。现有邮件、Excel和单次咨询只能完成局部任务，无法支撑全年责任。</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037"/>
        <w:gridCol w:w="2477"/>
        <w:gridCol w:w="2736"/>
        <w:gridCol w:w="3110"/>
      </w:tblGrid>
      <w:tr>
        <w:trPr>
          <w:cantSplit/>
          <w:tblHeader w:val="true"/>
          <w:cantSplit/>
        </w:trPr>
        <w:tc>
          <w:tcPr>
            <w:tcW w:type="dxa" w:w="1037"/>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风险域</w:t>
            </w:r>
          </w:p>
        </w:tc>
        <w:tc>
          <w:tcPr>
            <w:tcW w:type="dxa" w:w="2477"/>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客户问题</w:t>
            </w:r>
          </w:p>
        </w:tc>
        <w:tc>
          <w:tcPr>
            <w:tcW w:type="dxa" w:w="2736"/>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传统方式的缺口</w:t>
            </w:r>
          </w:p>
        </w:tc>
        <w:tc>
          <w:tcPr>
            <w:tcW w:type="dxa" w:w="3110"/>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平台价值</w:t>
            </w:r>
          </w:p>
        </w:tc>
      </w:tr>
      <w:tr>
        <w:trPr>
          <w:cantSplit/>
        </w:trPr>
        <w:tc>
          <w:tcPr>
            <w:tcW w:type="dxa" w:w="1037"/>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合规</w:t>
            </w:r>
          </w:p>
        </w:tc>
        <w:tc>
          <w:tcPr>
            <w:tcW w:type="dxa" w:w="2477"/>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哪些进口事件进入范围？谁承担责任？</w:t>
            </w:r>
          </w:p>
        </w:tc>
        <w:tc>
          <w:tcPr>
            <w:tcW w:type="dxa" w:w="273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规则更新与贸易台账分离</w:t>
            </w:r>
          </w:p>
        </w:tc>
        <w:tc>
          <w:tcPr>
            <w:tcW w:type="dxa" w:w="311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CN识别、阈值监控、合规日历</w:t>
            </w:r>
          </w:p>
        </w:tc>
      </w:tr>
      <w:tr>
        <w:trPr>
          <w:cantSplit/>
        </w:trPr>
        <w:tc>
          <w:tcPr>
            <w:tcW w:type="dxa" w:w="1037"/>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数据</w:t>
            </w:r>
          </w:p>
        </w:tc>
        <w:tc>
          <w:tcPr>
            <w:tcW w:type="dxa" w:w="2477"/>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供应商数据能否按时、按版本获得？</w:t>
            </w:r>
          </w:p>
        </w:tc>
        <w:tc>
          <w:tcPr>
            <w:tcW w:type="dxa" w:w="273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邮件追数、口径不一、无法审计</w:t>
            </w:r>
          </w:p>
        </w:tc>
        <w:tc>
          <w:tcPr>
            <w:tcW w:type="dxa" w:w="311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任务协同、设施映射、版本血缘</w:t>
            </w:r>
          </w:p>
        </w:tc>
      </w:tr>
      <w:tr>
        <w:trPr>
          <w:cantSplit/>
        </w:trPr>
        <w:tc>
          <w:tcPr>
            <w:tcW w:type="dxa" w:w="1037"/>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可信</w:t>
            </w:r>
          </w:p>
        </w:tc>
        <w:tc>
          <w:tcPr>
            <w:tcW w:type="dxa" w:w="2477"/>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实际值能否经得住核查？</w:t>
            </w:r>
          </w:p>
        </w:tc>
        <w:tc>
          <w:tcPr>
            <w:tcW w:type="dxa" w:w="273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证据散落、核查介入太晚</w:t>
            </w:r>
          </w:p>
        </w:tc>
        <w:tc>
          <w:tcPr>
            <w:tcW w:type="dxa" w:w="311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证据绑定、问题整改、核查协同</w:t>
            </w:r>
          </w:p>
        </w:tc>
      </w:tr>
      <w:tr>
        <w:trPr>
          <w:cantSplit/>
        </w:trPr>
        <w:tc>
          <w:tcPr>
            <w:tcW w:type="dxa" w:w="1037"/>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成本</w:t>
            </w:r>
          </w:p>
        </w:tc>
        <w:tc>
          <w:tcPr>
            <w:tcW w:type="dxa" w:w="2477"/>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今年需准备多少证书和现金？</w:t>
            </w:r>
          </w:p>
        </w:tc>
        <w:tc>
          <w:tcPr>
            <w:tcW w:type="dxa" w:w="273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年底才汇总，成本不可见</w:t>
            </w:r>
          </w:p>
        </w:tc>
        <w:tc>
          <w:tcPr>
            <w:tcW w:type="dxa" w:w="311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责任测算、碳价情景、预算看板</w:t>
            </w:r>
          </w:p>
        </w:tc>
      </w:tr>
      <w:tr>
        <w:trPr>
          <w:cantSplit/>
        </w:trPr>
        <w:tc>
          <w:tcPr>
            <w:tcW w:type="dxa" w:w="1037"/>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采购</w:t>
            </w:r>
          </w:p>
        </w:tc>
        <w:tc>
          <w:tcPr>
            <w:tcW w:type="dxa" w:w="2477"/>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哪些供应商具有长期绿色竞争力？</w:t>
            </w:r>
          </w:p>
        </w:tc>
        <w:tc>
          <w:tcPr>
            <w:tcW w:type="dxa" w:w="273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合规结果没有反馈采购</w:t>
            </w:r>
          </w:p>
        </w:tc>
        <w:tc>
          <w:tcPr>
            <w:tcW w:type="dxa" w:w="311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排放、响应和核查准备度比较</w:t>
            </w:r>
          </w:p>
        </w:tc>
      </w:tr>
    </w:tbl>
    <w:p>
      <w:pPr>
        <w:pStyle w:val="Heading2"/>
      </w:pPr>
      <w:r>
        <w:rPr>
          <w:rFonts w:ascii="Calibri" w:hAnsi="Calibri" w:eastAsia="Hiragino Sans GB"/>
          <w:b/>
          <w:color w:val="2E74B5"/>
          <w:sz w:val="26"/>
        </w:rPr>
        <w:t>典型客户画像</w:t>
      </w:r>
    </w:p>
    <w:p>
      <w:pPr>
        <w:pStyle w:val="ListBullet"/>
        <w:spacing w:after="80" w:line="290" w:lineRule="auto"/>
        <w:ind w:left="540" w:hanging="279"/>
      </w:pPr>
      <w:r>
        <w:rPr>
          <w:rFonts w:ascii="Calibri" w:hAnsi="Calibri" w:eastAsia="Hiragino Sans GB"/>
          <w:b/>
          <w:color w:val="1F2933"/>
          <w:sz w:val="22"/>
        </w:rPr>
        <w:t>欧盟进口商/授权间接海关代表：</w:t>
      </w:r>
      <w:r>
        <w:rPr>
          <w:rFonts w:ascii="Calibri" w:hAnsi="Calibri" w:eastAsia="Hiragino Sans GB"/>
          <w:color w:val="1F2933"/>
          <w:sz w:val="22"/>
        </w:rPr>
        <w:t>年进口量高于阈值，跨多个CN编码、国家、供应商和生产设施。</w:t>
      </w:r>
    </w:p>
    <w:p>
      <w:pPr>
        <w:pStyle w:val="ListBullet"/>
        <w:spacing w:after="80" w:line="290" w:lineRule="auto"/>
        <w:ind w:left="540" w:hanging="279"/>
      </w:pPr>
      <w:r>
        <w:rPr>
          <w:rFonts w:ascii="Calibri" w:hAnsi="Calibri" w:eastAsia="Hiragino Sans GB"/>
          <w:b/>
          <w:color w:val="1F2933"/>
          <w:sz w:val="22"/>
        </w:rPr>
        <w:t>中国及全球出口商：</w:t>
      </w:r>
      <w:r>
        <w:rPr>
          <w:rFonts w:ascii="Calibri" w:hAnsi="Calibri" w:eastAsia="Hiragino Sans GB"/>
          <w:color w:val="1F2933"/>
          <w:sz w:val="22"/>
        </w:rPr>
        <w:t>同时响应多个欧洲客户，需要把一次数据生产复用于多次客户交付。</w:t>
      </w:r>
    </w:p>
    <w:p>
      <w:pPr>
        <w:pStyle w:val="ListBullet"/>
        <w:spacing w:after="80" w:line="290" w:lineRule="auto"/>
        <w:ind w:left="540" w:hanging="279"/>
      </w:pPr>
      <w:r>
        <w:rPr>
          <w:rFonts w:ascii="Calibri" w:hAnsi="Calibri" w:eastAsia="Hiragino Sans GB"/>
          <w:b/>
          <w:color w:val="1F2933"/>
          <w:sz w:val="22"/>
        </w:rPr>
        <w:t>生产设施：</w:t>
      </w:r>
      <w:r>
        <w:rPr>
          <w:rFonts w:ascii="Calibri" w:hAnsi="Calibri" w:eastAsia="Hiragino Sans GB"/>
          <w:color w:val="1F2933"/>
          <w:sz w:val="22"/>
        </w:rPr>
        <w:t>需要持续监测、计算、保存证据并配合独立核查，避免默认值带来的成本暴露。</w:t>
      </w:r>
    </w:p>
    <w:tbl>
      <w:tblPr>
        <w:tblW w:type="dxa" w:w="9360"/>
        <w:jc w:val="left"/>
        <w:tblLayout w:type="fixed"/>
        <w:tblLook w:firstColumn="1" w:firstRow="1" w:lastColumn="0" w:lastRow="0" w:noHBand="0" w:noVBand="1" w:val="04A0"/>
        <w:tblInd w:w="120" w:type="dxa"/>
        <w:tblBorders>
          <w:top w:val="single" w:sz="0" w:space="0" w:color="E8F2EF"/>
          <w:left w:val="single" w:sz="0" w:space="0" w:color="E8F2EF"/>
          <w:bottom w:val="single" w:sz="0" w:space="0" w:color="E8F2EF"/>
          <w:right w:val="single" w:sz="0" w:space="0" w:color="E8F2EF"/>
          <w:insideH w:val="single" w:sz="0" w:space="0" w:color="E8F2EF"/>
          <w:insideV w:val="single" w:sz="0" w:space="0" w:color="E8F2EF"/>
        </w:tblBorders>
      </w:tblPr>
      <w:tblGrid>
        <w:gridCol w:w="9360"/>
      </w:tblGrid>
      <w:tr>
        <w:trPr>
          <w:cantSplit/>
        </w:trPr>
        <w:tc>
          <w:tcPr>
            <w:tcW w:type="dxa" w:w="9360"/>
            <w:tcMar>
              <w:top w:w="160" w:type="dxa"/>
              <w:start w:w="180" w:type="dxa"/>
              <w:bottom w:w="160" w:type="dxa"/>
              <w:end w:w="180" w:type="dxa"/>
            </w:tcMar>
            <w:vAlign w:val="center"/>
            <w:shd w:fill="E8F2EF"/>
          </w:tcPr>
          <w:p>
            <w:pPr>
              <w:spacing w:before="0" w:after="0" w:line="288" w:lineRule="auto"/>
            </w:pPr>
            <w:r>
              <w:rPr>
                <w:rFonts w:ascii="Calibri" w:hAnsi="Calibri" w:eastAsia="Hiragino Sans GB"/>
                <w:b/>
                <w:color w:val="0B5A52"/>
                <w:sz w:val="19"/>
              </w:rPr>
              <w:t xml:space="preserve">优先行业  </w:t>
            </w:r>
            <w:r>
              <w:rPr>
                <w:rFonts w:ascii="Calibri" w:hAnsi="Calibri" w:eastAsia="Hiragino Sans GB"/>
                <w:color w:val="1F2933"/>
                <w:sz w:val="19"/>
              </w:rPr>
              <w:t>首期聚焦钢铁与铝，优先选择汽车零部件、紧固件、金属加工和工业设备供应链；这些场景数据链条长、进口责任高、经营价值更可量化。</w:t>
            </w:r>
          </w:p>
        </w:tc>
      </w:tr>
    </w:tbl>
    <w:p>
      <w:pPr>
        <w:keepNext/>
        <w:pageBreakBefore/>
        <w:spacing w:before="0" w:after="40" w:line="240" w:lineRule="auto"/>
        <w:jc w:val="left"/>
      </w:pPr>
      <w:r>
        <w:rPr>
          <w:rFonts w:ascii="Calibri" w:hAnsi="Calibri" w:eastAsia="Hiragino Sans GB"/>
          <w:b/>
          <w:i w:val="0"/>
          <w:color w:val="0B5A52"/>
          <w:sz w:val="16"/>
        </w:rPr>
        <w:t>SOLUTION</w:t>
      </w:r>
    </w:p>
    <w:p>
      <w:pPr>
        <w:pStyle w:val="Heading1"/>
      </w:pPr>
      <w:r>
        <w:rPr>
          <w:rFonts w:ascii="Calibri" w:hAnsi="Calibri" w:eastAsia="Hiragino Sans GB"/>
          <w:b/>
          <w:color w:val="2E74B5"/>
          <w:sz w:val="32"/>
        </w:rPr>
        <w:t>解决方案：连接贸易链与合规链</w:t>
      </w:r>
    </w:p>
    <w:p>
      <w:pPr>
        <w:spacing w:before="0" w:after="240" w:line="320" w:lineRule="auto"/>
        <w:jc w:val="both"/>
      </w:pPr>
      <w:r>
        <w:rPr>
          <w:rFonts w:ascii="Calibri" w:hAnsi="Calibri" w:eastAsia="Hiragino Sans GB"/>
          <w:b/>
          <w:i w:val="0"/>
          <w:color w:val="073F3A"/>
          <w:sz w:val="22"/>
        </w:rPr>
        <w:t>产品北极星：</w:t>
      </w:r>
      <w:r>
        <w:rPr>
          <w:rFonts w:ascii="Calibri" w:hAnsi="Calibri" w:eastAsia="Hiragino Sans GB"/>
          <w:b w:val="0"/>
          <w:i w:val="0"/>
          <w:color w:val="1F2933"/>
          <w:sz w:val="22"/>
        </w:rPr>
        <w:t>让进口商在任意时点都能回答三件事：责任是否可控、数据是否可信、成本和采购是否可优化。</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944"/>
        <w:gridCol w:w="3672"/>
        <w:gridCol w:w="3744"/>
      </w:tblGrid>
      <w:tr>
        <w:trPr>
          <w:cantSplit/>
          <w:tblHeader w:val="true"/>
          <w:cantSplit/>
        </w:trPr>
        <w:tc>
          <w:tcPr>
            <w:tcW w:type="dxa" w:w="194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7"/>
              </w:rPr>
              <w:t>贸易链角色</w:t>
            </w:r>
          </w:p>
        </w:tc>
        <w:tc>
          <w:tcPr>
            <w:tcW w:type="dxa" w:w="3672"/>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7"/>
              </w:rPr>
              <w:t>平台连接</w:t>
            </w:r>
          </w:p>
        </w:tc>
        <w:tc>
          <w:tcPr>
            <w:tcW w:type="dxa" w:w="374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7"/>
              </w:rPr>
              <w:t>合规链产出</w:t>
            </w:r>
          </w:p>
        </w:tc>
      </w:tr>
      <w:tr>
        <w:trPr>
          <w:cantSplit/>
        </w:trPr>
        <w:tc>
          <w:tcPr>
            <w:tcW w:type="dxa" w:w="1944"/>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欧盟进口商</w:t>
            </w:r>
          </w:p>
        </w:tc>
        <w:tc>
          <w:tcPr>
            <w:tcW w:type="dxa" w:w="367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进口事件 -&gt; 产品/CN -&gt; 供应商</w:t>
            </w:r>
          </w:p>
        </w:tc>
        <w:tc>
          <w:tcPr>
            <w:tcW w:type="dxa" w:w="374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范围判断、年度底账、证书责任</w:t>
            </w:r>
          </w:p>
        </w:tc>
      </w:tr>
      <w:tr>
        <w:trPr>
          <w:cantSplit/>
        </w:trPr>
        <w:tc>
          <w:tcPr>
            <w:tcW w:type="dxa" w:w="194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出口商/属地公司</w:t>
            </w:r>
          </w:p>
        </w:tc>
        <w:tc>
          <w:tcPr>
            <w:tcW w:type="dxa" w:w="36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订单 -&gt; SKU -&gt; 生产设施</w:t>
            </w:r>
          </w:p>
        </w:tc>
        <w:tc>
          <w:tcPr>
            <w:tcW w:type="dxa" w:w="374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任务响应、客户交付、授权共享</w:t>
            </w:r>
          </w:p>
        </w:tc>
      </w:tr>
      <w:tr>
        <w:trPr>
          <w:cantSplit/>
        </w:trPr>
        <w:tc>
          <w:tcPr>
            <w:tcW w:type="dxa" w:w="1944"/>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生产设施</w:t>
            </w:r>
          </w:p>
        </w:tc>
        <w:tc>
          <w:tcPr>
            <w:tcW w:type="dxa" w:w="367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工艺 -&gt; 活动数据 -&gt; 排放与证据</w:t>
            </w:r>
          </w:p>
        </w:tc>
        <w:tc>
          <w:tcPr>
            <w:tcW w:type="dxa" w:w="374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实际值、版本冻结、核查准备</w:t>
            </w:r>
          </w:p>
        </w:tc>
      </w:tr>
      <w:tr>
        <w:trPr>
          <w:cantSplit/>
        </w:trPr>
        <w:tc>
          <w:tcPr>
            <w:tcW w:type="dxa" w:w="194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核查与生态伙伴</w:t>
            </w:r>
          </w:p>
        </w:tc>
        <w:tc>
          <w:tcPr>
            <w:tcW w:type="dxa" w:w="36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问题 -&gt; 整改 -&gt; 核查报告</w:t>
            </w:r>
          </w:p>
        </w:tc>
        <w:tc>
          <w:tcPr>
            <w:tcW w:type="dxa" w:w="374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独立核查、证据闭环、年度档案</w:t>
            </w:r>
          </w:p>
        </w:tc>
      </w:tr>
    </w:tbl>
    <w:p>
      <w:pPr>
        <w:pStyle w:val="Heading2"/>
      </w:pPr>
      <w:r>
        <w:rPr>
          <w:rFonts w:ascii="Calibri" w:hAnsi="Calibri" w:eastAsia="Hiragino Sans GB"/>
          <w:b/>
          <w:color w:val="2E74B5"/>
          <w:sz w:val="26"/>
        </w:rPr>
        <w:t>六层产品能力</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512"/>
        <w:gridCol w:w="4392"/>
        <w:gridCol w:w="3456"/>
      </w:tblGrid>
      <w:tr>
        <w:trPr>
          <w:cantSplit/>
          <w:tblHeader w:val="true"/>
          <w:cantSplit/>
        </w:trPr>
        <w:tc>
          <w:tcPr>
            <w:tcW w:type="dxa" w:w="1512"/>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7"/>
              </w:rPr>
              <w:t>层级</w:t>
            </w:r>
          </w:p>
        </w:tc>
        <w:tc>
          <w:tcPr>
            <w:tcW w:type="dxa" w:w="4392"/>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7"/>
              </w:rPr>
              <w:t>核心模块</w:t>
            </w:r>
          </w:p>
        </w:tc>
        <w:tc>
          <w:tcPr>
            <w:tcW w:type="dxa" w:w="3456"/>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7"/>
              </w:rPr>
              <w:t>可交付结果</w:t>
            </w:r>
          </w:p>
        </w:tc>
      </w:tr>
      <w:tr>
        <w:trPr>
          <w:cantSplit/>
        </w:trPr>
        <w:tc>
          <w:tcPr>
            <w:tcW w:type="dxa" w:w="1512"/>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L1 规则识别</w:t>
            </w:r>
          </w:p>
        </w:tc>
        <w:tc>
          <w:tcPr>
            <w:tcW w:type="dxa" w:w="43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CN范围、阈值、责任主体、合规日历</w:t>
            </w:r>
          </w:p>
        </w:tc>
        <w:tc>
          <w:tcPr>
            <w:tcW w:type="dxa" w:w="345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适用性诊断与风险清单</w:t>
            </w:r>
          </w:p>
        </w:tc>
      </w:tr>
      <w:tr>
        <w:trPr>
          <w:cantSplit/>
        </w:trPr>
        <w:tc>
          <w:tcPr>
            <w:tcW w:type="dxa" w:w="1512"/>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L2 贸易协同</w:t>
            </w:r>
          </w:p>
        </w:tc>
        <w:tc>
          <w:tcPr>
            <w:tcW w:type="dxa" w:w="43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进口台账、订单映射、供应商任务</w:t>
            </w:r>
          </w:p>
        </w:tc>
        <w:tc>
          <w:tcPr>
            <w:tcW w:type="dxa" w:w="345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全年责任底账与进度看板</w:t>
            </w:r>
          </w:p>
        </w:tc>
      </w:tr>
      <w:tr>
        <w:trPr>
          <w:cantSplit/>
        </w:trPr>
        <w:tc>
          <w:tcPr>
            <w:tcW w:type="dxa" w:w="1512"/>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L3 数据生产</w:t>
            </w:r>
          </w:p>
        </w:tc>
        <w:tc>
          <w:tcPr>
            <w:tcW w:type="dxa" w:w="43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设施、工艺、活动数据、前体数据</w:t>
            </w:r>
          </w:p>
        </w:tc>
        <w:tc>
          <w:tcPr>
            <w:tcW w:type="dxa" w:w="345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结构化排放数据与证据包</w:t>
            </w:r>
          </w:p>
        </w:tc>
      </w:tr>
      <w:tr>
        <w:trPr>
          <w:cantSplit/>
        </w:trPr>
        <w:tc>
          <w:tcPr>
            <w:tcW w:type="dxa" w:w="1512"/>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L4 可信核查</w:t>
            </w:r>
          </w:p>
        </w:tc>
        <w:tc>
          <w:tcPr>
            <w:tcW w:type="dxa" w:w="43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版本血缘、问题整改、核查授权</w:t>
            </w:r>
          </w:p>
        </w:tc>
        <w:tc>
          <w:tcPr>
            <w:tcW w:type="dxa" w:w="345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可追溯、可复核的数据资产</w:t>
            </w:r>
          </w:p>
        </w:tc>
      </w:tr>
      <w:tr>
        <w:trPr>
          <w:cantSplit/>
        </w:trPr>
        <w:tc>
          <w:tcPr>
            <w:tcW w:type="dxa" w:w="1512"/>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L5 申报准备</w:t>
            </w:r>
          </w:p>
        </w:tc>
        <w:tc>
          <w:tcPr>
            <w:tcW w:type="dxa" w:w="43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年度汇总、默认/实际值路径、数据包</w:t>
            </w:r>
          </w:p>
        </w:tc>
        <w:tc>
          <w:tcPr>
            <w:tcW w:type="dxa" w:w="345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申报就绪资料与责任测算</w:t>
            </w:r>
          </w:p>
        </w:tc>
      </w:tr>
      <w:tr>
        <w:trPr>
          <w:cantSplit/>
        </w:trPr>
        <w:tc>
          <w:tcPr>
            <w:tcW w:type="dxa" w:w="1512"/>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L6 经营决策</w:t>
            </w:r>
          </w:p>
        </w:tc>
        <w:tc>
          <w:tcPr>
            <w:tcW w:type="dxa" w:w="43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碳价情景、供应商比较、采购分析</w:t>
            </w:r>
          </w:p>
        </w:tc>
        <w:tc>
          <w:tcPr>
            <w:tcW w:type="dxa" w:w="345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预算、风险预警与优化建议</w:t>
            </w:r>
          </w:p>
        </w:tc>
      </w:tr>
    </w:tbl>
    <w:tbl>
      <w:tblPr>
        <w:tblW w:type="dxa" w:w="9360"/>
        <w:jc w:val="left"/>
        <w:tblLayout w:type="fixed"/>
        <w:tblLook w:firstColumn="1" w:firstRow="1" w:lastColumn="0" w:lastRow="0" w:noHBand="0" w:noVBand="1" w:val="04A0"/>
        <w:tblInd w:w="120" w:type="dxa"/>
        <w:tblBorders>
          <w:top w:val="single" w:sz="0" w:space="0" w:color="F8ECEA"/>
          <w:left w:val="single" w:sz="0" w:space="0" w:color="F8ECEA"/>
          <w:bottom w:val="single" w:sz="0" w:space="0" w:color="F8ECEA"/>
          <w:right w:val="single" w:sz="0" w:space="0" w:color="F8ECEA"/>
          <w:insideH w:val="single" w:sz="0" w:space="0" w:color="F8ECEA"/>
          <w:insideV w:val="single" w:sz="0" w:space="0" w:color="F8ECEA"/>
        </w:tblBorders>
      </w:tblPr>
      <w:tblGrid>
        <w:gridCol w:w="9360"/>
      </w:tblGrid>
      <w:tr>
        <w:trPr>
          <w:cantSplit/>
        </w:trPr>
        <w:tc>
          <w:tcPr>
            <w:tcW w:type="dxa" w:w="9360"/>
            <w:tcMar>
              <w:top w:w="120" w:type="dxa"/>
              <w:start w:w="180" w:type="dxa"/>
              <w:bottom w:w="120" w:type="dxa"/>
              <w:end w:w="180" w:type="dxa"/>
            </w:tcMar>
            <w:vAlign w:val="center"/>
            <w:shd w:fill="F8ECEA"/>
          </w:tcPr>
          <w:p>
            <w:pPr>
              <w:spacing w:before="0" w:after="0" w:line="288" w:lineRule="auto"/>
            </w:pPr>
            <w:r>
              <w:rPr>
                <w:rFonts w:ascii="Calibri" w:hAnsi="Calibri" w:eastAsia="Hiragino Sans GB"/>
                <w:b/>
                <w:color w:val="9B1C1C"/>
                <w:sz w:val="19"/>
              </w:rPr>
              <w:t xml:space="preserve">边界原则  </w:t>
            </w:r>
            <w:r>
              <w:rPr>
                <w:rFonts w:ascii="Calibri" w:hAnsi="Calibri" w:eastAsia="Hiragino Sans GB"/>
                <w:color w:val="1F2933"/>
                <w:sz w:val="19"/>
              </w:rPr>
              <w:t>平台提供数据、流程与决策支持；CBAM申报责任仍由授权申报人承担，独立核查由具备相应资质的核查机构完成。产品宣传不得使用“100%通过”或“官方证书代购保证”等绝对承诺。</w:t>
            </w:r>
          </w:p>
        </w:tc>
      </w:tr>
    </w:tbl>
    <w:p>
      <w:pPr>
        <w:keepNext/>
        <w:pageBreakBefore/>
        <w:spacing w:before="0" w:after="40" w:line="240" w:lineRule="auto"/>
        <w:jc w:val="left"/>
      </w:pPr>
      <w:r>
        <w:rPr>
          <w:rFonts w:ascii="Calibri" w:hAnsi="Calibri" w:eastAsia="Hiragino Sans GB"/>
          <w:b/>
          <w:i w:val="0"/>
          <w:color w:val="0B5A52"/>
          <w:sz w:val="16"/>
        </w:rPr>
        <w:t>WORKFLOW</w:t>
      </w:r>
    </w:p>
    <w:p>
      <w:pPr>
        <w:pStyle w:val="Heading1"/>
      </w:pPr>
      <w:r>
        <w:rPr>
          <w:rFonts w:ascii="Calibri" w:hAnsi="Calibri" w:eastAsia="Hiragino Sans GB"/>
          <w:b/>
          <w:color w:val="2E74B5"/>
          <w:sz w:val="32"/>
        </w:rPr>
        <w:t>产品闭环：从第一批进口到年度申报就绪</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656"/>
        <w:gridCol w:w="3528"/>
        <w:gridCol w:w="2304"/>
        <w:gridCol w:w="1872"/>
      </w:tblGrid>
      <w:tr>
        <w:trPr>
          <w:cantSplit/>
          <w:tblHeader w:val="true"/>
          <w:cantSplit/>
        </w:trPr>
        <w:tc>
          <w:tcPr>
            <w:tcW w:type="dxa" w:w="1656"/>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阶段</w:t>
            </w:r>
          </w:p>
        </w:tc>
        <w:tc>
          <w:tcPr>
            <w:tcW w:type="dxa" w:w="3528"/>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关键动作</w:t>
            </w:r>
          </w:p>
        </w:tc>
        <w:tc>
          <w:tcPr>
            <w:tcW w:type="dxa" w:w="2304"/>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平台沉淀</w:t>
            </w:r>
          </w:p>
        </w:tc>
        <w:tc>
          <w:tcPr>
            <w:tcW w:type="dxa" w:w="1872"/>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进口商结果</w:t>
            </w:r>
          </w:p>
        </w:tc>
      </w:tr>
      <w:tr>
        <w:trPr>
          <w:cantSplit/>
        </w:trPr>
        <w:tc>
          <w:tcPr>
            <w:tcW w:type="dxa" w:w="1656"/>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1 识别与归集</w:t>
            </w:r>
          </w:p>
        </w:tc>
        <w:tc>
          <w:tcPr>
            <w:tcW w:type="dxa" w:w="352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范围判断；导入报关/ERP数据；订单与设施映射</w:t>
            </w:r>
          </w:p>
        </w:tc>
        <w:tc>
          <w:tcPr>
            <w:tcW w:type="dxa" w:w="230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进口事件、产品、供应商、设施主数据</w:t>
            </w:r>
          </w:p>
        </w:tc>
        <w:tc>
          <w:tcPr>
            <w:tcW w:type="dxa" w:w="18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责任范围清晰</w:t>
            </w:r>
          </w:p>
        </w:tc>
      </w:tr>
      <w:tr>
        <w:trPr>
          <w:cantSplit/>
        </w:trPr>
        <w:tc>
          <w:tcPr>
            <w:tcW w:type="dxa" w:w="165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2 数据形成</w:t>
            </w:r>
          </w:p>
        </w:tc>
        <w:tc>
          <w:tcPr>
            <w:tcW w:type="dxa" w:w="352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设施月度监测；排放计算；证据绑定</w:t>
            </w:r>
          </w:p>
        </w:tc>
        <w:tc>
          <w:tcPr>
            <w:tcW w:type="dxa" w:w="230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活动数据、排放结果、证据链</w:t>
            </w:r>
          </w:p>
        </w:tc>
        <w:tc>
          <w:tcPr>
            <w:tcW w:type="dxa" w:w="18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数据可获得</w:t>
            </w:r>
          </w:p>
        </w:tc>
      </w:tr>
      <w:tr>
        <w:trPr>
          <w:cantSplit/>
        </w:trPr>
        <w:tc>
          <w:tcPr>
            <w:tcW w:type="dxa" w:w="1656"/>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3 路径与核查</w:t>
            </w:r>
          </w:p>
        </w:tc>
        <w:tc>
          <w:tcPr>
            <w:tcW w:type="dxa" w:w="352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默认值/实际值比较；问题整改；独立核查</w:t>
            </w:r>
          </w:p>
        </w:tc>
        <w:tc>
          <w:tcPr>
            <w:tcW w:type="dxa" w:w="230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版本冻结、核查报告、授权记录</w:t>
            </w:r>
          </w:p>
        </w:tc>
        <w:tc>
          <w:tcPr>
            <w:tcW w:type="dxa" w:w="18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数据可承担责任</w:t>
            </w:r>
          </w:p>
        </w:tc>
      </w:tr>
      <w:tr>
        <w:trPr>
          <w:cantSplit/>
        </w:trPr>
        <w:tc>
          <w:tcPr>
            <w:tcW w:type="dxa" w:w="165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4 汇总与经营</w:t>
            </w:r>
          </w:p>
        </w:tc>
        <w:tc>
          <w:tcPr>
            <w:tcW w:type="dxa" w:w="352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年度汇总；证书预算；申报数据包；供应商复盘</w:t>
            </w:r>
          </w:p>
        </w:tc>
        <w:tc>
          <w:tcPr>
            <w:tcW w:type="dxa" w:w="230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年度档案、预算与采购指标</w:t>
            </w:r>
          </w:p>
        </w:tc>
        <w:tc>
          <w:tcPr>
            <w:tcW w:type="dxa" w:w="18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成本与采购可优化</w:t>
            </w:r>
          </w:p>
        </w:tc>
      </w:tr>
    </w:tbl>
    <w:p>
      <w:pPr>
        <w:pStyle w:val="Heading2"/>
      </w:pPr>
      <w:r>
        <w:rPr>
          <w:rFonts w:ascii="Calibri" w:hAnsi="Calibri" w:eastAsia="Hiragino Sans GB"/>
          <w:b/>
          <w:color w:val="2E74B5"/>
          <w:sz w:val="26"/>
        </w:rPr>
        <w:t>示例：德国汽车紧固件进口商（模拟）</w:t>
      </w:r>
    </w:p>
    <w:p>
      <w:pPr>
        <w:spacing w:before="0" w:after="160" w:line="320" w:lineRule="auto"/>
        <w:jc w:val="both"/>
      </w:pPr>
      <w:r>
        <w:rPr>
          <w:rFonts w:ascii="Calibri" w:hAnsi="Calibri" w:eastAsia="Hiragino Sans GB"/>
          <w:b w:val="0"/>
          <w:i w:val="0"/>
          <w:color w:val="1F2933"/>
          <w:sz w:val="19"/>
        </w:rPr>
        <w:t>某德国进口商预计年度进口3,000吨高强度钢制紧固件，涉及24个SKU、18批进口记录和2家生产设施。案例仅用于展示经营逻辑，排放因子和碳价均为情景假设。</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944"/>
        <w:gridCol w:w="1728"/>
        <w:gridCol w:w="1728"/>
        <w:gridCol w:w="1800"/>
        <w:gridCol w:w="2160"/>
      </w:tblGrid>
      <w:tr>
        <w:trPr>
          <w:cantSplit/>
          <w:tblHeader w:val="true"/>
          <w:cantSplit/>
        </w:trPr>
        <w:tc>
          <w:tcPr>
            <w:tcW w:type="dxa" w:w="194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7"/>
              </w:rPr>
              <w:t>情景</w:t>
            </w:r>
          </w:p>
        </w:tc>
        <w:tc>
          <w:tcPr>
            <w:tcW w:type="dxa" w:w="1728"/>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7"/>
              </w:rPr>
              <w:t>设施A</w:t>
            </w:r>
          </w:p>
        </w:tc>
        <w:tc>
          <w:tcPr>
            <w:tcW w:type="dxa" w:w="1728"/>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7"/>
              </w:rPr>
              <w:t>设施B</w:t>
            </w:r>
          </w:p>
        </w:tc>
        <w:tc>
          <w:tcPr>
            <w:tcW w:type="dxa" w:w="1800"/>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7"/>
              </w:rPr>
              <w:t>合计排放</w:t>
            </w:r>
          </w:p>
        </w:tc>
        <w:tc>
          <w:tcPr>
            <w:tcW w:type="dxa" w:w="2160"/>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7"/>
              </w:rPr>
              <w:t>模拟毛成本暴露</w:t>
            </w:r>
          </w:p>
        </w:tc>
      </w:tr>
      <w:tr>
        <w:trPr>
          <w:cantSplit/>
        </w:trPr>
        <w:tc>
          <w:tcPr>
            <w:tcW w:type="dxa" w:w="1944"/>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全部采用默认值</w:t>
            </w:r>
          </w:p>
        </w:tc>
        <w:tc>
          <w:tcPr>
            <w:tcW w:type="dxa" w:w="172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2,000t x 2.80</w:t>
            </w:r>
          </w:p>
        </w:tc>
        <w:tc>
          <w:tcPr>
            <w:tcW w:type="dxa" w:w="172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1,000t x 2.80</w:t>
            </w:r>
          </w:p>
        </w:tc>
        <w:tc>
          <w:tcPr>
            <w:tcW w:type="dxa" w:w="180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8,400 tCO2</w:t>
            </w:r>
          </w:p>
        </w:tc>
        <w:tc>
          <w:tcPr>
            <w:tcW w:type="dxa" w:w="216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€672,000</w:t>
            </w:r>
          </w:p>
        </w:tc>
      </w:tr>
      <w:tr>
        <w:trPr>
          <w:cantSplit/>
        </w:trPr>
        <w:tc>
          <w:tcPr>
            <w:tcW w:type="dxa" w:w="194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A采用核查实际值</w:t>
            </w:r>
          </w:p>
        </w:tc>
        <w:tc>
          <w:tcPr>
            <w:tcW w:type="dxa" w:w="172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2,000t x 1.90</w:t>
            </w:r>
          </w:p>
        </w:tc>
        <w:tc>
          <w:tcPr>
            <w:tcW w:type="dxa" w:w="172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1,000t x 2.80</w:t>
            </w:r>
          </w:p>
        </w:tc>
        <w:tc>
          <w:tcPr>
            <w:tcW w:type="dxa" w:w="180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6,600 tCO2</w:t>
            </w:r>
          </w:p>
        </w:tc>
        <w:tc>
          <w:tcPr>
            <w:tcW w:type="dxa" w:w="216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€528,000</w:t>
            </w:r>
          </w:p>
        </w:tc>
      </w:tr>
      <w:tr>
        <w:trPr>
          <w:cantSplit/>
        </w:trPr>
        <w:tc>
          <w:tcPr>
            <w:tcW w:type="dxa" w:w="1944"/>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差异</w:t>
            </w:r>
          </w:p>
        </w:tc>
        <w:tc>
          <w:tcPr>
            <w:tcW w:type="dxa" w:w="172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低碳优势可见</w:t>
            </w:r>
          </w:p>
        </w:tc>
        <w:tc>
          <w:tcPr>
            <w:tcW w:type="dxa" w:w="172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整改目标明确</w:t>
            </w:r>
          </w:p>
        </w:tc>
        <w:tc>
          <w:tcPr>
            <w:tcW w:type="dxa" w:w="180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-1,800 tCO2</w:t>
            </w:r>
          </w:p>
        </w:tc>
        <w:tc>
          <w:tcPr>
            <w:tcW w:type="dxa" w:w="216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-€144,000</w:t>
            </w:r>
          </w:p>
        </w:tc>
      </w:tr>
    </w:tbl>
    <w:p>
      <w:pPr>
        <w:pStyle w:val="ListBullet"/>
        <w:spacing w:after="80" w:line="290" w:lineRule="auto"/>
        <w:ind w:left="540" w:hanging="279"/>
      </w:pPr>
      <w:r>
        <w:rPr>
          <w:rFonts w:ascii="Calibri" w:hAnsi="Calibri" w:eastAsia="Hiragino Sans GB"/>
          <w:color w:val="1F2933"/>
          <w:sz w:val="22"/>
        </w:rPr>
        <w:t>财务可提前安排证书预算与现金，而不是在申报节点被动承受。</w:t>
      </w:r>
    </w:p>
    <w:p>
      <w:pPr>
        <w:pStyle w:val="ListBullet"/>
        <w:spacing w:after="80" w:line="290" w:lineRule="auto"/>
        <w:ind w:left="540" w:hanging="279"/>
      </w:pPr>
      <w:r>
        <w:rPr>
          <w:rFonts w:ascii="Calibri" w:hAnsi="Calibri" w:eastAsia="Hiragino Sans GB"/>
          <w:color w:val="1F2933"/>
          <w:sz w:val="22"/>
        </w:rPr>
        <w:t>采购可增加设施A份额，并把数据响应、核查准备度写入供应商评价。</w:t>
      </w:r>
    </w:p>
    <w:p>
      <w:pPr>
        <w:pStyle w:val="ListBullet"/>
        <w:spacing w:after="80" w:line="290" w:lineRule="auto"/>
        <w:ind w:left="540" w:hanging="279"/>
      </w:pPr>
      <w:r>
        <w:rPr>
          <w:rFonts w:ascii="Calibri" w:hAnsi="Calibri" w:eastAsia="Hiragino Sans GB"/>
          <w:color w:val="1F2933"/>
          <w:sz w:val="22"/>
        </w:rPr>
        <w:t>设施B获得明确整改路径：补齐监测、证据和核查准备，降低下一年度默认值暴露。</w:t>
      </w:r>
    </w:p>
    <w:tbl>
      <w:tblPr>
        <w:tblW w:type="dxa" w:w="9360"/>
        <w:jc w:val="left"/>
        <w:tblLayout w:type="fixed"/>
        <w:tblLook w:firstColumn="1" w:firstRow="1" w:lastColumn="0" w:lastRow="0" w:noHBand="0" w:noVBand="1" w:val="04A0"/>
        <w:tblInd w:w="120" w:type="dxa"/>
        <w:tblBorders>
          <w:top w:val="single" w:sz="0" w:space="0" w:color="EEF4E7"/>
          <w:left w:val="single" w:sz="0" w:space="0" w:color="EEF4E7"/>
          <w:bottom w:val="single" w:sz="0" w:space="0" w:color="EEF4E7"/>
          <w:right w:val="single" w:sz="0" w:space="0" w:color="EEF4E7"/>
          <w:insideH w:val="single" w:sz="0" w:space="0" w:color="EEF4E7"/>
          <w:insideV w:val="single" w:sz="0" w:space="0" w:color="EEF4E7"/>
        </w:tblBorders>
      </w:tblPr>
      <w:tblGrid>
        <w:gridCol w:w="9360"/>
      </w:tblGrid>
      <w:tr>
        <w:trPr>
          <w:cantSplit/>
        </w:trPr>
        <w:tc>
          <w:tcPr>
            <w:tcW w:type="dxa" w:w="9360"/>
            <w:tcMar>
              <w:top w:w="160" w:type="dxa"/>
              <w:start w:w="180" w:type="dxa"/>
              <w:bottom w:w="160" w:type="dxa"/>
              <w:end w:w="180" w:type="dxa"/>
            </w:tcMar>
            <w:vAlign w:val="center"/>
            <w:shd w:fill="EEF4E7"/>
          </w:tcPr>
          <w:p>
            <w:pPr>
              <w:spacing w:before="0" w:after="0" w:line="288" w:lineRule="auto"/>
            </w:pPr>
            <w:r>
              <w:rPr>
                <w:rFonts w:ascii="Calibri" w:hAnsi="Calibri" w:eastAsia="Hiragino Sans GB"/>
                <w:b/>
                <w:color w:val="6E9F42"/>
                <w:sz w:val="19"/>
              </w:rPr>
              <w:t xml:space="preserve">量化价值  </w:t>
            </w:r>
            <w:r>
              <w:rPr>
                <w:rFonts w:ascii="Calibri" w:hAnsi="Calibri" w:eastAsia="Hiragino Sans GB"/>
                <w:color w:val="1F2933"/>
                <w:sz w:val="19"/>
              </w:rPr>
              <w:t>平台价值不是简单等于碳成本差额。可验证的价值包括：避免错报与延误、缩短追数周期、降低人工交付成本、提高实际值采用率、提升预算准确度与供应商可比性。</w:t>
            </w:r>
          </w:p>
        </w:tc>
      </w:tr>
    </w:tbl>
    <w:p>
      <w:pPr>
        <w:keepNext/>
        <w:pageBreakBefore/>
        <w:spacing w:before="0" w:after="40" w:line="240" w:lineRule="auto"/>
        <w:jc w:val="left"/>
      </w:pPr>
      <w:r>
        <w:rPr>
          <w:rFonts w:ascii="Calibri" w:hAnsi="Calibri" w:eastAsia="Hiragino Sans GB"/>
          <w:b/>
          <w:i w:val="0"/>
          <w:color w:val="0B5A52"/>
          <w:sz w:val="16"/>
        </w:rPr>
        <w:t>WHY US</w:t>
      </w:r>
    </w:p>
    <w:p>
      <w:pPr>
        <w:pStyle w:val="Heading1"/>
      </w:pPr>
      <w:r>
        <w:rPr>
          <w:rFonts w:ascii="Calibri" w:hAnsi="Calibri" w:eastAsia="Hiragino Sans GB"/>
          <w:b/>
          <w:color w:val="2E74B5"/>
          <w:sz w:val="32"/>
        </w:rPr>
        <w:t>为什么是我们：产业数字化、碳管理与CBAM交付的连续积累</w:t>
      </w:r>
    </w:p>
    <w:p>
      <w:pPr>
        <w:spacing w:before="0" w:after="200" w:line="320" w:lineRule="auto"/>
        <w:jc w:val="both"/>
      </w:pPr>
      <w:r>
        <w:rPr>
          <w:rFonts w:ascii="Calibri" w:hAnsi="Calibri" w:eastAsia="Hiragino Sans GB"/>
          <w:b w:val="0"/>
          <w:i w:val="0"/>
          <w:color w:val="5B6670"/>
          <w:sz w:val="21"/>
        </w:rPr>
        <w:t>新增项目材料显示，团队不是从法规发布后才进入市场，而是沿着钢铁产业数字化、企业碳管理和CBAM交付逐步形成能力。以下均为管理层材料口径，正式融资尽调需以合同、验收、报告和客户授权证明。</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340"/>
        <w:gridCol w:w="2340"/>
        <w:gridCol w:w="2340"/>
        <w:gridCol w:w="2340"/>
      </w:tblGrid>
      <w:tr>
        <w:trPr>
          <w:cantSplit/>
        </w:trPr>
        <w:tc>
          <w:tcPr>
            <w:tcW w:type="dxa" w:w="2340"/>
            <w:tcMar>
              <w:top w:w="150" w:type="dxa"/>
              <w:start w:w="100" w:type="dxa"/>
              <w:bottom w:w="150" w:type="dxa"/>
              <w:end w:w="100" w:type="dxa"/>
            </w:tcMar>
            <w:vAlign w:val="center"/>
            <w:shd w:fill="073F3A"/>
          </w:tcPr>
          <w:p>
            <w:pPr>
              <w:spacing w:before="0" w:after="40" w:line="240" w:lineRule="auto"/>
              <w:jc w:val="center"/>
            </w:pPr>
            <w:r>
              <w:rPr>
                <w:rFonts w:ascii="Calibri" w:hAnsi="Calibri" w:eastAsia="Hiragino Sans GB"/>
                <w:b/>
                <w:color w:val="FFFFFF"/>
                <w:sz w:val="32"/>
              </w:rPr>
              <w:t>2015</w:t>
            </w:r>
          </w:p>
          <w:p>
            <w:pPr>
              <w:spacing w:before="0" w:after="0" w:line="252" w:lineRule="auto"/>
              <w:jc w:val="center"/>
            </w:pPr>
            <w:r>
              <w:rPr>
                <w:rFonts w:ascii="Calibri" w:hAnsi="Calibri" w:eastAsia="Hiragino Sans GB"/>
                <w:color w:val="FFFFFF"/>
                <w:sz w:val="15"/>
              </w:rPr>
              <w:t>开始服务钢铁产业数字化</w:t>
            </w:r>
          </w:p>
        </w:tc>
        <w:tc>
          <w:tcPr>
            <w:tcW w:type="dxa" w:w="2340"/>
            <w:tcMar>
              <w:top w:w="150" w:type="dxa"/>
              <w:start w:w="100" w:type="dxa"/>
              <w:bottom w:w="150" w:type="dxa"/>
              <w:end w:w="100" w:type="dxa"/>
            </w:tcMar>
            <w:vAlign w:val="center"/>
            <w:shd w:fill="0B5A52"/>
          </w:tcPr>
          <w:p>
            <w:pPr>
              <w:spacing w:before="0" w:after="40" w:line="240" w:lineRule="auto"/>
              <w:jc w:val="center"/>
            </w:pPr>
            <w:r>
              <w:rPr>
                <w:rFonts w:ascii="Calibri" w:hAnsi="Calibri" w:eastAsia="Hiragino Sans GB"/>
                <w:b/>
                <w:color w:val="FFFFFF"/>
                <w:sz w:val="32"/>
              </w:rPr>
              <w:t>2020</w:t>
            </w:r>
          </w:p>
          <w:p>
            <w:pPr>
              <w:spacing w:before="0" w:after="0" w:line="252" w:lineRule="auto"/>
              <w:jc w:val="center"/>
            </w:pPr>
            <w:r>
              <w:rPr>
                <w:rFonts w:ascii="Calibri" w:hAnsi="Calibri" w:eastAsia="Hiragino Sans GB"/>
                <w:color w:val="FFFFFF"/>
                <w:sz w:val="15"/>
              </w:rPr>
              <w:t>持续建设碳管理能力</w:t>
            </w:r>
          </w:p>
        </w:tc>
        <w:tc>
          <w:tcPr>
            <w:tcW w:type="dxa" w:w="2340"/>
            <w:tcMar>
              <w:top w:w="150" w:type="dxa"/>
              <w:start w:w="100" w:type="dxa"/>
              <w:bottom w:w="150" w:type="dxa"/>
              <w:end w:w="100" w:type="dxa"/>
            </w:tcMar>
            <w:vAlign w:val="center"/>
            <w:shd w:fill="073F3A"/>
          </w:tcPr>
          <w:p>
            <w:pPr>
              <w:spacing w:before="0" w:after="40" w:line="240" w:lineRule="auto"/>
              <w:jc w:val="center"/>
            </w:pPr>
            <w:r>
              <w:rPr>
                <w:rFonts w:ascii="Calibri" w:hAnsi="Calibri" w:eastAsia="Hiragino Sans GB"/>
                <w:b/>
                <w:color w:val="FFFFFF"/>
                <w:sz w:val="32"/>
              </w:rPr>
              <w:t>2023</w:t>
            </w:r>
          </w:p>
          <w:p>
            <w:pPr>
              <w:spacing w:before="0" w:after="0" w:line="252" w:lineRule="auto"/>
              <w:jc w:val="center"/>
            </w:pPr>
            <w:r>
              <w:rPr>
                <w:rFonts w:ascii="Calibri" w:hAnsi="Calibri" w:eastAsia="Hiragino Sans GB"/>
                <w:color w:val="FFFFFF"/>
                <w:sz w:val="15"/>
              </w:rPr>
              <w:t>启动CBAM培训与报告服务</w:t>
            </w:r>
          </w:p>
        </w:tc>
        <w:tc>
          <w:tcPr>
            <w:tcW w:type="dxa" w:w="2340"/>
            <w:tcMar>
              <w:top w:w="150" w:type="dxa"/>
              <w:start w:w="100" w:type="dxa"/>
              <w:bottom w:w="150" w:type="dxa"/>
              <w:end w:w="100" w:type="dxa"/>
            </w:tcMar>
            <w:vAlign w:val="center"/>
            <w:shd w:fill="0B5A52"/>
          </w:tcPr>
          <w:p>
            <w:pPr>
              <w:spacing w:before="0" w:after="40" w:line="240" w:lineRule="auto"/>
              <w:jc w:val="center"/>
            </w:pPr>
            <w:r>
              <w:rPr>
                <w:rFonts w:ascii="Calibri" w:hAnsi="Calibri" w:eastAsia="Hiragino Sans GB"/>
                <w:b/>
                <w:color w:val="FFFFFF"/>
                <w:sz w:val="32"/>
              </w:rPr>
              <w:t>300+</w:t>
            </w:r>
          </w:p>
          <w:p>
            <w:pPr>
              <w:spacing w:before="0" w:after="0" w:line="252" w:lineRule="auto"/>
              <w:jc w:val="center"/>
            </w:pPr>
            <w:r>
              <w:rPr>
                <w:rFonts w:ascii="Calibri" w:hAnsi="Calibri" w:eastAsia="Hiragino Sans GB"/>
                <w:color w:val="FFFFFF"/>
                <w:sz w:val="15"/>
              </w:rPr>
              <w:t>累计服务企业口径·待尽调</w:t>
            </w:r>
          </w:p>
        </w:tc>
      </w:tr>
    </w:tbl>
    <w:p>
      <w:pPr>
        <w:spacing w:before="0" w:after="80" w:line="240" w:lineRule="auto"/>
        <w:jc w:val="both"/>
      </w:pPr>
      <w:r>
        <w:rPr>
          <w:rFonts w:ascii="Calibri" w:hAnsi="Calibri" w:eastAsia="Hiragino Sans GB"/>
          <w:b w:val="0"/>
          <w:i w:val="0"/>
          <w:color w:val="1F2933"/>
          <w:sz w:val="2"/>
        </w:rPr>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512"/>
        <w:gridCol w:w="4464"/>
        <w:gridCol w:w="3384"/>
      </w:tblGrid>
      <w:tr>
        <w:trPr>
          <w:cantSplit/>
          <w:tblHeader w:val="true"/>
          <w:cantSplit/>
        </w:trPr>
        <w:tc>
          <w:tcPr>
            <w:tcW w:type="dxa" w:w="1512"/>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5"/>
              </w:rPr>
              <w:t>积累阶段</w:t>
            </w:r>
          </w:p>
        </w:tc>
        <w:tc>
          <w:tcPr>
            <w:tcW w:type="dxa" w:w="4464"/>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5"/>
              </w:rPr>
              <w:t>管理层披露的事实基础</w:t>
            </w:r>
          </w:p>
        </w:tc>
        <w:tc>
          <w:tcPr>
            <w:tcW w:type="dxa" w:w="3384"/>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5"/>
              </w:rPr>
              <w:t>可转化的平台资产</w:t>
            </w:r>
          </w:p>
        </w:tc>
      </w:tr>
      <w:tr>
        <w:trPr>
          <w:cantSplit/>
        </w:trPr>
        <w:tc>
          <w:tcPr>
            <w:tcW w:type="dxa" w:w="1512"/>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产业数字化</w:t>
            </w:r>
          </w:p>
        </w:tc>
        <w:tc>
          <w:tcPr>
            <w:tcW w:type="dxa" w:w="446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曾参与宝武采购/B2B平台建设，并服务宝钢工程、装备智能、宝信、欧冶及南钢、涟钢等。</w:t>
            </w:r>
          </w:p>
        </w:tc>
        <w:tc>
          <w:tcPr>
            <w:tcW w:type="dxa" w:w="338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复杂供应链、钢铁流程、企业系统集成与大客户交付经验。</w:t>
            </w:r>
          </w:p>
        </w:tc>
      </w:tr>
      <w:tr>
        <w:trPr>
          <w:cantSplit/>
        </w:trPr>
        <w:tc>
          <w:tcPr>
            <w:tcW w:type="dxa" w:w="1512"/>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碳管理</w:t>
            </w:r>
          </w:p>
        </w:tc>
        <w:tc>
          <w:tcPr>
            <w:tcW w:type="dxa" w:w="446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自2020年持续开展企业碳管理、产品碳管理和碳资产相关项目。</w:t>
            </w:r>
          </w:p>
        </w:tc>
        <w:tc>
          <w:tcPr>
            <w:tcW w:type="dxa" w:w="338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活动数据模型、因子治理、产品碳足迹与碳成本分析。</w:t>
            </w:r>
          </w:p>
        </w:tc>
      </w:tr>
      <w:tr>
        <w:trPr>
          <w:cantSplit/>
        </w:trPr>
        <w:tc>
          <w:tcPr>
            <w:tcW w:type="dxa" w:w="1512"/>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行业数据</w:t>
            </w:r>
          </w:p>
        </w:tc>
        <w:tc>
          <w:tcPr>
            <w:tcW w:type="dxa" w:w="446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材料称团队为中钢协发起、57家钢铁单位参与的碳排放因子数据库建设指南相关数字化平台主要实施方。</w:t>
            </w:r>
          </w:p>
        </w:tc>
        <w:tc>
          <w:tcPr>
            <w:tcW w:type="dxa" w:w="338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行业因子、数据治理、标准协同与产业组织关系。</w:t>
            </w:r>
          </w:p>
        </w:tc>
      </w:tr>
      <w:tr>
        <w:trPr>
          <w:cantSplit/>
        </w:trPr>
        <w:tc>
          <w:tcPr>
            <w:tcW w:type="dxa" w:w="1512"/>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CBAM实践</w:t>
            </w:r>
          </w:p>
        </w:tc>
        <w:tc>
          <w:tcPr>
            <w:tcW w:type="dxa" w:w="446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2023年起开展培训、报告服务并建设绿色贸易服务平台。</w:t>
            </w:r>
          </w:p>
        </w:tc>
        <w:tc>
          <w:tcPr>
            <w:tcW w:type="dxa" w:w="338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规则转译、业务流程、报告生成、监测计划与核查准备。</w:t>
            </w:r>
          </w:p>
        </w:tc>
      </w:tr>
    </w:tbl>
    <w:p>
      <w:pPr>
        <w:pStyle w:val="Heading2"/>
      </w:pPr>
      <w:r>
        <w:rPr>
          <w:rFonts w:ascii="Calibri" w:hAnsi="Calibri" w:eastAsia="Hiragino Sans GB"/>
          <w:b/>
          <w:color w:val="2E74B5"/>
          <w:sz w:val="26"/>
        </w:rPr>
        <w:t>当前产品成熟度判断</w:t>
      </w:r>
    </w:p>
    <w:p>
      <w:pPr>
        <w:pStyle w:val="ListBullet"/>
        <w:spacing w:after="80" w:line="290" w:lineRule="auto"/>
        <w:ind w:left="540" w:hanging="279"/>
      </w:pPr>
      <w:r>
        <w:rPr>
          <w:rFonts w:ascii="Calibri" w:hAnsi="Calibri" w:eastAsia="Hiragino Sans GB"/>
          <w:color w:val="1F2933"/>
          <w:sz w:val="22"/>
        </w:rPr>
        <w:t>材料显示：出口商驱动流程已覆盖数据填报、上游协同、核算、报告与核查准备；进口商驱动流程的核心前段已通过实际业务流程验证。</w:t>
      </w:r>
    </w:p>
    <w:p>
      <w:pPr>
        <w:pStyle w:val="ListBullet"/>
        <w:spacing w:after="80" w:line="290" w:lineRule="auto"/>
        <w:ind w:left="540" w:hanging="279"/>
      </w:pPr>
      <w:r>
        <w:rPr>
          <w:rFonts w:ascii="Calibri" w:hAnsi="Calibri" w:eastAsia="Hiragino Sans GB"/>
          <w:color w:val="1F2933"/>
          <w:sz w:val="22"/>
        </w:rPr>
        <w:t>平台已呈现AI填报、产品模型、情景模拟等能力，但AI成本、准确率、人工复核率和客户使用频率仍需用运营数据证明。</w:t>
      </w:r>
    </w:p>
    <w:p>
      <w:pPr>
        <w:pStyle w:val="ListBullet"/>
        <w:spacing w:after="0" w:line="290" w:lineRule="auto"/>
        <w:ind w:left="540" w:hanging="279"/>
      </w:pPr>
      <w:r>
        <w:rPr>
          <w:rFonts w:ascii="Calibri" w:hAnsi="Calibri" w:eastAsia="Hiragino Sans GB"/>
          <w:color w:val="1F2933"/>
          <w:sz w:val="22"/>
        </w:rPr>
        <w:t>正式核查必须由符合欧盟要求的独立机构完成；平台提供监测计划、盘查报告、证据包与协作空间，不承诺或控制核查结论。</w:t>
      </w:r>
    </w:p>
    <w:p>
      <w:pPr>
        <w:keepNext/>
        <w:pageBreakBefore/>
        <w:spacing w:before="0" w:after="40" w:line="240" w:lineRule="auto"/>
        <w:jc w:val="left"/>
      </w:pPr>
      <w:r>
        <w:rPr>
          <w:rFonts w:ascii="Calibri" w:hAnsi="Calibri" w:eastAsia="Hiragino Sans GB"/>
          <w:b/>
          <w:i w:val="0"/>
          <w:color w:val="0B5A52"/>
          <w:sz w:val="16"/>
        </w:rPr>
        <w:t>TRACTION EVIDENCE</w:t>
      </w:r>
    </w:p>
    <w:p>
      <w:pPr>
        <w:pStyle w:val="Heading1"/>
      </w:pPr>
      <w:r>
        <w:rPr>
          <w:rFonts w:ascii="Calibri" w:hAnsi="Calibri" w:eastAsia="Hiragino Sans GB"/>
          <w:b/>
          <w:color w:val="2E74B5"/>
          <w:sz w:val="32"/>
        </w:rPr>
        <w:t>项目与客户证明：已有交付基础，但需要从案例升级为可审计收入</w:t>
      </w:r>
    </w:p>
    <w:p>
      <w:pPr>
        <w:spacing w:before="0" w:after="200" w:line="300" w:lineRule="auto"/>
        <w:jc w:val="left"/>
      </w:pPr>
      <w:r>
        <w:rPr>
          <w:rFonts w:ascii="Calibri" w:hAnsi="Calibri" w:eastAsia="Hiragino Sans GB"/>
          <w:b/>
          <w:i w:val="0"/>
          <w:color w:val="0B5A52"/>
          <w:sz w:val="21"/>
        </w:rPr>
        <w:t xml:space="preserve">管理层材料口径  </w:t>
      </w:r>
      <w:r>
        <w:rPr>
          <w:rFonts w:ascii="Calibri" w:hAnsi="Calibri" w:eastAsia="Hiragino Sans GB"/>
          <w:b w:val="0"/>
          <w:i w:val="0"/>
          <w:color w:val="1F2933"/>
          <w:sz w:val="21"/>
        </w:rPr>
        <w:t>累计为300+家企业提供从产品碳足迹核算到CBAM申报准备的解决方案，覆盖钢铁、铝、化肥等领域。投资人应进一步核验其中的付费客户数、收入、复购率、平台活跃度和客户授权。</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512"/>
        <w:gridCol w:w="3024"/>
        <w:gridCol w:w="3168"/>
        <w:gridCol w:w="1656"/>
      </w:tblGrid>
      <w:tr>
        <w:trPr>
          <w:cantSplit/>
          <w:tblHeader w:val="true"/>
          <w:cantSplit/>
        </w:trPr>
        <w:tc>
          <w:tcPr>
            <w:tcW w:type="dxa" w:w="1512"/>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5"/>
              </w:rPr>
              <w:t>案例</w:t>
            </w:r>
          </w:p>
        </w:tc>
        <w:tc>
          <w:tcPr>
            <w:tcW w:type="dxa" w:w="302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5"/>
              </w:rPr>
              <w:t>客户问题</w:t>
            </w:r>
          </w:p>
        </w:tc>
        <w:tc>
          <w:tcPr>
            <w:tcW w:type="dxa" w:w="3168"/>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5"/>
              </w:rPr>
              <w:t>已提供/规划能力</w:t>
            </w:r>
          </w:p>
        </w:tc>
        <w:tc>
          <w:tcPr>
            <w:tcW w:type="dxa" w:w="1656"/>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5"/>
              </w:rPr>
              <w:t>可形成的产品模板</w:t>
            </w:r>
          </w:p>
        </w:tc>
      </w:tr>
      <w:tr>
        <w:trPr>
          <w:cantSplit/>
        </w:trPr>
        <w:tc>
          <w:tcPr>
            <w:tcW w:type="dxa" w:w="1512"/>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青岛张氏集团</w:t>
            </w:r>
          </w:p>
        </w:tc>
        <w:tc>
          <w:tcPr>
            <w:tcW w:type="dxa" w:w="302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兼具进口与出口角色；材料称因CBAM数据未完成导致罗马尼亚清关受阻；多国工厂数据口径不一。</w:t>
            </w:r>
          </w:p>
        </w:tc>
        <w:tc>
          <w:tcPr>
            <w:tcW w:type="dxa" w:w="316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CBAM报告、集团多工厂管理、产品碳足迹、碳成本、零碳园区数据底座与线下辅导。</w:t>
            </w:r>
          </w:p>
        </w:tc>
        <w:tc>
          <w:tcPr>
            <w:tcW w:type="dxa" w:w="1656"/>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进口-出口双角色、跨国多工厂、园区能源数据模板。</w:t>
            </w:r>
          </w:p>
        </w:tc>
      </w:tr>
      <w:tr>
        <w:trPr>
          <w:cantSplit/>
        </w:trPr>
        <w:tc>
          <w:tcPr>
            <w:tcW w:type="dxa" w:w="1512"/>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南山控股集团</w:t>
            </w:r>
          </w:p>
        </w:tc>
        <w:tc>
          <w:tcPr>
            <w:tcW w:type="dxa" w:w="302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多家下属企业面临CBAM；供应商数据缺失；影响年度订单、报价和招标。</w:t>
            </w:r>
          </w:p>
        </w:tc>
        <w:tc>
          <w:tcPr>
            <w:tcW w:type="dxa" w:w="316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产品碳足迹、供应链协同、成本模拟、报告生成与独立核查协作。</w:t>
            </w:r>
          </w:p>
        </w:tc>
        <w:tc>
          <w:tcPr>
            <w:tcW w:type="dxa" w:w="165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集团多法人、供应商任务、采购与招标风险模板。</w:t>
            </w:r>
          </w:p>
        </w:tc>
      </w:tr>
    </w:tbl>
    <w:p>
      <w:pPr>
        <w:pStyle w:val="Heading2"/>
      </w:pPr>
      <w:r>
        <w:rPr>
          <w:rFonts w:ascii="Calibri" w:hAnsi="Calibri" w:eastAsia="Hiragino Sans GB"/>
          <w:b/>
          <w:color w:val="2E74B5"/>
          <w:sz w:val="26"/>
        </w:rPr>
        <w:t>代表性出口企业样本（项目材料列举）</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2088"/>
        <w:gridCol w:w="2592"/>
        <w:gridCol w:w="2088"/>
        <w:gridCol w:w="2592"/>
      </w:tblGrid>
      <w:tr>
        <w:trPr>
          <w:cantSplit/>
          <w:tblHeader w:val="true"/>
          <w:cantSplit/>
        </w:trPr>
        <w:tc>
          <w:tcPr>
            <w:tcW w:type="dxa" w:w="2088"/>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5"/>
              </w:rPr>
              <w:t>企业</w:t>
            </w:r>
          </w:p>
        </w:tc>
        <w:tc>
          <w:tcPr>
            <w:tcW w:type="dxa" w:w="2592"/>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5"/>
              </w:rPr>
              <w:t>主要出口产品</w:t>
            </w:r>
          </w:p>
        </w:tc>
        <w:tc>
          <w:tcPr>
            <w:tcW w:type="dxa" w:w="2088"/>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5"/>
              </w:rPr>
              <w:t>企业</w:t>
            </w:r>
          </w:p>
        </w:tc>
        <w:tc>
          <w:tcPr>
            <w:tcW w:type="dxa" w:w="2592"/>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5"/>
              </w:rPr>
              <w:t>主要出口产品</w:t>
            </w:r>
          </w:p>
        </w:tc>
      </w:tr>
      <w:tr>
        <w:trPr>
          <w:cantSplit/>
        </w:trPr>
        <w:tc>
          <w:tcPr>
            <w:tcW w:type="dxa" w:w="2088"/>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val="0"/>
                <w:color w:val="1F2933"/>
                <w:sz w:val="15"/>
              </w:rPr>
              <w:t>湘投金天新材料</w:t>
            </w:r>
          </w:p>
        </w:tc>
        <w:tc>
          <w:tcPr>
            <w:tcW w:type="dxa" w:w="25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密封钢管、金属材料</w:t>
            </w:r>
          </w:p>
        </w:tc>
        <w:tc>
          <w:tcPr>
            <w:tcW w:type="dxa" w:w="208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南京豪艾克工具</w:t>
            </w:r>
          </w:p>
        </w:tc>
        <w:tc>
          <w:tcPr>
            <w:tcW w:type="dxa" w:w="25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机械设备、五金</w:t>
            </w:r>
          </w:p>
        </w:tc>
      </w:tr>
      <w:tr>
        <w:trPr>
          <w:cantSplit/>
        </w:trPr>
        <w:tc>
          <w:tcPr>
            <w:tcW w:type="dxa" w:w="2088"/>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val="0"/>
                <w:color w:val="1F2933"/>
                <w:sz w:val="15"/>
              </w:rPr>
              <w:t>宁波美威金属制品</w:t>
            </w:r>
          </w:p>
        </w:tc>
        <w:tc>
          <w:tcPr>
            <w:tcW w:type="dxa" w:w="25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家电及制冷设备配件</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青岛宏新天机械</w:t>
            </w:r>
          </w:p>
        </w:tc>
        <w:tc>
          <w:tcPr>
            <w:tcW w:type="dxa" w:w="25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石油钻采设备、机械零件</w:t>
            </w:r>
          </w:p>
        </w:tc>
      </w:tr>
      <w:tr>
        <w:trPr>
          <w:cantSplit/>
        </w:trPr>
        <w:tc>
          <w:tcPr>
            <w:tcW w:type="dxa" w:w="2088"/>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val="0"/>
                <w:color w:val="1F2933"/>
                <w:sz w:val="15"/>
              </w:rPr>
              <w:t>嘉兴华云金属构件</w:t>
            </w:r>
          </w:p>
        </w:tc>
        <w:tc>
          <w:tcPr>
            <w:tcW w:type="dxa" w:w="25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五金冲件、标准件</w:t>
            </w:r>
          </w:p>
        </w:tc>
        <w:tc>
          <w:tcPr>
            <w:tcW w:type="dxa" w:w="208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宁波华虹机械</w:t>
            </w:r>
          </w:p>
        </w:tc>
        <w:tc>
          <w:tcPr>
            <w:tcW w:type="dxa" w:w="25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汽车配件、钢管</w:t>
            </w:r>
          </w:p>
        </w:tc>
      </w:tr>
      <w:tr>
        <w:trPr>
          <w:cantSplit/>
        </w:trPr>
        <w:tc>
          <w:tcPr>
            <w:tcW w:type="dxa" w:w="2088"/>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val="0"/>
                <w:color w:val="1F2933"/>
                <w:sz w:val="15"/>
              </w:rPr>
              <w:t>沧州凯斯特汽车工具</w:t>
            </w:r>
          </w:p>
        </w:tc>
        <w:tc>
          <w:tcPr>
            <w:tcW w:type="dxa" w:w="25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汽车工具与零部件</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余姚枫行轴承</w:t>
            </w:r>
          </w:p>
        </w:tc>
        <w:tc>
          <w:tcPr>
            <w:tcW w:type="dxa" w:w="25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轴承、五金件</w:t>
            </w:r>
          </w:p>
        </w:tc>
      </w:tr>
    </w:tbl>
    <w:p>
      <w:pPr>
        <w:spacing w:before="160" w:after="0" w:line="288" w:lineRule="auto"/>
        <w:jc w:val="left"/>
      </w:pPr>
      <w:r>
        <w:rPr>
          <w:rFonts w:ascii="Calibri" w:hAnsi="Calibri" w:eastAsia="Hiragino Sans GB"/>
          <w:b/>
          <w:i w:val="0"/>
          <w:color w:val="9B1C1C"/>
          <w:sz w:val="19"/>
        </w:rPr>
        <w:t>对外使用边界：客户名称、照片、报告和“通过核查”等表述必须取得书面授权；融资版可列为保密案例线索，但尽调资料室应提供合同、交付物、回款和联系人交叉验证。</w:t>
      </w:r>
    </w:p>
    <w:p>
      <w:pPr>
        <w:keepNext/>
        <w:pageBreakBefore/>
        <w:spacing w:before="0" w:after="40" w:line="240" w:lineRule="auto"/>
        <w:jc w:val="left"/>
      </w:pPr>
      <w:r>
        <w:rPr>
          <w:rFonts w:ascii="Calibri" w:hAnsi="Calibri" w:eastAsia="Hiragino Sans GB"/>
          <w:b/>
          <w:i w:val="0"/>
          <w:color w:val="0B5A52"/>
          <w:sz w:val="16"/>
        </w:rPr>
        <w:t>BUSINESS MODEL</w:t>
      </w:r>
    </w:p>
    <w:p>
      <w:pPr>
        <w:pStyle w:val="Heading1"/>
      </w:pPr>
      <w:r>
        <w:rPr>
          <w:rFonts w:ascii="Calibri" w:hAnsi="Calibri" w:eastAsia="Hiragino Sans GB"/>
          <w:b/>
          <w:color w:val="2E74B5"/>
          <w:sz w:val="32"/>
        </w:rPr>
        <w:t>商业模式：进口商标品免费，出口商持续交付付费，设施与专业服务扩展</w:t>
      </w:r>
    </w:p>
    <w:p>
      <w:pPr>
        <w:spacing w:before="0" w:after="160" w:line="320" w:lineRule="auto"/>
        <w:jc w:val="both"/>
      </w:pPr>
      <w:r>
        <w:rPr>
          <w:rFonts w:ascii="Calibri" w:hAnsi="Calibri" w:eastAsia="Hiragino Sans GB"/>
          <w:b w:val="0"/>
          <w:i w:val="0"/>
          <w:color w:val="1F2933"/>
          <w:sz w:val="22"/>
        </w:rPr>
        <w:t>建议采用需求端免费、供应端付费的双边模型：进口商使用标准产品永久免费，发起真实CBAM项目并邀请供应链；出口商为持续响应、多客户复用、设施协同、证据档案和绿色能力沉淀订阅付费；生产设施与专业服务构成扩展收入。进口商仅在集团治理、ERP/API、托管运营等企业级或非标需求下付费。</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800"/>
        <w:gridCol w:w="1872"/>
        <w:gridCol w:w="4104"/>
        <w:gridCol w:w="1584"/>
      </w:tblGrid>
      <w:tr>
        <w:trPr>
          <w:cantSplit/>
          <w:tblHeader w:val="true"/>
          <w:cantSplit/>
        </w:trPr>
        <w:tc>
          <w:tcPr>
            <w:tcW w:type="dxa" w:w="1800"/>
            <w:tcMar>
              <w:top w:w="55" w:type="dxa"/>
              <w:start w:w="100" w:type="dxa"/>
              <w:bottom w:w="55" w:type="dxa"/>
              <w:end w:w="100" w:type="dxa"/>
            </w:tcMar>
            <w:vAlign w:val="center"/>
            <w:shd w:fill="0B5A52"/>
          </w:tcPr>
          <w:p>
            <w:pPr>
              <w:spacing w:before="0" w:after="0" w:line="240" w:lineRule="auto"/>
              <w:jc w:val="center"/>
            </w:pPr>
            <w:r>
              <w:rPr>
                <w:rFonts w:ascii="Calibri" w:hAnsi="Calibri" w:eastAsia="Hiragino Sans GB"/>
                <w:b/>
                <w:color w:val="1F2933"/>
                <w:sz w:val="15"/>
              </w:rPr>
              <w:t>付费主体 / 产品</w:t>
            </w:r>
          </w:p>
        </w:tc>
        <w:tc>
          <w:tcPr>
            <w:tcW w:type="dxa" w:w="1872"/>
            <w:tcMar>
              <w:top w:w="55" w:type="dxa"/>
              <w:start w:w="100" w:type="dxa"/>
              <w:bottom w:w="55" w:type="dxa"/>
              <w:end w:w="100" w:type="dxa"/>
            </w:tcMar>
            <w:vAlign w:val="center"/>
            <w:shd w:fill="0B5A52"/>
          </w:tcPr>
          <w:p>
            <w:pPr>
              <w:spacing w:before="0" w:after="0" w:line="240" w:lineRule="auto"/>
              <w:jc w:val="center"/>
            </w:pPr>
            <w:r>
              <w:rPr>
                <w:rFonts w:ascii="Calibri" w:hAnsi="Calibri" w:eastAsia="Hiragino Sans GB"/>
                <w:b/>
                <w:color w:val="1F2933"/>
                <w:sz w:val="15"/>
              </w:rPr>
              <w:t>建议定价</w:t>
            </w:r>
          </w:p>
        </w:tc>
        <w:tc>
          <w:tcPr>
            <w:tcW w:type="dxa" w:w="4104"/>
            <w:tcMar>
              <w:top w:w="55" w:type="dxa"/>
              <w:start w:w="100" w:type="dxa"/>
              <w:bottom w:w="55" w:type="dxa"/>
              <w:end w:w="100" w:type="dxa"/>
            </w:tcMar>
            <w:vAlign w:val="center"/>
            <w:shd w:fill="0B5A52"/>
          </w:tcPr>
          <w:p>
            <w:pPr>
              <w:spacing w:before="0" w:after="0" w:line="240" w:lineRule="auto"/>
              <w:jc w:val="center"/>
            </w:pPr>
            <w:r>
              <w:rPr>
                <w:rFonts w:ascii="Calibri" w:hAnsi="Calibri" w:eastAsia="Hiragino Sans GB"/>
                <w:b/>
                <w:color w:val="1F2933"/>
                <w:sz w:val="15"/>
              </w:rPr>
              <w:t>主要权益</w:t>
            </w:r>
          </w:p>
        </w:tc>
        <w:tc>
          <w:tcPr>
            <w:tcW w:type="dxa" w:w="1584"/>
            <w:tcMar>
              <w:top w:w="55" w:type="dxa"/>
              <w:start w:w="100" w:type="dxa"/>
              <w:bottom w:w="55" w:type="dxa"/>
              <w:end w:w="100" w:type="dxa"/>
            </w:tcMar>
            <w:vAlign w:val="center"/>
            <w:shd w:fill="0B5A52"/>
          </w:tcPr>
          <w:p>
            <w:pPr>
              <w:spacing w:before="0" w:after="0" w:line="240" w:lineRule="auto"/>
              <w:jc w:val="center"/>
            </w:pPr>
            <w:r>
              <w:rPr>
                <w:rFonts w:ascii="Calibri" w:hAnsi="Calibri" w:eastAsia="Hiragino Sans GB"/>
                <w:b/>
                <w:color w:val="1F2933"/>
                <w:sz w:val="15"/>
              </w:rPr>
              <w:t>收入属性</w:t>
            </w:r>
          </w:p>
        </w:tc>
      </w:tr>
      <w:tr>
        <w:trPr>
          <w:cantSplit/>
        </w:trPr>
        <w:tc>
          <w:tcPr>
            <w:tcW w:type="dxa" w:w="1800"/>
            <w:shd w:fill="F4F6F9"/>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5"/>
              </w:rPr>
            </w:r>
            <w:r>
              <w:rPr>
                <w:rFonts w:ascii="Calibri" w:hAnsi="Calibri" w:eastAsia="Hiragino Sans GB"/>
                <w:b/>
                <w:color w:val="1F2933"/>
                <w:sz w:val="15"/>
              </w:rPr>
              <w:t>进口商标准版</w:t>
            </w:r>
          </w:p>
        </w:tc>
        <w:tc>
          <w:tcPr>
            <w:tcW w:type="dxa" w:w="1872"/>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r>
            <w:r>
              <w:rPr>
                <w:rFonts w:ascii="Calibri" w:hAnsi="Calibri" w:eastAsia="Hiragino Sans GB"/>
                <w:b w:val="0"/>
                <w:color w:val="1F2933"/>
                <w:sz w:val="15"/>
              </w:rPr>
              <w:t>永久免费 / 标准功能</w:t>
            </w:r>
          </w:p>
        </w:tc>
        <w:tc>
          <w:tcPr>
            <w:tcW w:type="dxa" w:w="4104"/>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r>
            <w:r>
              <w:rPr>
                <w:rFonts w:ascii="Calibri" w:hAnsi="Calibri" w:eastAsia="Hiragino Sans GB"/>
                <w:b w:val="0"/>
                <w:color w:val="1F2933"/>
                <w:sz w:val="15"/>
              </w:rPr>
              <w:t>进口数据上传、供应商管理与邀请、任务催办、基础报告、证书成本基础跟踪、年度标准项目管理</w:t>
            </w:r>
          </w:p>
        </w:tc>
        <w:tc>
          <w:tcPr>
            <w:tcW w:type="dxa" w:w="1584"/>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r>
            <w:r>
              <w:rPr>
                <w:rFonts w:ascii="Calibri" w:hAnsi="Calibri" w:eastAsia="Hiragino Sans GB"/>
                <w:b w:val="0"/>
                <w:color w:val="1F2933"/>
                <w:sz w:val="15"/>
              </w:rPr>
              <w:t>需求入口 / 不计订阅收入</w:t>
            </w:r>
          </w:p>
        </w:tc>
      </w:tr>
      <w:tr>
        <w:trPr>
          <w:cantSplit/>
        </w:trPr>
        <w:tc>
          <w:tcPr>
            <w:tcW w:type="dxa" w:w="1800"/>
            <w:shd w:fill="FFFFFF"/>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5"/>
              </w:rPr>
            </w:r>
            <w:r>
              <w:rPr>
                <w:rFonts w:ascii="Calibri" w:hAnsi="Calibri" w:eastAsia="Hiragino Sans GB"/>
                <w:b/>
                <w:color w:val="1F2933"/>
                <w:sz w:val="15"/>
              </w:rPr>
              <w:t>进口商额外服务包（可选）</w:t>
            </w:r>
          </w:p>
        </w:tc>
        <w:tc>
          <w:tcPr>
            <w:tcW w:type="dxa" w:w="1872"/>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r>
            <w:r>
              <w:rPr>
                <w:rFonts w:ascii="Calibri" w:hAnsi="Calibri" w:eastAsia="Hiragino Sans GB"/>
                <w:b w:val="0"/>
                <w:color w:val="1F2933"/>
                <w:sz w:val="15"/>
              </w:rPr>
              <w:t>€3,000-€25,000/项目或年</w:t>
            </w:r>
          </w:p>
        </w:tc>
        <w:tc>
          <w:tcPr>
            <w:tcW w:type="dxa" w:w="410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r>
            <w:r>
              <w:rPr>
                <w:rFonts w:ascii="Calibri" w:hAnsi="Calibri" w:eastAsia="Hiragino Sans GB"/>
                <w:b w:val="0"/>
                <w:color w:val="1F2933"/>
                <w:sz w:val="15"/>
              </w:rPr>
              <w:t>集团治理、托管运营、供应商激活、复杂数据治理、碳成本与采购分析</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r>
            <w:r>
              <w:rPr>
                <w:rFonts w:ascii="Calibri" w:hAnsi="Calibri" w:eastAsia="Hiragino Sans GB"/>
                <w:b w:val="0"/>
                <w:color w:val="1F2933"/>
                <w:sz w:val="15"/>
              </w:rPr>
              <w:t>项目或经常性增值收入</w:t>
            </w:r>
          </w:p>
        </w:tc>
      </w:tr>
      <w:tr>
        <w:trPr>
          <w:cantSplit/>
        </w:trPr>
        <w:tc>
          <w:tcPr>
            <w:tcW w:type="dxa" w:w="1800"/>
            <w:shd w:fill="F4F6F9"/>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5"/>
              </w:rPr>
            </w:r>
            <w:r>
              <w:rPr>
                <w:rFonts w:ascii="Calibri" w:hAnsi="Calibri" w:eastAsia="Hiragino Sans GB"/>
                <w:b/>
                <w:color w:val="1F2933"/>
                <w:sz w:val="15"/>
              </w:rPr>
              <w:t>进口商企业集成包（可选）</w:t>
            </w:r>
          </w:p>
        </w:tc>
        <w:tc>
          <w:tcPr>
            <w:tcW w:type="dxa" w:w="1872"/>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r>
            <w:r>
              <w:rPr>
                <w:rFonts w:ascii="Calibri" w:hAnsi="Calibri" w:eastAsia="Hiragino Sans GB"/>
                <w:b w:val="0"/>
                <w:color w:val="1F2933"/>
                <w:sz w:val="15"/>
              </w:rPr>
              <w:t>€15,000-€50,000/年</w:t>
            </w:r>
          </w:p>
        </w:tc>
        <w:tc>
          <w:tcPr>
            <w:tcW w:type="dxa" w:w="4104"/>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r>
            <w:r>
              <w:rPr>
                <w:rFonts w:ascii="Calibri" w:hAnsi="Calibri" w:eastAsia="Hiragino Sans GB"/>
                <w:b w:val="0"/>
                <w:color w:val="1F2933"/>
                <w:sz w:val="15"/>
              </w:rPr>
              <w:t>ERP/API、SSO、权限、安全、专属门户、经营分析与SLA</w:t>
            </w:r>
          </w:p>
        </w:tc>
        <w:tc>
          <w:tcPr>
            <w:tcW w:type="dxa" w:w="1584"/>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r>
            <w:r>
              <w:rPr>
                <w:rFonts w:ascii="Calibri" w:hAnsi="Calibri" w:eastAsia="Hiragino Sans GB"/>
                <w:b w:val="0"/>
                <w:color w:val="1F2933"/>
                <w:sz w:val="15"/>
              </w:rPr>
              <w:t>高ARPA订阅</w:t>
            </w:r>
          </w:p>
        </w:tc>
      </w:tr>
      <w:tr>
        <w:trPr>
          <w:cantSplit/>
        </w:trPr>
        <w:tc>
          <w:tcPr>
            <w:tcW w:type="dxa" w:w="1800"/>
            <w:shd w:fill="FFFFFF"/>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5"/>
              </w:rPr>
              <w:t>出口商专业版</w:t>
            </w:r>
          </w:p>
        </w:tc>
        <w:tc>
          <w:tcPr>
            <w:tcW w:type="dxa" w:w="1872"/>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t>约€780/年（人民币6,000元）</w:t>
            </w:r>
          </w:p>
        </w:tc>
        <w:tc>
          <w:tcPr>
            <w:tcW w:type="dxa" w:w="410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t>多客户响应、多设施协同、数据复用、交付档案</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t>规模化订阅</w:t>
            </w:r>
          </w:p>
        </w:tc>
      </w:tr>
      <w:tr>
        <w:trPr>
          <w:cantSplit/>
        </w:trPr>
        <w:tc>
          <w:tcPr>
            <w:tcW w:type="dxa" w:w="1800"/>
            <w:shd w:fill="F4F6F9"/>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5"/>
              </w:rPr>
              <w:t>设施数据版</w:t>
            </w:r>
          </w:p>
        </w:tc>
        <w:tc>
          <w:tcPr>
            <w:tcW w:type="dxa" w:w="1872"/>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t>€1,200-€3,000/年</w:t>
            </w:r>
          </w:p>
        </w:tc>
        <w:tc>
          <w:tcPr>
            <w:tcW w:type="dxa" w:w="4104"/>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t>监测、计算、证据、版本与授权复用</w:t>
            </w:r>
          </w:p>
        </w:tc>
        <w:tc>
          <w:tcPr>
            <w:tcW w:type="dxa" w:w="1584"/>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t>第二增长曲线</w:t>
            </w:r>
          </w:p>
        </w:tc>
      </w:tr>
      <w:tr>
        <w:trPr>
          <w:cantSplit/>
        </w:trPr>
        <w:tc>
          <w:tcPr>
            <w:tcW w:type="dxa" w:w="1800"/>
            <w:shd w:fill="FFFFFF"/>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5"/>
              </w:rPr>
              <w:t>实施与专业服务</w:t>
            </w:r>
          </w:p>
        </w:tc>
        <w:tc>
          <w:tcPr>
            <w:tcW w:type="dxa" w:w="1872"/>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t>€5,000-€50,000/项目</w:t>
            </w:r>
          </w:p>
        </w:tc>
        <w:tc>
          <w:tcPr>
            <w:tcW w:type="dxa" w:w="410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t>系统接入、年度运营、培训、核查准备</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5"/>
              </w:rPr>
              <w:t>现金流 + 生态分润</w:t>
            </w:r>
          </w:p>
        </w:tc>
      </w:tr>
    </w:tbl>
    <w:p>
      <w:pPr>
        <w:pStyle w:val="Heading2"/>
      </w:pPr>
      <w:r>
        <w:rPr>
          <w:rFonts w:ascii="Calibri" w:hAnsi="Calibri" w:eastAsia="Hiragino Sans GB"/>
          <w:b/>
          <w:color w:val="2E74B5"/>
          <w:sz w:val="26"/>
        </w:rPr>
        <w:t>收入结构演进</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340"/>
        <w:gridCol w:w="2340"/>
        <w:gridCol w:w="2340"/>
        <w:gridCol w:w="2340"/>
      </w:tblGrid>
      <w:tr>
        <w:trPr>
          <w:cantSplit/>
        </w:trPr>
        <w:tc>
          <w:tcPr>
            <w:tcW w:type="dxa" w:w="2340"/>
            <w:tcMar>
              <w:top w:w="150" w:type="dxa"/>
              <w:start w:w="100" w:type="dxa"/>
              <w:bottom w:w="150" w:type="dxa"/>
              <w:end w:w="100" w:type="dxa"/>
            </w:tcMar>
            <w:vAlign w:val="center"/>
            <w:shd w:fill="073F3A"/>
          </w:tcPr>
          <w:p>
            <w:pPr>
              <w:spacing w:before="0" w:after="40" w:line="240" w:lineRule="auto"/>
              <w:jc w:val="center"/>
            </w:pPr>
            <w:r>
              <w:rPr>
                <w:rFonts w:ascii="Calibri" w:hAnsi="Calibri" w:eastAsia="Hiragino Sans GB"/>
                <w:b/>
                <w:color w:val="FFFFFF"/>
                <w:sz w:val="32"/>
              </w:rPr>
              <w:t>Y1 69%</w:t>
            </w:r>
          </w:p>
          <w:p>
            <w:pPr>
              <w:spacing w:before="0" w:after="0" w:line="252" w:lineRule="auto"/>
              <w:jc w:val="center"/>
            </w:pPr>
            <w:r>
              <w:rPr>
                <w:rFonts w:ascii="Calibri" w:hAnsi="Calibri" w:eastAsia="Hiragino Sans GB"/>
                <w:color w:val="FFFFFF"/>
                <w:sz w:val="15"/>
              </w:rPr>
              <w:t>订阅/数据收入占比</w:t>
            </w:r>
          </w:p>
        </w:tc>
        <w:tc>
          <w:tcPr>
            <w:tcW w:type="dxa" w:w="2340"/>
            <w:tcMar>
              <w:top w:w="150" w:type="dxa"/>
              <w:start w:w="100" w:type="dxa"/>
              <w:bottom w:w="150" w:type="dxa"/>
              <w:end w:w="100" w:type="dxa"/>
            </w:tcMar>
            <w:vAlign w:val="center"/>
            <w:shd w:fill="0B5A52"/>
          </w:tcPr>
          <w:p>
            <w:pPr>
              <w:spacing w:before="0" w:after="40" w:line="240" w:lineRule="auto"/>
              <w:jc w:val="center"/>
            </w:pPr>
            <w:r>
              <w:rPr>
                <w:rFonts w:ascii="Calibri" w:hAnsi="Calibri" w:eastAsia="Hiragino Sans GB"/>
                <w:b/>
                <w:color w:val="FFFFFF"/>
                <w:sz w:val="32"/>
              </w:rPr>
              <w:t>Y2 75%</w:t>
            </w:r>
          </w:p>
          <w:p>
            <w:pPr>
              <w:spacing w:before="0" w:after="0" w:line="252" w:lineRule="auto"/>
              <w:jc w:val="center"/>
            </w:pPr>
            <w:r>
              <w:rPr>
                <w:rFonts w:ascii="Calibri" w:hAnsi="Calibri" w:eastAsia="Hiragino Sans GB"/>
                <w:color w:val="FFFFFF"/>
                <w:sz w:val="15"/>
              </w:rPr>
              <w:t>订阅/数据收入占比</w:t>
            </w:r>
          </w:p>
        </w:tc>
        <w:tc>
          <w:tcPr>
            <w:tcW w:type="dxa" w:w="2340"/>
            <w:tcMar>
              <w:top w:w="150" w:type="dxa"/>
              <w:start w:w="100" w:type="dxa"/>
              <w:bottom w:w="150" w:type="dxa"/>
              <w:end w:w="100" w:type="dxa"/>
            </w:tcMar>
            <w:vAlign w:val="center"/>
            <w:shd w:fill="073F3A"/>
          </w:tcPr>
          <w:p>
            <w:pPr>
              <w:spacing w:before="0" w:after="40" w:line="240" w:lineRule="auto"/>
              <w:jc w:val="center"/>
            </w:pPr>
            <w:r>
              <w:rPr>
                <w:rFonts w:ascii="Calibri" w:hAnsi="Calibri" w:eastAsia="Hiragino Sans GB"/>
                <w:b/>
                <w:color w:val="FFFFFF"/>
                <w:sz w:val="32"/>
              </w:rPr>
              <w:t>Y3 79%</w:t>
            </w:r>
          </w:p>
          <w:p>
            <w:pPr>
              <w:spacing w:before="0" w:after="0" w:line="252" w:lineRule="auto"/>
              <w:jc w:val="center"/>
            </w:pPr>
            <w:r>
              <w:rPr>
                <w:rFonts w:ascii="Calibri" w:hAnsi="Calibri" w:eastAsia="Hiragino Sans GB"/>
                <w:color w:val="FFFFFF"/>
                <w:sz w:val="15"/>
              </w:rPr>
              <w:t>订阅/数据收入占比</w:t>
            </w:r>
          </w:p>
        </w:tc>
        <w:tc>
          <w:tcPr>
            <w:tcW w:type="dxa" w:w="2340"/>
            <w:tcMar>
              <w:top w:w="150" w:type="dxa"/>
              <w:start w:w="100" w:type="dxa"/>
              <w:bottom w:w="150" w:type="dxa"/>
              <w:end w:w="100" w:type="dxa"/>
            </w:tcMar>
            <w:vAlign w:val="center"/>
            <w:shd w:fill="0B5A52"/>
          </w:tcPr>
          <w:p>
            <w:pPr>
              <w:spacing w:before="0" w:after="40" w:line="240" w:lineRule="auto"/>
              <w:jc w:val="center"/>
            </w:pPr>
            <w:r>
              <w:rPr>
                <w:rFonts w:ascii="Calibri" w:hAnsi="Calibri" w:eastAsia="Hiragino Sans GB"/>
                <w:b/>
                <w:color w:val="FFFFFF"/>
                <w:sz w:val="32"/>
              </w:rPr>
              <w:t>&gt;65%</w:t>
            </w:r>
          </w:p>
          <w:p>
            <w:pPr>
              <w:spacing w:before="0" w:after="0" w:line="252" w:lineRule="auto"/>
              <w:jc w:val="center"/>
            </w:pPr>
            <w:r>
              <w:rPr>
                <w:rFonts w:ascii="Calibri" w:hAnsi="Calibri" w:eastAsia="Hiragino Sans GB"/>
                <w:color w:val="FFFFFF"/>
                <w:sz w:val="15"/>
              </w:rPr>
              <w:t>成熟期目标毛利率</w:t>
            </w:r>
          </w:p>
        </w:tc>
      </w:tr>
    </w:tbl>
    <w:p>
      <w:pPr>
        <w:spacing w:before="0" w:after="80" w:line="240" w:lineRule="auto"/>
        <w:jc w:val="both"/>
      </w:pPr>
      <w:r>
        <w:rPr>
          <w:rFonts w:ascii="Calibri" w:hAnsi="Calibri" w:eastAsia="Hiragino Sans GB"/>
          <w:b w:val="0"/>
          <w:i w:val="0"/>
          <w:color w:val="1F2933"/>
          <w:sz w:val="2"/>
        </w:rPr>
      </w:r>
    </w:p>
    <w:p>
      <w:pPr>
        <w:pStyle w:val="ListBullet"/>
        <w:spacing w:after="80" w:line="290" w:lineRule="auto"/>
        <w:ind w:left="540" w:hanging="279"/>
      </w:pPr>
      <w:r>
        <w:rPr>
          <w:rFonts w:ascii="Calibri" w:hAnsi="Calibri" w:eastAsia="Hiragino Sans GB"/>
          <w:color w:val="1F2933"/>
          <w:sz w:val="22"/>
        </w:rPr>
        <w:t>避免将免费版做成无限交付：应限制数据深度、导出、系统集成与高级经营分析。</w:t>
      </w:r>
    </w:p>
    <w:p>
      <w:pPr>
        <w:pStyle w:val="ListBullet"/>
        <w:spacing w:after="80" w:line="290" w:lineRule="auto"/>
        <w:ind w:left="540" w:hanging="279"/>
      </w:pPr>
      <w:r>
        <w:rPr>
          <w:rFonts w:ascii="Calibri" w:hAnsi="Calibri" w:eastAsia="Hiragino Sans GB"/>
          <w:color w:val="1F2933"/>
          <w:sz w:val="22"/>
        </w:rPr>
        <w:t>核查必须保持独立；平台可提供协同与准备服务，不应把核查结论与平台收费捆绑。</w:t>
      </w:r>
    </w:p>
    <w:p>
      <w:pPr>
        <w:pStyle w:val="ListBullet"/>
        <w:spacing w:after="80" w:line="290" w:lineRule="auto"/>
        <w:ind w:left="540" w:hanging="279"/>
      </w:pPr>
      <w:r>
        <w:rPr>
          <w:rFonts w:ascii="Calibri" w:hAnsi="Calibri" w:eastAsia="Hiragino Sans GB"/>
          <w:color w:val="1F2933"/>
          <w:sz w:val="22"/>
        </w:rPr>
        <w:t>以免费进口商项目激活供应链；出口商从项目响应转为年度订阅，持续交付和数据复用形成核心收入。</w:t>
      </w:r>
    </w:p>
    <w:p>
      <w:pPr>
        <w:keepNext/>
        <w:pageBreakBefore/>
        <w:spacing w:before="0" w:after="40" w:line="240" w:lineRule="auto"/>
        <w:jc w:val="left"/>
      </w:pPr>
      <w:r>
        <w:rPr>
          <w:rFonts w:ascii="Calibri" w:hAnsi="Calibri" w:eastAsia="Hiragino Sans GB"/>
          <w:b/>
          <w:i w:val="0"/>
          <w:color w:val="0B5A52"/>
          <w:sz w:val="16"/>
        </w:rPr>
        <w:t>IMPORTER MONETIZATION</w:t>
      </w:r>
    </w:p>
    <w:p>
      <w:pPr>
        <w:pStyle w:val="Heading1"/>
      </w:pPr>
      <w:r>
        <w:rPr>
          <w:rFonts w:ascii="Calibri" w:hAnsi="Calibri" w:eastAsia="Hiragino Sans GB"/>
          <w:b/>
          <w:color w:val="2E74B5"/>
          <w:sz w:val="32"/>
        </w:rPr>
        <w:t>进口商收费边界：标准产品永久免费，额外价值单独收费</w:t>
      </w:r>
    </w:p>
    <w:p>
      <w:pPr>
        <w:spacing w:before="0" w:after="200" w:line="307" w:lineRule="auto"/>
        <w:jc w:val="left"/>
      </w:pPr>
      <w:r>
        <w:rPr>
          <w:rFonts w:ascii="Calibri" w:hAnsi="Calibri" w:eastAsia="Hiragino Sans GB"/>
          <w:b/>
          <w:i w:val="0"/>
          <w:color w:val="073F3A"/>
          <w:sz w:val="22"/>
        </w:rPr>
        <w:t>进口商标准产品永久免费，但免费不等于无限人工服务。进口数据上传、供应商管理与邀请、任务催办、基础报告、证书成本基础跟踪和年度标准项目管理保持永久免费；只对集成、托管、集团治理、深度分析和非标交付收费。</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944"/>
        <w:gridCol w:w="3456"/>
        <w:gridCol w:w="1944"/>
        <w:gridCol w:w="2016"/>
      </w:tblGrid>
      <w:tr>
        <w:trPr>
          <w:cantSplit/>
          <w:tblHeader w:val="true"/>
          <w:cantSplit/>
        </w:trPr>
        <w:tc>
          <w:tcPr>
            <w:tcW w:type="dxa" w:w="194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4"/>
              </w:rPr>
              <w:t>可选收费项目</w:t>
            </w:r>
          </w:p>
        </w:tc>
        <w:tc>
          <w:tcPr>
            <w:tcW w:type="dxa" w:w="3456"/>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4"/>
              </w:rPr>
              <w:t>典型交付</w:t>
            </w:r>
          </w:p>
        </w:tc>
        <w:tc>
          <w:tcPr>
            <w:tcW w:type="dxa" w:w="194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4"/>
              </w:rPr>
              <w:t>建议价格区间</w:t>
            </w:r>
          </w:p>
        </w:tc>
        <w:tc>
          <w:tcPr>
            <w:tcW w:type="dxa" w:w="2016"/>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4"/>
              </w:rPr>
              <w:t>收费方式 / 毛利特征</w:t>
            </w:r>
          </w:p>
        </w:tc>
      </w:tr>
      <w:tr>
        <w:trPr>
          <w:cantSplit/>
        </w:trPr>
        <w:tc>
          <w:tcPr>
            <w:tcW w:type="dxa" w:w="194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集团/多法人治理</w:t>
            </w:r>
          </w:p>
        </w:tc>
        <w:tc>
          <w:tcPr>
            <w:tcW w:type="dxa" w:w="345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多法人、多国家、多角色审批、集团看板、数据权限与SLA</w:t>
            </w:r>
          </w:p>
        </w:tc>
        <w:tc>
          <w:tcPr>
            <w:tcW w:type="dxa" w:w="194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€8k-€25k/年</w:t>
            </w:r>
          </w:p>
        </w:tc>
        <w:tc>
          <w:tcPr>
            <w:tcW w:type="dxa" w:w="201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年度订阅；高毛利</w:t>
            </w:r>
          </w:p>
        </w:tc>
      </w:tr>
      <w:tr>
        <w:trPr>
          <w:cantSplit/>
        </w:trPr>
        <w:tc>
          <w:tcPr>
            <w:tcW w:type="dxa" w:w="194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ERP/海关/API集成</w:t>
            </w:r>
          </w:p>
        </w:tc>
        <w:tc>
          <w:tcPr>
            <w:tcW w:type="dxa" w:w="345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SAP/ERP、报关、采购、主数据与单点登录连接</w:t>
            </w:r>
          </w:p>
        </w:tc>
        <w:tc>
          <w:tcPr>
            <w:tcW w:type="dxa" w:w="194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€10k-€40k实施 + €3k-€15k/年</w:t>
            </w:r>
          </w:p>
        </w:tc>
        <w:tc>
          <w:tcPr>
            <w:tcW w:type="dxa" w:w="201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实施+维护；首年中毛利</w:t>
            </w:r>
          </w:p>
        </w:tc>
      </w:tr>
      <w:tr>
        <w:trPr>
          <w:cantSplit/>
        </w:trPr>
        <w:tc>
          <w:tcPr>
            <w:tcW w:type="dxa" w:w="194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年度托管运营</w:t>
            </w:r>
          </w:p>
        </w:tc>
        <w:tc>
          <w:tcPr>
            <w:tcW w:type="dxa" w:w="345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月度数据检查、供应商催办、问题清单、申报准备项目管理</w:t>
            </w:r>
          </w:p>
        </w:tc>
        <w:tc>
          <w:tcPr>
            <w:tcW w:type="dxa" w:w="194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€12k-€50k/年</w:t>
            </w:r>
          </w:p>
        </w:tc>
        <w:tc>
          <w:tcPr>
            <w:tcW w:type="dxa" w:w="201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服务订阅；中毛利</w:t>
            </w:r>
          </w:p>
        </w:tc>
      </w:tr>
      <w:tr>
        <w:trPr>
          <w:cantSplit/>
        </w:trPr>
        <w:tc>
          <w:tcPr>
            <w:tcW w:type="dxa" w:w="194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供应商激活与数据治理</w:t>
            </w:r>
          </w:p>
        </w:tc>
        <w:tc>
          <w:tcPr>
            <w:tcW w:type="dxa" w:w="345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供应商培训、分层催办、复杂数据清洗、证据缺口整改</w:t>
            </w:r>
          </w:p>
        </w:tc>
        <w:tc>
          <w:tcPr>
            <w:tcW w:type="dxa" w:w="194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€3k-€15k/批次</w:t>
            </w:r>
          </w:p>
        </w:tc>
        <w:tc>
          <w:tcPr>
            <w:tcW w:type="dxa" w:w="201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项目制；需模板化</w:t>
            </w:r>
          </w:p>
        </w:tc>
      </w:tr>
      <w:tr>
        <w:trPr>
          <w:cantSplit/>
        </w:trPr>
        <w:tc>
          <w:tcPr>
            <w:tcW w:type="dxa" w:w="194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碳成本与采购优化</w:t>
            </w:r>
          </w:p>
        </w:tc>
        <w:tc>
          <w:tcPr>
            <w:tcW w:type="dxa" w:w="345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碳价情景、默认/实际值比较、供应商和材料组合模拟</w:t>
            </w:r>
          </w:p>
        </w:tc>
        <w:tc>
          <w:tcPr>
            <w:tcW w:type="dxa" w:w="194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€5k-€20k/项目或€8k-€30k/年</w:t>
            </w:r>
          </w:p>
        </w:tc>
        <w:tc>
          <w:tcPr>
            <w:tcW w:type="dxa" w:w="201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分析订阅；中高毛利</w:t>
            </w:r>
          </w:p>
        </w:tc>
      </w:tr>
      <w:tr>
        <w:trPr>
          <w:cantSplit/>
        </w:trPr>
        <w:tc>
          <w:tcPr>
            <w:tcW w:type="dxa" w:w="194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核查准备包</w:t>
            </w:r>
          </w:p>
        </w:tc>
        <w:tc>
          <w:tcPr>
            <w:tcW w:type="dxa" w:w="345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监测计划、盘查报告、证据索引、预核查问题整改</w:t>
            </w:r>
          </w:p>
        </w:tc>
        <w:tc>
          <w:tcPr>
            <w:tcW w:type="dxa" w:w="194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€5k-€20k/设施</w:t>
            </w:r>
          </w:p>
        </w:tc>
        <w:tc>
          <w:tcPr>
            <w:tcW w:type="dxa" w:w="201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项目制；正式核查另付伙伴</w:t>
            </w:r>
          </w:p>
        </w:tc>
      </w:tr>
      <w:tr>
        <w:trPr>
          <w:cantSplit/>
        </w:trPr>
        <w:tc>
          <w:tcPr>
            <w:tcW w:type="dxa" w:w="194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培训与管理层工作坊</w:t>
            </w:r>
          </w:p>
        </w:tc>
        <w:tc>
          <w:tcPr>
            <w:tcW w:type="dxa" w:w="345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法规、业务流程、采购策略和跨部门桌面演练</w:t>
            </w:r>
          </w:p>
        </w:tc>
        <w:tc>
          <w:tcPr>
            <w:tcW w:type="dxa" w:w="194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€2k-€8k/场</w:t>
            </w:r>
          </w:p>
        </w:tc>
        <w:tc>
          <w:tcPr>
            <w:tcW w:type="dxa" w:w="201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高现金转化；标准内容高毛利</w:t>
            </w:r>
          </w:p>
        </w:tc>
      </w:tr>
      <w:tr>
        <w:trPr>
          <w:cantSplit/>
        </w:trPr>
        <w:tc>
          <w:tcPr>
            <w:tcW w:type="dxa" w:w="194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专属门户/白标/SLA</w:t>
            </w:r>
          </w:p>
        </w:tc>
        <w:tc>
          <w:tcPr>
            <w:tcW w:type="dxa" w:w="345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品牌门户、专属环境、定制报表、服务台和优先支持</w:t>
            </w:r>
          </w:p>
        </w:tc>
        <w:tc>
          <w:tcPr>
            <w:tcW w:type="dxa" w:w="194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€10k-€50k/年</w:t>
            </w:r>
          </w:p>
        </w:tc>
        <w:tc>
          <w:tcPr>
            <w:tcW w:type="dxa" w:w="201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企业合同；高ARPA</w:t>
            </w:r>
          </w:p>
        </w:tc>
      </w:tr>
    </w:tbl>
    <w:p>
      <w:pPr>
        <w:spacing w:before="160" w:after="0" w:line="283" w:lineRule="auto"/>
        <w:jc w:val="left"/>
      </w:pPr>
      <w:r>
        <w:rPr>
          <w:rFonts w:ascii="Calibri" w:hAnsi="Calibri" w:eastAsia="Hiragino Sans GB"/>
          <w:b w:val="0"/>
          <w:i/>
          <w:color w:val="5B6670"/>
          <w:sz w:val="18"/>
        </w:rPr>
        <w:t>价格均为融资测算假设，不是现行公开报价。正式报价应按进口主体数、供应商数、设施数、数据复杂度、集成范围和SLA校准；第三方核查、法律与海关服务由合格伙伴独立签约和收费。</w:t>
      </w:r>
    </w:p>
    <w:p>
      <w:pPr>
        <w:keepNext/>
        <w:pageBreakBefore/>
        <w:spacing w:before="0" w:after="40" w:line="240" w:lineRule="auto"/>
        <w:jc w:val="left"/>
      </w:pPr>
      <w:r>
        <w:rPr>
          <w:rFonts w:ascii="Calibri" w:hAnsi="Calibri" w:eastAsia="Hiragino Sans GB"/>
          <w:b/>
          <w:i w:val="0"/>
          <w:color w:val="0B5A52"/>
          <w:sz w:val="16"/>
        </w:rPr>
        <w:t>SERVICE EXPANSION</w:t>
      </w:r>
    </w:p>
    <w:p>
      <w:pPr>
        <w:pStyle w:val="Heading1"/>
      </w:pPr>
      <w:r>
        <w:rPr>
          <w:rFonts w:ascii="Calibri" w:hAnsi="Calibri" w:eastAsia="Hiragino Sans GB"/>
          <w:b/>
          <w:color w:val="2E74B5"/>
          <w:sz w:val="32"/>
        </w:rPr>
        <w:t>增值收入测算与平台衍生服务路线</w:t>
      </w:r>
    </w:p>
    <w:p>
      <w:pPr>
        <w:pStyle w:val="Heading2"/>
      </w:pPr>
      <w:r>
        <w:rPr>
          <w:rFonts w:ascii="Calibri" w:hAnsi="Calibri" w:eastAsia="Hiragino Sans GB"/>
          <w:b/>
          <w:color w:val="2E74B5"/>
          <w:sz w:val="26"/>
        </w:rPr>
        <w:t>进口商额外服务收入桥梁（已包含在三年基准收入中）</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2376"/>
        <w:gridCol w:w="1008"/>
        <w:gridCol w:w="1008"/>
        <w:gridCol w:w="1008"/>
        <w:gridCol w:w="3960"/>
      </w:tblGrid>
      <w:tr>
        <w:trPr>
          <w:cantSplit/>
          <w:tblHeader w:val="true"/>
          <w:cantSplit/>
        </w:trPr>
        <w:tc>
          <w:tcPr>
            <w:tcW w:type="dxa" w:w="2376"/>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5"/>
              </w:rPr>
              <w:t>指标</w:t>
            </w:r>
          </w:p>
        </w:tc>
        <w:tc>
          <w:tcPr>
            <w:tcW w:type="dxa" w:w="1008"/>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5"/>
              </w:rPr>
              <w:t>Y1</w:t>
            </w:r>
          </w:p>
        </w:tc>
        <w:tc>
          <w:tcPr>
            <w:tcW w:type="dxa" w:w="1008"/>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5"/>
              </w:rPr>
              <w:t>Y2</w:t>
            </w:r>
          </w:p>
        </w:tc>
        <w:tc>
          <w:tcPr>
            <w:tcW w:type="dxa" w:w="1008"/>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5"/>
              </w:rPr>
              <w:t>Y3</w:t>
            </w:r>
          </w:p>
        </w:tc>
        <w:tc>
          <w:tcPr>
            <w:tcW w:type="dxa" w:w="3960"/>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5"/>
              </w:rPr>
              <w:t>解释</w:t>
            </w:r>
          </w:p>
        </w:tc>
      </w:tr>
      <w:tr>
        <w:trPr>
          <w:cantSplit/>
        </w:trPr>
        <w:tc>
          <w:tcPr>
            <w:tcW w:type="dxa" w:w="237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活跃进口商</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20</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70</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180</w:t>
            </w:r>
          </w:p>
        </w:tc>
        <w:tc>
          <w:tcPr>
            <w:tcW w:type="dxa" w:w="396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标准产品永久免费</w:t>
            </w:r>
          </w:p>
        </w:tc>
      </w:tr>
      <w:tr>
        <w:trPr>
          <w:cantSplit/>
        </w:trPr>
        <w:tc>
          <w:tcPr>
            <w:tcW w:type="dxa" w:w="237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购买额外服务的进口商</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6</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20</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45</w:t>
            </w:r>
          </w:p>
        </w:tc>
        <w:tc>
          <w:tcPr>
            <w:tcW w:type="dxa" w:w="396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转化率约30% / 29% / 25%</w:t>
            </w:r>
          </w:p>
        </w:tc>
      </w:tr>
      <w:tr>
        <w:trPr>
          <w:cantSplit/>
        </w:trPr>
        <w:tc>
          <w:tcPr>
            <w:tcW w:type="dxa" w:w="237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单家额外服务年收入</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€12k</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€15k</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€18k</w:t>
            </w:r>
          </w:p>
        </w:tc>
        <w:tc>
          <w:tcPr>
            <w:tcW w:type="dxa" w:w="396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集团治理、托管、集成和分析混合</w:t>
            </w:r>
          </w:p>
        </w:tc>
      </w:tr>
      <w:tr>
        <w:trPr>
          <w:cantSplit/>
        </w:trPr>
        <w:tc>
          <w:tcPr>
            <w:tcW w:type="dxa" w:w="237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进口商额外服务收入</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€0.07m</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€0.30m</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€0.81m</w:t>
            </w:r>
          </w:p>
        </w:tc>
        <w:tc>
          <w:tcPr>
            <w:tcW w:type="dxa" w:w="396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不把免费标准版计为订阅收入</w:t>
            </w:r>
          </w:p>
        </w:tc>
      </w:tr>
      <w:tr>
        <w:trPr>
          <w:cantSplit/>
        </w:trPr>
        <w:tc>
          <w:tcPr>
            <w:tcW w:type="dxa" w:w="237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占总收入比例</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13%</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17%</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18%</w:t>
            </w:r>
          </w:p>
        </w:tc>
        <w:tc>
          <w:tcPr>
            <w:tcW w:type="dxa" w:w="396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与出口商/设施订阅收入分开计量</w:t>
            </w:r>
          </w:p>
        </w:tc>
      </w:tr>
    </w:tbl>
    <w:p>
      <w:pPr>
        <w:pStyle w:val="Heading2"/>
      </w:pPr>
      <w:r>
        <w:rPr>
          <w:rFonts w:ascii="Calibri" w:hAnsi="Calibri" w:eastAsia="Hiragino Sans GB"/>
          <w:b/>
          <w:color w:val="2E74B5"/>
          <w:sz w:val="26"/>
        </w:rPr>
        <w:t>可衍生的平台服务</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800"/>
        <w:gridCol w:w="1656"/>
        <w:gridCol w:w="2376"/>
        <w:gridCol w:w="2592"/>
        <w:gridCol w:w="936"/>
      </w:tblGrid>
      <w:tr>
        <w:trPr>
          <w:cantSplit/>
          <w:tblHeader w:val="true"/>
          <w:cantSplit/>
        </w:trPr>
        <w:tc>
          <w:tcPr>
            <w:tcW w:type="dxa" w:w="1800"/>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3"/>
              </w:rPr>
              <w:t>服务方向</w:t>
            </w:r>
          </w:p>
        </w:tc>
        <w:tc>
          <w:tcPr>
            <w:tcW w:type="dxa" w:w="1656"/>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3"/>
              </w:rPr>
              <w:t>核心付费方</w:t>
            </w:r>
          </w:p>
        </w:tc>
        <w:tc>
          <w:tcPr>
            <w:tcW w:type="dxa" w:w="2376"/>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3"/>
              </w:rPr>
              <w:t>收费模式与价格假设</w:t>
            </w:r>
          </w:p>
        </w:tc>
        <w:tc>
          <w:tcPr>
            <w:tcW w:type="dxa" w:w="2592"/>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3"/>
              </w:rPr>
              <w:t>所需能力/伙伴</w:t>
            </w:r>
          </w:p>
        </w:tc>
        <w:tc>
          <w:tcPr>
            <w:tcW w:type="dxa" w:w="936"/>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3"/>
              </w:rPr>
              <w:t>上线顺序</w:t>
            </w:r>
          </w:p>
        </w:tc>
      </w:tr>
      <w:tr>
        <w:trPr>
          <w:cantSplit/>
        </w:trPr>
        <w:tc>
          <w:tcPr>
            <w:tcW w:type="dxa" w:w="1800"/>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3"/>
              </w:rPr>
              <w:t>AI Agent与情景模拟</w:t>
            </w:r>
          </w:p>
        </w:tc>
        <w:tc>
          <w:tcPr>
            <w:tcW w:type="dxa" w:w="165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出口商、采购与碳团队</w:t>
            </w:r>
          </w:p>
        </w:tc>
        <w:tc>
          <w:tcPr>
            <w:tcW w:type="dxa" w:w="237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积分包€100-€1k；企业包€3k-€15k/年</w:t>
            </w:r>
          </w:p>
        </w:tc>
        <w:tc>
          <w:tcPr>
            <w:tcW w:type="dxa" w:w="25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规则知识库、模型评测、人工复核</w:t>
            </w:r>
          </w:p>
        </w:tc>
        <w:tc>
          <w:tcPr>
            <w:tcW w:type="dxa" w:w="93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0-12月</w:t>
            </w:r>
          </w:p>
        </w:tc>
      </w:tr>
      <w:tr>
        <w:trPr>
          <w:cantSplit/>
        </w:trPr>
        <w:tc>
          <w:tcPr>
            <w:tcW w:type="dxa" w:w="1800"/>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3"/>
              </w:rPr>
              <w:t>产品碳足迹/企业盘查</w:t>
            </w:r>
          </w:p>
        </w:tc>
        <w:tc>
          <w:tcPr>
            <w:tcW w:type="dxa" w:w="165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出口商、工厂、集团</w:t>
            </w:r>
          </w:p>
        </w:tc>
        <w:tc>
          <w:tcPr>
            <w:tcW w:type="dxa" w:w="237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€5k-€30k/产品族或设施</w:t>
            </w:r>
          </w:p>
        </w:tc>
        <w:tc>
          <w:tcPr>
            <w:tcW w:type="dxa" w:w="25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LCA/ISO方法、行业因子、咨询伙伴</w:t>
            </w:r>
          </w:p>
        </w:tc>
        <w:tc>
          <w:tcPr>
            <w:tcW w:type="dxa" w:w="93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0-12月</w:t>
            </w:r>
          </w:p>
        </w:tc>
      </w:tr>
      <w:tr>
        <w:trPr>
          <w:cantSplit/>
        </w:trPr>
        <w:tc>
          <w:tcPr>
            <w:tcW w:type="dxa" w:w="1800"/>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3"/>
              </w:rPr>
              <w:t>绿色供应商与低碳材料专区</w:t>
            </w:r>
          </w:p>
        </w:tc>
        <w:tc>
          <w:tcPr>
            <w:tcW w:type="dxa" w:w="165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供应商、品牌方、采购方</w:t>
            </w:r>
          </w:p>
        </w:tc>
        <w:tc>
          <w:tcPr>
            <w:tcW w:type="dxa" w:w="237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会员€1k-€10k/年；线索/活动费</w:t>
            </w:r>
          </w:p>
        </w:tc>
        <w:tc>
          <w:tcPr>
            <w:tcW w:type="dxa" w:w="25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资质审核、反商业贿赂、交易规则</w:t>
            </w:r>
          </w:p>
        </w:tc>
        <w:tc>
          <w:tcPr>
            <w:tcW w:type="dxa" w:w="93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6-18月</w:t>
            </w:r>
          </w:p>
        </w:tc>
      </w:tr>
      <w:tr>
        <w:trPr>
          <w:cantSplit/>
        </w:trPr>
        <w:tc>
          <w:tcPr>
            <w:tcW w:type="dxa" w:w="1800"/>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3"/>
              </w:rPr>
              <w:t>绿色采购与供应链评级</w:t>
            </w:r>
          </w:p>
        </w:tc>
        <w:tc>
          <w:tcPr>
            <w:tcW w:type="dxa" w:w="165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进口商、品牌与集团采购</w:t>
            </w:r>
          </w:p>
        </w:tc>
        <w:tc>
          <w:tcPr>
            <w:tcW w:type="dxa" w:w="237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€8k-€40k/年</w:t>
            </w:r>
          </w:p>
        </w:tc>
        <w:tc>
          <w:tcPr>
            <w:tcW w:type="dxa" w:w="25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采购数据、评分方法、供应商申诉机制</w:t>
            </w:r>
          </w:p>
        </w:tc>
        <w:tc>
          <w:tcPr>
            <w:tcW w:type="dxa" w:w="93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12-24月</w:t>
            </w:r>
          </w:p>
        </w:tc>
      </w:tr>
      <w:tr>
        <w:trPr>
          <w:cantSplit/>
        </w:trPr>
        <w:tc>
          <w:tcPr>
            <w:tcW w:type="dxa" w:w="1800"/>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3"/>
              </w:rPr>
              <w:t>数字产品护照DPP</w:t>
            </w:r>
          </w:p>
        </w:tc>
        <w:tc>
          <w:tcPr>
            <w:tcW w:type="dxa" w:w="165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制造商、品牌商</w:t>
            </w:r>
          </w:p>
        </w:tc>
        <w:tc>
          <w:tcPr>
            <w:tcW w:type="dxa" w:w="237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€0.1-€1/产品记录或企业订阅</w:t>
            </w:r>
          </w:p>
        </w:tc>
        <w:tc>
          <w:tcPr>
            <w:tcW w:type="dxa" w:w="25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产品身份、追溯、欧盟数据空间接口</w:t>
            </w:r>
          </w:p>
        </w:tc>
        <w:tc>
          <w:tcPr>
            <w:tcW w:type="dxa" w:w="93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12-24月</w:t>
            </w:r>
          </w:p>
        </w:tc>
      </w:tr>
      <w:tr>
        <w:trPr>
          <w:cantSplit/>
        </w:trPr>
        <w:tc>
          <w:tcPr>
            <w:tcW w:type="dxa" w:w="1800"/>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3"/>
              </w:rPr>
              <w:t>碳资产与绿色金融数据</w:t>
            </w:r>
          </w:p>
        </w:tc>
        <w:tc>
          <w:tcPr>
            <w:tcW w:type="dxa" w:w="165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工厂、银行、保险与贸易金融</w:t>
            </w:r>
          </w:p>
        </w:tc>
        <w:tc>
          <w:tcPr>
            <w:tcW w:type="dxa" w:w="237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项目费/数据订阅/合作分成</w:t>
            </w:r>
          </w:p>
        </w:tc>
        <w:tc>
          <w:tcPr>
            <w:tcW w:type="dxa" w:w="25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持牌金融伙伴、数据授权、风险模型</w:t>
            </w:r>
          </w:p>
        </w:tc>
        <w:tc>
          <w:tcPr>
            <w:tcW w:type="dxa" w:w="93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18-36月</w:t>
            </w:r>
          </w:p>
        </w:tc>
      </w:tr>
      <w:tr>
        <w:trPr>
          <w:cantSplit/>
        </w:trPr>
        <w:tc>
          <w:tcPr>
            <w:tcW w:type="dxa" w:w="1800"/>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3"/>
              </w:rPr>
              <w:t>贸易合规服务市场</w:t>
            </w:r>
          </w:p>
        </w:tc>
        <w:tc>
          <w:tcPr>
            <w:tcW w:type="dxa" w:w="165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进口商、出口商</w:t>
            </w:r>
          </w:p>
        </w:tc>
        <w:tc>
          <w:tcPr>
            <w:tcW w:type="dxa" w:w="237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伙伴服务费；平台10%-20%撮合/技术费</w:t>
            </w:r>
          </w:p>
        </w:tc>
        <w:tc>
          <w:tcPr>
            <w:tcW w:type="dxa" w:w="25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海关、原产地、法律与制裁合规伙伴</w:t>
            </w:r>
          </w:p>
        </w:tc>
        <w:tc>
          <w:tcPr>
            <w:tcW w:type="dxa" w:w="93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3"/>
              </w:rPr>
              <w:t>18-36月</w:t>
            </w:r>
          </w:p>
        </w:tc>
      </w:tr>
    </w:tbl>
    <w:p>
      <w:pPr>
        <w:spacing w:before="160" w:after="0" w:line="288" w:lineRule="auto"/>
        <w:jc w:val="left"/>
      </w:pPr>
      <w:r>
        <w:rPr>
          <w:rFonts w:ascii="Calibri" w:hAnsi="Calibri" w:eastAsia="Hiragino Sans GB"/>
          <w:b/>
          <w:i w:val="0"/>
          <w:color w:val="073F3A"/>
          <w:sz w:val="19"/>
        </w:rPr>
        <w:t>扩展原则：先复用现有客户、设施数据和工作流，再增加产品；涉及核查、法律、报关、金融交易或碳资产处置的业务，坚持持牌/认可伙伴独立履责，平台不越权。</w:t>
      </w:r>
    </w:p>
    <w:p>
      <w:pPr>
        <w:keepNext/>
        <w:pageBreakBefore/>
        <w:spacing w:before="0" w:after="40" w:line="240" w:lineRule="auto"/>
        <w:jc w:val="left"/>
      </w:pPr>
      <w:r>
        <w:rPr>
          <w:rFonts w:ascii="Calibri" w:hAnsi="Calibri" w:eastAsia="Hiragino Sans GB"/>
          <w:b/>
          <w:i w:val="0"/>
          <w:color w:val="0B5A52"/>
          <w:sz w:val="16"/>
        </w:rPr>
        <w:t>MARKET</w:t>
      </w:r>
    </w:p>
    <w:p>
      <w:pPr>
        <w:pStyle w:val="Heading1"/>
      </w:pPr>
      <w:r>
        <w:rPr>
          <w:rFonts w:ascii="Calibri" w:hAnsi="Calibri" w:eastAsia="Hiragino Sans GB"/>
          <w:b/>
          <w:color w:val="2E74B5"/>
          <w:sz w:val="32"/>
        </w:rPr>
        <w:t>市场测算：不追求夸大TAM，聚焦可成交的核心主体</w:t>
      </w:r>
    </w:p>
    <w:p>
      <w:pPr>
        <w:spacing w:before="0" w:after="160" w:line="320" w:lineRule="auto"/>
        <w:jc w:val="both"/>
      </w:pPr>
      <w:r>
        <w:rPr>
          <w:rFonts w:ascii="Calibri" w:hAnsi="Calibri" w:eastAsia="Hiragino Sans GB"/>
          <w:b w:val="0"/>
          <w:i w:val="0"/>
          <w:color w:val="1F2933"/>
          <w:sz w:val="22"/>
        </w:rPr>
        <w:t>欧盟官方称50吨阈值约豁免182,000名、约90%的进口商。由此反推，CBAM相关进口主体总量约20万量级，阈值以上核心履约主体约2万量级。该反推仅用于数量级判断，不代表可直接销售名单。</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872"/>
        <w:gridCol w:w="1944"/>
        <w:gridCol w:w="1872"/>
        <w:gridCol w:w="1584"/>
        <w:gridCol w:w="2088"/>
      </w:tblGrid>
      <w:tr>
        <w:trPr>
          <w:cantSplit/>
          <w:tblHeader w:val="true"/>
          <w:cantSplit/>
        </w:trPr>
        <w:tc>
          <w:tcPr>
            <w:tcW w:type="dxa" w:w="1872"/>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层级</w:t>
            </w:r>
          </w:p>
        </w:tc>
        <w:tc>
          <w:tcPr>
            <w:tcW w:type="dxa" w:w="194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客户数量假设</w:t>
            </w:r>
          </w:p>
        </w:tc>
        <w:tc>
          <w:tcPr>
            <w:tcW w:type="dxa" w:w="1872"/>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年均平台/服务预算</w:t>
            </w:r>
          </w:p>
        </w:tc>
        <w:tc>
          <w:tcPr>
            <w:tcW w:type="dxa" w:w="158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机会规模</w:t>
            </w:r>
          </w:p>
        </w:tc>
        <w:tc>
          <w:tcPr>
            <w:tcW w:type="dxa" w:w="2088"/>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说明</w:t>
            </w:r>
          </w:p>
        </w:tc>
      </w:tr>
      <w:tr>
        <w:trPr>
          <w:cantSplit/>
        </w:trPr>
        <w:tc>
          <w:tcPr>
            <w:tcW w:type="dxa" w:w="1872"/>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r>
            <w:r>
              <w:rPr>
                <w:rFonts w:ascii="Calibri" w:hAnsi="Calibri" w:eastAsia="Hiragino Sans GB"/>
                <w:b w:val="0"/>
                <w:color w:val="1F2933"/>
                <w:sz w:val="16"/>
              </w:rPr>
              <w:t>TAM 核心履约市场</w:t>
            </w:r>
          </w:p>
        </w:tc>
        <w:tc>
          <w:tcPr>
            <w:tcW w:type="dxa" w:w="194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r>
            <w:r>
              <w:rPr>
                <w:rFonts w:ascii="Calibri" w:hAnsi="Calibri" w:eastAsia="Hiragino Sans GB"/>
                <w:b w:val="0"/>
                <w:color w:val="1F2933"/>
                <w:sz w:val="16"/>
              </w:rPr>
              <w:t>约20,000个进口商网络</w:t>
            </w:r>
          </w:p>
        </w:tc>
        <w:tc>
          <w:tcPr>
            <w:tcW w:type="dxa" w:w="187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r>
            <w:r>
              <w:rPr>
                <w:rFonts w:ascii="Calibri" w:hAnsi="Calibri" w:eastAsia="Hiragino Sans GB"/>
                <w:b w:val="0"/>
                <w:color w:val="1F2933"/>
                <w:sz w:val="16"/>
              </w:rPr>
              <w:t>约10个付费节点 × €1,000</w:t>
            </w:r>
          </w:p>
        </w:tc>
        <w:tc>
          <w:tcPr>
            <w:tcW w:type="dxa" w:w="158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r>
            <w:r>
              <w:rPr>
                <w:rFonts w:ascii="Calibri" w:hAnsi="Calibri" w:eastAsia="Hiragino Sans GB"/>
                <w:b w:val="0"/>
                <w:color w:val="1F2933"/>
                <w:sz w:val="16"/>
              </w:rPr>
              <w:t>约€200m/年</w:t>
            </w:r>
          </w:p>
        </w:tc>
        <w:tc>
          <w:tcPr>
            <w:tcW w:type="dxa" w:w="208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r>
            <w:r>
              <w:rPr>
                <w:rFonts w:ascii="Calibri" w:hAnsi="Calibri" w:eastAsia="Hiragino Sans GB"/>
                <w:b w:val="0"/>
                <w:color w:val="1F2933"/>
                <w:sz w:val="16"/>
              </w:rPr>
              <w:t>主体数量按官方比例反推；节点数和ARPA为管理层假设</w:t>
            </w:r>
          </w:p>
        </w:tc>
      </w:tr>
      <w:tr>
        <w:trPr>
          <w:cantSplit/>
        </w:trPr>
        <w:tc>
          <w:tcPr>
            <w:tcW w:type="dxa" w:w="1872"/>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r>
            <w:r>
              <w:rPr>
                <w:rFonts w:ascii="Calibri" w:hAnsi="Calibri" w:eastAsia="Hiragino Sans GB"/>
                <w:b w:val="0"/>
                <w:color w:val="1F2933"/>
                <w:sz w:val="16"/>
              </w:rPr>
              <w:t>SAM 首期市场</w:t>
            </w:r>
          </w:p>
        </w:tc>
        <w:tc>
          <w:tcPr>
            <w:tcW w:type="dxa" w:w="194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r>
            <w:r>
              <w:rPr>
                <w:rFonts w:ascii="Calibri" w:hAnsi="Calibri" w:eastAsia="Hiragino Sans GB"/>
                <w:b w:val="0"/>
                <w:color w:val="1F2933"/>
                <w:sz w:val="16"/>
              </w:rPr>
              <w:t>约5,000个目标进口商网络</w:t>
            </w:r>
          </w:p>
        </w:tc>
        <w:tc>
          <w:tcPr>
            <w:tcW w:type="dxa" w:w="18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r>
            <w:r>
              <w:rPr>
                <w:rFonts w:ascii="Calibri" w:hAnsi="Calibri" w:eastAsia="Hiragino Sans GB"/>
                <w:b w:val="0"/>
                <w:color w:val="1F2933"/>
                <w:sz w:val="16"/>
              </w:rPr>
              <w:t>约8个付费节点 × €1,000</w:t>
            </w:r>
          </w:p>
        </w:tc>
        <w:tc>
          <w:tcPr>
            <w:tcW w:type="dxa" w:w="158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r>
            <w:r>
              <w:rPr>
                <w:rFonts w:ascii="Calibri" w:hAnsi="Calibri" w:eastAsia="Hiragino Sans GB"/>
                <w:b w:val="0"/>
                <w:color w:val="1F2933"/>
                <w:sz w:val="16"/>
              </w:rPr>
              <w:t>约€40m/年</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r>
            <w:r>
              <w:rPr>
                <w:rFonts w:ascii="Calibri" w:hAnsi="Calibri" w:eastAsia="Hiragino Sans GB"/>
                <w:b w:val="0"/>
                <w:color w:val="1F2933"/>
                <w:sz w:val="16"/>
              </w:rPr>
              <w:t>四国 + 钢铁/铝 + 中国供应链可触达</w:t>
            </w:r>
          </w:p>
        </w:tc>
      </w:tr>
      <w:tr>
        <w:trPr>
          <w:cantSplit/>
        </w:trPr>
        <w:tc>
          <w:tcPr>
            <w:tcW w:type="dxa" w:w="1872"/>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SOM 三年目标</w:t>
            </w:r>
          </w:p>
        </w:tc>
        <w:tc>
          <w:tcPr>
            <w:tcW w:type="dxa" w:w="194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180家进口商 + 3,200个供应链付费节点</w:t>
            </w:r>
          </w:p>
        </w:tc>
        <w:tc>
          <w:tcPr>
            <w:tcW w:type="dxa" w:w="187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混合ARPA</w:t>
            </w:r>
          </w:p>
        </w:tc>
        <w:tc>
          <w:tcPr>
            <w:tcW w:type="dxa" w:w="158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€4.6m收入</w:t>
            </w:r>
          </w:p>
        </w:tc>
        <w:tc>
          <w:tcPr>
            <w:tcW w:type="dxa" w:w="208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基准情景；对应SAM收入渗透不足8%</w:t>
            </w:r>
          </w:p>
        </w:tc>
      </w:tr>
    </w:tbl>
    <w:p>
      <w:pPr>
        <w:pStyle w:val="Heading2"/>
      </w:pPr>
      <w:r>
        <w:rPr>
          <w:rFonts w:ascii="Calibri" w:hAnsi="Calibri" w:eastAsia="Hiragino Sans GB"/>
          <w:b/>
          <w:color w:val="2E74B5"/>
          <w:sz w:val="26"/>
        </w:rPr>
        <w:t>首期细分选择</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512"/>
        <w:gridCol w:w="4320"/>
        <w:gridCol w:w="3528"/>
      </w:tblGrid>
      <w:tr>
        <w:trPr>
          <w:cantSplit/>
          <w:tblHeader w:val="true"/>
          <w:cantSplit/>
        </w:trPr>
        <w:tc>
          <w:tcPr>
            <w:tcW w:type="dxa" w:w="1512"/>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7"/>
              </w:rPr>
              <w:t>选择维度</w:t>
            </w:r>
          </w:p>
        </w:tc>
        <w:tc>
          <w:tcPr>
            <w:tcW w:type="dxa" w:w="4320"/>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7"/>
              </w:rPr>
              <w:t>优先标准</w:t>
            </w:r>
          </w:p>
        </w:tc>
        <w:tc>
          <w:tcPr>
            <w:tcW w:type="dxa" w:w="3528"/>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7"/>
              </w:rPr>
              <w:t>首期假设</w:t>
            </w:r>
          </w:p>
        </w:tc>
      </w:tr>
      <w:tr>
        <w:trPr>
          <w:cantSplit/>
        </w:trPr>
        <w:tc>
          <w:tcPr>
            <w:tcW w:type="dxa" w:w="1512"/>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国家</w:t>
            </w:r>
          </w:p>
        </w:tc>
        <w:tc>
          <w:tcPr>
            <w:tcW w:type="dxa" w:w="43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工业进口规模、渠道伙伴密度、本地服务可达性</w:t>
            </w:r>
          </w:p>
        </w:tc>
        <w:tc>
          <w:tcPr>
            <w:tcW w:type="dxa" w:w="352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德国、荷兰、意大利、法国</w:t>
            </w:r>
          </w:p>
        </w:tc>
      </w:tr>
      <w:tr>
        <w:trPr>
          <w:cantSplit/>
        </w:trPr>
        <w:tc>
          <w:tcPr>
            <w:tcW w:type="dxa" w:w="1512"/>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行业</w:t>
            </w:r>
          </w:p>
        </w:tc>
        <w:tc>
          <w:tcPr>
            <w:tcW w:type="dxa" w:w="43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CBAM责任高、供应链复杂、实际值可创造经营差异</w:t>
            </w:r>
          </w:p>
        </w:tc>
        <w:tc>
          <w:tcPr>
            <w:tcW w:type="dxa" w:w="352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钢铁、铝及其汽车/工业下游</w:t>
            </w:r>
          </w:p>
        </w:tc>
      </w:tr>
      <w:tr>
        <w:trPr>
          <w:cantSplit/>
        </w:trPr>
        <w:tc>
          <w:tcPr>
            <w:tcW w:type="dxa" w:w="1512"/>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客户</w:t>
            </w:r>
          </w:p>
        </w:tc>
        <w:tc>
          <w:tcPr>
            <w:tcW w:type="dxa" w:w="43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多供应商、多设施、年度进口高于阈值、缺少内部系统</w:t>
            </w:r>
          </w:p>
        </w:tc>
        <w:tc>
          <w:tcPr>
            <w:tcW w:type="dxa" w:w="352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中型及集团型进口商</w:t>
            </w:r>
          </w:p>
        </w:tc>
      </w:tr>
      <w:tr>
        <w:trPr>
          <w:cantSplit/>
        </w:trPr>
        <w:tc>
          <w:tcPr>
            <w:tcW w:type="dxa" w:w="1512"/>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供应链</w:t>
            </w:r>
          </w:p>
        </w:tc>
        <w:tc>
          <w:tcPr>
            <w:tcW w:type="dxa" w:w="43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中国制造节点集中、出口商有多客户复用需求</w:t>
            </w:r>
          </w:p>
        </w:tc>
        <w:tc>
          <w:tcPr>
            <w:tcW w:type="dxa" w:w="352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紧固件、金属加工、工业设备</w:t>
            </w:r>
          </w:p>
        </w:tc>
      </w:tr>
    </w:tbl>
    <w:tbl>
      <w:tblPr>
        <w:tblW w:type="dxa" w:w="9360"/>
        <w:jc w:val="left"/>
        <w:tblLayout w:type="fixed"/>
        <w:tblLook w:firstColumn="1" w:firstRow="1" w:lastColumn="0" w:lastRow="0" w:noHBand="0" w:noVBand="1" w:val="04A0"/>
        <w:tblInd w:w="120" w:type="dxa"/>
        <w:tblBorders>
          <w:top w:val="single" w:sz="0" w:space="0" w:color="EEF4E7"/>
          <w:left w:val="single" w:sz="0" w:space="0" w:color="EEF4E7"/>
          <w:bottom w:val="single" w:sz="0" w:space="0" w:color="EEF4E7"/>
          <w:right w:val="single" w:sz="0" w:space="0" w:color="EEF4E7"/>
          <w:insideH w:val="single" w:sz="0" w:space="0" w:color="EEF4E7"/>
          <w:insideV w:val="single" w:sz="0" w:space="0" w:color="EEF4E7"/>
        </w:tblBorders>
      </w:tblPr>
      <w:tblGrid>
        <w:gridCol w:w="9360"/>
      </w:tblGrid>
      <w:tr>
        <w:trPr>
          <w:cantSplit/>
        </w:trPr>
        <w:tc>
          <w:tcPr>
            <w:tcW w:type="dxa" w:w="9360"/>
            <w:tcMar>
              <w:top w:w="160" w:type="dxa"/>
              <w:start w:w="180" w:type="dxa"/>
              <w:bottom w:w="160" w:type="dxa"/>
              <w:end w:w="180" w:type="dxa"/>
            </w:tcMar>
            <w:vAlign w:val="center"/>
            <w:shd w:fill="EEF4E7"/>
          </w:tcPr>
          <w:p>
            <w:pPr>
              <w:spacing w:before="0" w:after="0" w:line="288" w:lineRule="auto"/>
            </w:pPr>
            <w:r>
              <w:rPr>
                <w:rFonts w:ascii="Calibri" w:hAnsi="Calibri" w:eastAsia="Hiragino Sans GB"/>
                <w:b/>
                <w:color w:val="6E9F42"/>
                <w:sz w:val="19"/>
              </w:rPr>
              <w:t xml:space="preserve">扩围期权而非基准收入  </w:t>
            </w:r>
            <w:r>
              <w:rPr>
                <w:rFonts w:ascii="Calibri" w:hAnsi="Calibri" w:eastAsia="Hiragino Sans GB"/>
                <w:color w:val="1F2933"/>
                <w:sz w:val="19"/>
              </w:rPr>
              <w:t>欧委会已提出自2028年起扩至180类钢铝密集下游产品，2026年6月理事会形成立场，但截至本计划书日期仍在立法推进。基准财务不计入扩围，若通过则构成上行情景。</w:t>
            </w:r>
          </w:p>
        </w:tc>
      </w:tr>
    </w:tbl>
    <w:p>
      <w:pPr>
        <w:keepNext/>
        <w:pageBreakBefore/>
        <w:spacing w:before="0" w:after="40" w:line="240" w:lineRule="auto"/>
        <w:jc w:val="left"/>
      </w:pPr>
      <w:r>
        <w:rPr>
          <w:rFonts w:ascii="Calibri" w:hAnsi="Calibri" w:eastAsia="Hiragino Sans GB"/>
          <w:b/>
          <w:i w:val="0"/>
          <w:color w:val="0B5A52"/>
          <w:sz w:val="16"/>
        </w:rPr>
        <w:t>COMPETITION</w:t>
      </w:r>
    </w:p>
    <w:p>
      <w:pPr>
        <w:pStyle w:val="Heading1"/>
      </w:pPr>
      <w:r>
        <w:rPr>
          <w:rFonts w:ascii="Calibri" w:hAnsi="Calibri" w:eastAsia="Hiragino Sans GB"/>
          <w:b/>
          <w:color w:val="2E74B5"/>
          <w:sz w:val="32"/>
        </w:rPr>
        <w:t>竞争格局：单点工具很多，跨企业闭环仍稀缺</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800"/>
        <w:gridCol w:w="2376"/>
        <w:gridCol w:w="3024"/>
        <w:gridCol w:w="2160"/>
      </w:tblGrid>
      <w:tr>
        <w:trPr>
          <w:cantSplit/>
          <w:tblHeader w:val="true"/>
          <w:cantSplit/>
        </w:trPr>
        <w:tc>
          <w:tcPr>
            <w:tcW w:type="dxa" w:w="1800"/>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方案类型</w:t>
            </w:r>
          </w:p>
        </w:tc>
        <w:tc>
          <w:tcPr>
            <w:tcW w:type="dxa" w:w="2376"/>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强项</w:t>
            </w:r>
          </w:p>
        </w:tc>
        <w:tc>
          <w:tcPr>
            <w:tcW w:type="dxa" w:w="3024"/>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结构性短板</w:t>
            </w:r>
          </w:p>
        </w:tc>
        <w:tc>
          <w:tcPr>
            <w:tcW w:type="dxa" w:w="2160"/>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平台切入点</w:t>
            </w:r>
          </w:p>
        </w:tc>
      </w:tr>
      <w:tr>
        <w:trPr>
          <w:cantSplit/>
        </w:trPr>
        <w:tc>
          <w:tcPr>
            <w:tcW w:type="dxa" w:w="1800"/>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轻量CBAM软件</w:t>
            </w:r>
          </w:p>
        </w:tc>
        <w:tc>
          <w:tcPr>
            <w:tcW w:type="dxa" w:w="237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CN识别、计算、报告、提醒；价格透明</w:t>
            </w:r>
          </w:p>
        </w:tc>
        <w:tc>
          <w:tcPr>
            <w:tcW w:type="dxa" w:w="302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偏单一进口主体，供应链深度与服务能力有限</w:t>
            </w:r>
          </w:p>
        </w:tc>
        <w:tc>
          <w:tcPr>
            <w:tcW w:type="dxa" w:w="216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高复杂度客户 + 供应链协同</w:t>
            </w:r>
          </w:p>
        </w:tc>
      </w:tr>
      <w:tr>
        <w:trPr>
          <w:cantSplit/>
        </w:trPr>
        <w:tc>
          <w:tcPr>
            <w:tcW w:type="dxa" w:w="1800"/>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企业供应链合规平台</w:t>
            </w:r>
          </w:p>
        </w:tc>
        <w:tc>
          <w:tcPr>
            <w:tcW w:type="dxa" w:w="237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大规模供应商触达、ERP集成、多法规</w:t>
            </w:r>
          </w:p>
        </w:tc>
        <w:tc>
          <w:tcPr>
            <w:tcW w:type="dxa" w:w="302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CBAM只是模块，部署成本高</w:t>
            </w:r>
          </w:p>
        </w:tc>
        <w:tc>
          <w:tcPr>
            <w:tcW w:type="dxa" w:w="216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CBAM专深 + 跨境交付网络</w:t>
            </w:r>
          </w:p>
        </w:tc>
      </w:tr>
      <w:tr>
        <w:trPr>
          <w:cantSplit/>
        </w:trPr>
        <w:tc>
          <w:tcPr>
            <w:tcW w:type="dxa" w:w="1800"/>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碳数据/碳会计平台</w:t>
            </w:r>
          </w:p>
        </w:tc>
        <w:tc>
          <w:tcPr>
            <w:tcW w:type="dxa" w:w="237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排放数据和分析能力强</w:t>
            </w:r>
          </w:p>
        </w:tc>
        <w:tc>
          <w:tcPr>
            <w:tcW w:type="dxa" w:w="302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进口责任、年度履约和采购流程连接不足</w:t>
            </w:r>
          </w:p>
        </w:tc>
        <w:tc>
          <w:tcPr>
            <w:tcW w:type="dxa" w:w="216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从贸易事件驱动数据</w:t>
            </w:r>
          </w:p>
        </w:tc>
      </w:tr>
      <w:tr>
        <w:trPr>
          <w:cantSplit/>
        </w:trPr>
        <w:tc>
          <w:tcPr>
            <w:tcW w:type="dxa" w:w="1800"/>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国际咨询/核查机构</w:t>
            </w:r>
          </w:p>
        </w:tc>
        <w:tc>
          <w:tcPr>
            <w:tcW w:type="dxa" w:w="237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专业可信、客户关系成熟</w:t>
            </w:r>
          </w:p>
        </w:tc>
        <w:tc>
          <w:tcPr>
            <w:tcW w:type="dxa" w:w="302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人工交付重、系统复用和持续协同弱</w:t>
            </w:r>
          </w:p>
        </w:tc>
        <w:tc>
          <w:tcPr>
            <w:tcW w:type="dxa" w:w="216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平台化交付 + 生态合作</w:t>
            </w:r>
          </w:p>
        </w:tc>
      </w:tr>
      <w:tr>
        <w:trPr>
          <w:cantSplit/>
        </w:trPr>
        <w:tc>
          <w:tcPr>
            <w:tcW w:type="dxa" w:w="1800"/>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国内碳服务商</w:t>
            </w:r>
          </w:p>
        </w:tc>
        <w:tc>
          <w:tcPr>
            <w:tcW w:type="dxa" w:w="237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熟悉中国工厂和数据现场</w:t>
            </w:r>
          </w:p>
        </w:tc>
        <w:tc>
          <w:tcPr>
            <w:tcW w:type="dxa" w:w="302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欧洲进口商入口、本地责任与品牌不足</w:t>
            </w:r>
          </w:p>
        </w:tc>
        <w:tc>
          <w:tcPr>
            <w:tcW w:type="dxa" w:w="216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两端连接 + 欧洲伙伴</w:t>
            </w:r>
          </w:p>
        </w:tc>
      </w:tr>
    </w:tbl>
    <w:p>
      <w:pPr>
        <w:pStyle w:val="Heading2"/>
      </w:pPr>
      <w:r>
        <w:rPr>
          <w:rFonts w:ascii="Calibri" w:hAnsi="Calibri" w:eastAsia="Hiragino Sans GB"/>
          <w:b/>
          <w:color w:val="2E74B5"/>
          <w:sz w:val="26"/>
        </w:rPr>
        <w:t>差异化必须落在可验证能力上</w:t>
      </w:r>
    </w:p>
    <w:p>
      <w:pPr>
        <w:pStyle w:val="ListNumber"/>
        <w:numPr>
          <w:ilvl w:val="0"/>
          <w:numId w:val="10"/>
        </w:numPr>
        <w:spacing w:after="80" w:line="290" w:lineRule="auto"/>
        <w:ind w:left="540" w:hanging="279"/>
      </w:pPr>
      <w:r>
        <w:rPr>
          <w:rFonts w:ascii="Calibri" w:hAnsi="Calibri" w:eastAsia="Hiragino Sans GB"/>
          <w:color w:val="1F2933"/>
          <w:sz w:val="22"/>
        </w:rPr>
        <w:t>进口事件原生：从报关/ERP台账开始，而不是从排放表单开始。</w:t>
      </w:r>
    </w:p>
    <w:p>
      <w:pPr>
        <w:pStyle w:val="ListNumber"/>
        <w:numPr>
          <w:ilvl w:val="0"/>
          <w:numId w:val="10"/>
        </w:numPr>
        <w:spacing w:after="80" w:line="290" w:lineRule="auto"/>
        <w:ind w:left="540" w:hanging="279"/>
      </w:pPr>
      <w:r>
        <w:rPr>
          <w:rFonts w:ascii="Calibri" w:hAnsi="Calibri" w:eastAsia="Hiragino Sans GB"/>
          <w:color w:val="1F2933"/>
          <w:sz w:val="22"/>
        </w:rPr>
        <w:t>跨组织协同：进口商、出口商、设施、核查机构在同一责任链上工作。</w:t>
      </w:r>
    </w:p>
    <w:p>
      <w:pPr>
        <w:pStyle w:val="ListNumber"/>
        <w:numPr>
          <w:ilvl w:val="0"/>
          <w:numId w:val="10"/>
        </w:numPr>
        <w:spacing w:after="80" w:line="290" w:lineRule="auto"/>
        <w:ind w:left="540" w:hanging="279"/>
      </w:pPr>
      <w:r>
        <w:rPr>
          <w:rFonts w:ascii="Calibri" w:hAnsi="Calibri" w:eastAsia="Hiragino Sans GB"/>
          <w:color w:val="1F2933"/>
          <w:sz w:val="22"/>
        </w:rPr>
        <w:t>可信数据治理：来源、证据、版本、核查、授权和审计可追溯。</w:t>
      </w:r>
    </w:p>
    <w:p>
      <w:pPr>
        <w:pStyle w:val="ListNumber"/>
        <w:numPr>
          <w:ilvl w:val="0"/>
          <w:numId w:val="10"/>
        </w:numPr>
        <w:spacing w:after="80" w:line="290" w:lineRule="auto"/>
        <w:ind w:left="540" w:hanging="279"/>
      </w:pPr>
      <w:r>
        <w:rPr>
          <w:rFonts w:ascii="Calibri" w:hAnsi="Calibri" w:eastAsia="Hiragino Sans GB"/>
          <w:color w:val="1F2933"/>
          <w:sz w:val="22"/>
        </w:rPr>
        <w:t>经营化输出：证书预算、碳价情景、供应商比较和采购决策。</w:t>
      </w:r>
    </w:p>
    <w:p>
      <w:pPr>
        <w:pStyle w:val="ListNumber"/>
        <w:numPr>
          <w:ilvl w:val="0"/>
          <w:numId w:val="10"/>
        </w:numPr>
        <w:spacing w:after="80" w:line="290" w:lineRule="auto"/>
        <w:ind w:left="540" w:hanging="279"/>
      </w:pPr>
      <w:r>
        <w:rPr>
          <w:rFonts w:ascii="Calibri" w:hAnsi="Calibri" w:eastAsia="Hiragino Sans GB"/>
          <w:color w:val="1F2933"/>
          <w:sz w:val="22"/>
        </w:rPr>
        <w:t>中欧交付网络：欧洲客户关系与责任理解 + 中国制造现场数据能力。</w:t>
      </w:r>
    </w:p>
    <w:p>
      <w:pPr>
        <w:keepNext/>
        <w:pageBreakBefore/>
        <w:spacing w:before="0" w:after="40" w:line="240" w:lineRule="auto"/>
        <w:jc w:val="left"/>
      </w:pPr>
      <w:r>
        <w:rPr>
          <w:rFonts w:ascii="Calibri" w:hAnsi="Calibri" w:eastAsia="Hiragino Sans GB"/>
          <w:b/>
          <w:i w:val="0"/>
          <w:color w:val="0B5A52"/>
          <w:sz w:val="16"/>
        </w:rPr>
        <w:t>EUROPEAN COMPETITION</w:t>
      </w:r>
    </w:p>
    <w:p>
      <w:pPr>
        <w:pStyle w:val="Heading1"/>
      </w:pPr>
      <w:r>
        <w:rPr>
          <w:rFonts w:ascii="Calibri" w:hAnsi="Calibri" w:eastAsia="Hiragino Sans GB"/>
          <w:b/>
          <w:color w:val="2E74B5"/>
          <w:sz w:val="32"/>
        </w:rPr>
        <w:t>欧洲竞争者：综合平台强，垂直网络快，ERP控制入口</w:t>
      </w:r>
    </w:p>
    <w:p>
      <w:pPr>
        <w:spacing w:before="0" w:after="160" w:line="320" w:lineRule="auto"/>
        <w:jc w:val="both"/>
      </w:pPr>
      <w:r>
        <w:rPr>
          <w:rFonts w:ascii="Calibri" w:hAnsi="Calibri" w:eastAsia="Hiragino Sans GB"/>
          <w:b w:val="0"/>
          <w:i w:val="0"/>
          <w:color w:val="1F2933"/>
          <w:sz w:val="22"/>
        </w:rPr>
        <w:t>欧洲竞争不是单一软件之争，而是对 ERP 数据、海关入口、供应商网络、行业排放数据和核查信任的争夺。以下信息以企业官方公开资料为主；未公开价格统一按询价制处理。</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224"/>
        <w:gridCol w:w="2448"/>
        <w:gridCol w:w="1944"/>
        <w:gridCol w:w="1872"/>
        <w:gridCol w:w="1872"/>
      </w:tblGrid>
      <w:tr>
        <w:trPr>
          <w:cantSplit/>
          <w:tblHeader w:val="true"/>
          <w:cantSplit/>
        </w:trPr>
        <w:tc>
          <w:tcPr>
            <w:tcW w:type="dxa" w:w="122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4"/>
              </w:rPr>
              <w:t>公司</w:t>
            </w:r>
          </w:p>
        </w:tc>
        <w:tc>
          <w:tcPr>
            <w:tcW w:type="dxa" w:w="2448"/>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4"/>
              </w:rPr>
              <w:t>定位与基本情况</w:t>
            </w:r>
          </w:p>
        </w:tc>
        <w:tc>
          <w:tcPr>
            <w:tcW w:type="dxa" w:w="194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4"/>
              </w:rPr>
              <w:t>收费/伙伴</w:t>
            </w:r>
          </w:p>
        </w:tc>
        <w:tc>
          <w:tcPr>
            <w:tcW w:type="dxa" w:w="1872"/>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4"/>
              </w:rPr>
              <w:t>核心竞争力</w:t>
            </w:r>
          </w:p>
        </w:tc>
        <w:tc>
          <w:tcPr>
            <w:tcW w:type="dxa" w:w="1872"/>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4"/>
              </w:rPr>
              <w:t>本项目策略</w:t>
            </w:r>
          </w:p>
        </w:tc>
      </w:tr>
      <w:tr>
        <w:trPr>
          <w:cantSplit/>
        </w:trPr>
        <w:tc>
          <w:tcPr>
            <w:tcW w:type="dxa" w:w="122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osapiens（德国）</w:t>
            </w:r>
          </w:p>
        </w:tc>
        <w:tc>
          <w:tcPr>
            <w:tcW w:type="dxa" w:w="244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2018年创立；综合ESG/供应链合规套件含CBAM、供应商门户、预测、XML与SAP/API</w:t>
            </w:r>
          </w:p>
        </w:tc>
        <w:tc>
          <w:tcPr>
            <w:tcW w:type="dxa" w:w="194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企业询价；Goldman Sachs等资本；MHP、delaware等伙伴</w:t>
            </w:r>
          </w:p>
        </w:tc>
        <w:tc>
          <w:tcPr>
            <w:tcW w:type="dxa" w:w="18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资本、综合套件、SAP集成、伙伴规模</w:t>
            </w:r>
          </w:p>
        </w:tc>
        <w:tc>
          <w:tcPr>
            <w:tcW w:type="dxa" w:w="18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不复制全套ESG；以中国设施数据层与行业交付互补</w:t>
            </w:r>
          </w:p>
        </w:tc>
      </w:tr>
      <w:tr>
        <w:trPr>
          <w:cantSplit/>
        </w:trPr>
        <w:tc>
          <w:tcPr>
            <w:tcW w:type="dxa" w:w="122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CarbonChain（英国）</w:t>
            </w:r>
          </w:p>
        </w:tc>
        <w:tc>
          <w:tcPr>
            <w:tcW w:type="dxa" w:w="244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商品供应链碳数据平台，强调资产级数据、供应商因子、贸易金融与CBAM</w:t>
            </w:r>
          </w:p>
        </w:tc>
        <w:tc>
          <w:tcPr>
            <w:tcW w:type="dxa" w:w="194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企业订阅/数据服务询价；SGS方法验证；贸易商、钢铁和银行生态</w:t>
            </w:r>
          </w:p>
        </w:tc>
        <w:tc>
          <w:tcPr>
            <w:tcW w:type="dxa" w:w="18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商品/资产数据深度与贸易金融网络</w:t>
            </w:r>
          </w:p>
        </w:tc>
        <w:tc>
          <w:tcPr>
            <w:tcW w:type="dxa" w:w="18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钢铝场景必须形成可解释的设施映射、基准和采购分析</w:t>
            </w:r>
          </w:p>
        </w:tc>
      </w:tr>
      <w:tr>
        <w:trPr>
          <w:cantSplit/>
        </w:trPr>
        <w:tc>
          <w:tcPr>
            <w:tcW w:type="dxa" w:w="122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SAP + PwC</w:t>
            </w:r>
          </w:p>
        </w:tc>
        <w:tc>
          <w:tcPr>
            <w:tcW w:type="dxa" w:w="244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SAP BTP原生Carbon Border Manager，连接ERP、供应商门户、XML与成本预测</w:t>
            </w:r>
          </w:p>
        </w:tc>
        <w:tc>
          <w:tcPr>
            <w:tcW w:type="dxa" w:w="194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公开标准价€990/月、年付且至少3年；企业版询价</w:t>
            </w:r>
          </w:p>
        </w:tc>
        <w:tc>
          <w:tcPr>
            <w:tcW w:type="dxa" w:w="18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ERP控制点、企业采购信任、PwC交付</w:t>
            </w:r>
          </w:p>
        </w:tc>
        <w:tc>
          <w:tcPr>
            <w:tcW w:type="dxa" w:w="18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建设SAP连接器，成为贸易事件到设施证据的专业数据层</w:t>
            </w:r>
          </w:p>
        </w:tc>
      </w:tr>
      <w:tr>
        <w:trPr>
          <w:cantSplit/>
        </w:trPr>
        <w:tc>
          <w:tcPr>
            <w:tcW w:type="dxa" w:w="122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Dubrink（荷兰）</w:t>
            </w:r>
          </w:p>
        </w:tc>
        <w:tc>
          <w:tcPr>
            <w:tcW w:type="dxa" w:w="244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CBAM专用协同网络，连接进口商、供应商、物流/海关和专业伙伴</w:t>
            </w:r>
          </w:p>
        </w:tc>
        <w:tc>
          <w:tcPr>
            <w:tcW w:type="dxa" w:w="194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企业询价；与SGS等合作</w:t>
            </w:r>
          </w:p>
        </w:tc>
        <w:tc>
          <w:tcPr>
            <w:tcW w:type="dxa" w:w="18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双边网络、多语协作、欧洲伙伴生态</w:t>
            </w:r>
          </w:p>
        </w:tc>
        <w:tc>
          <w:tcPr>
            <w:tcW w:type="dxa" w:w="18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最接近生态型对手；用中国制造网络和行业深度差异化</w:t>
            </w:r>
          </w:p>
        </w:tc>
      </w:tr>
      <w:tr>
        <w:trPr>
          <w:cantSplit/>
        </w:trPr>
        <w:tc>
          <w:tcPr>
            <w:tcW w:type="dxa" w:w="122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CBAMBOO（英国）</w:t>
            </w:r>
          </w:p>
        </w:tc>
        <w:tc>
          <w:tcPr>
            <w:tcW w:type="dxa" w:w="244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聚焦设施监测计划、进口暴露、供应商接入和核查资料准备</w:t>
            </w:r>
          </w:p>
        </w:tc>
        <w:tc>
          <w:tcPr>
            <w:tcW w:type="dxa" w:w="194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询价；供应商基础接入可由进口商赞助；AEB伙伴</w:t>
            </w:r>
          </w:p>
        </w:tc>
        <w:tc>
          <w:tcPr>
            <w:tcW w:type="dxa" w:w="18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CBAM原生、设施数据模型、轻量部署</w:t>
            </w:r>
          </w:p>
        </w:tc>
        <w:tc>
          <w:tcPr>
            <w:tcW w:type="dxa" w:w="18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验证楔子正确；必须在中国产业集群交付上做深</w:t>
            </w:r>
          </w:p>
        </w:tc>
      </w:tr>
      <w:tr>
        <w:trPr>
          <w:cantSplit/>
        </w:trPr>
        <w:tc>
          <w:tcPr>
            <w:tcW w:type="dxa" w:w="122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AEB（德国）</w:t>
            </w:r>
          </w:p>
        </w:tc>
        <w:tc>
          <w:tcPr>
            <w:tcW w:type="dxa" w:w="244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成熟贸易合规、海关和物流软件公司，拥有大规模既有客户与SAP连接</w:t>
            </w:r>
          </w:p>
        </w:tc>
        <w:tc>
          <w:tcPr>
            <w:tcW w:type="dxa" w:w="194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企业订阅/实施询价；与CBAMBOO合作</w:t>
            </w:r>
          </w:p>
        </w:tc>
        <w:tc>
          <w:tcPr>
            <w:tcW w:type="dxa" w:w="18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海关控制点、客户基盘、实施网络</w:t>
            </w:r>
          </w:p>
        </w:tc>
        <w:tc>
          <w:tcPr>
            <w:tcW w:type="dxa" w:w="18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优先做渠道/集成伙伴，不自建报关系统</w:t>
            </w:r>
          </w:p>
        </w:tc>
      </w:tr>
      <w:tr>
        <w:trPr>
          <w:cantSplit/>
        </w:trPr>
        <w:tc>
          <w:tcPr>
            <w:tcW w:type="dxa" w:w="122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DNV/SGS/BV/TÜV</w:t>
            </w:r>
          </w:p>
        </w:tc>
        <w:tc>
          <w:tcPr>
            <w:tcW w:type="dxa" w:w="244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全球检测认证与核查/预核查服务；正式CBAM核查须满足欧盟认可要求</w:t>
            </w:r>
          </w:p>
        </w:tc>
        <w:tc>
          <w:tcPr>
            <w:tcW w:type="dxa" w:w="1944"/>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按设施/项目询价</w:t>
            </w:r>
          </w:p>
        </w:tc>
        <w:tc>
          <w:tcPr>
            <w:tcW w:type="dxa" w:w="18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品牌信任、现场网络、行业专家</w:t>
            </w:r>
          </w:p>
        </w:tc>
        <w:tc>
          <w:tcPr>
            <w:tcW w:type="dxa" w:w="18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保持独立签约、零结果佣金；平台提供核查工作区</w:t>
            </w:r>
          </w:p>
        </w:tc>
      </w:tr>
    </w:tbl>
    <w:p>
      <w:pPr>
        <w:spacing w:before="160" w:after="0" w:line="320" w:lineRule="auto"/>
        <w:jc w:val="both"/>
      </w:pPr>
      <w:r>
        <w:rPr>
          <w:rFonts w:ascii="Calibri" w:hAnsi="Calibri" w:eastAsia="Hiragino Sans GB"/>
          <w:b/>
          <w:i w:val="0"/>
          <w:color w:val="073F3A"/>
          <w:sz w:val="20"/>
        </w:rPr>
        <w:t>结论：欧洲强手大多控制企业系统或本地信任。本项目的可赢位置不是“又一个CBAM计算器”，而是中国设施数据生产、跨境权限和核查就绪交付。</w:t>
      </w:r>
    </w:p>
    <w:p>
      <w:pPr>
        <w:keepNext/>
        <w:pageBreakBefore/>
        <w:spacing w:before="0" w:after="40" w:line="240" w:lineRule="auto"/>
        <w:jc w:val="left"/>
      </w:pPr>
      <w:r>
        <w:rPr>
          <w:rFonts w:ascii="Calibri" w:hAnsi="Calibri" w:eastAsia="Hiragino Sans GB"/>
          <w:b/>
          <w:i w:val="0"/>
          <w:color w:val="0B5A52"/>
          <w:sz w:val="16"/>
        </w:rPr>
        <w:t>CHINA COMPETITION</w:t>
      </w:r>
    </w:p>
    <w:p>
      <w:pPr>
        <w:pStyle w:val="Heading1"/>
      </w:pPr>
      <w:r>
        <w:rPr>
          <w:rFonts w:ascii="Calibri" w:hAnsi="Calibri" w:eastAsia="Hiragino Sans GB"/>
          <w:b/>
          <w:color w:val="2E74B5"/>
          <w:sz w:val="32"/>
        </w:rPr>
        <w:t>中国竞争者：制造现场、因子数据与本地交付更强</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368"/>
        <w:gridCol w:w="2808"/>
        <w:gridCol w:w="2088"/>
        <w:gridCol w:w="1584"/>
        <w:gridCol w:w="1512"/>
      </w:tblGrid>
      <w:tr>
        <w:trPr>
          <w:cantSplit/>
          <w:tblHeader w:val="true"/>
          <w:cantSplit/>
        </w:trPr>
        <w:tc>
          <w:tcPr>
            <w:tcW w:type="dxa" w:w="1368"/>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4"/>
              </w:rPr>
              <w:t>公司</w:t>
            </w:r>
          </w:p>
        </w:tc>
        <w:tc>
          <w:tcPr>
            <w:tcW w:type="dxa" w:w="2808"/>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4"/>
              </w:rPr>
              <w:t>基本情况与产品</w:t>
            </w:r>
          </w:p>
        </w:tc>
        <w:tc>
          <w:tcPr>
            <w:tcW w:type="dxa" w:w="2088"/>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4"/>
              </w:rPr>
              <w:t>收费/伙伴</w:t>
            </w:r>
          </w:p>
        </w:tc>
        <w:tc>
          <w:tcPr>
            <w:tcW w:type="dxa" w:w="1584"/>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4"/>
              </w:rPr>
              <w:t>优势</w:t>
            </w:r>
          </w:p>
        </w:tc>
        <w:tc>
          <w:tcPr>
            <w:tcW w:type="dxa" w:w="1512"/>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4"/>
              </w:rPr>
              <w:t>合作或竞争判断</w:t>
            </w:r>
          </w:p>
        </w:tc>
      </w:tr>
      <w:tr>
        <w:trPr>
          <w:cantSplit/>
        </w:trPr>
        <w:tc>
          <w:tcPr>
            <w:tcW w:type="dxa" w:w="1368"/>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碳阻迹 Carbonstop</w:t>
            </w:r>
          </w:p>
        </w:tc>
        <w:tc>
          <w:tcPr>
            <w:tcW w:type="dxa" w:w="28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2011年成立；碳云、LCA、CBAM、数据/API与咨询；公司披露服务1,500+组织</w:t>
            </w:r>
          </w:p>
        </w:tc>
        <w:tc>
          <w:tcPr>
            <w:tcW w:type="dxa" w:w="208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订阅+咨询+数据/API；价格未公开；国际专业机构生态</w:t>
            </w:r>
          </w:p>
        </w:tc>
        <w:tc>
          <w:tcPr>
            <w:tcW w:type="dxa" w:w="158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客户基盘、因子数据、资本与品牌</w:t>
            </w:r>
          </w:p>
        </w:tc>
        <w:tc>
          <w:tcPr>
            <w:tcW w:type="dxa" w:w="151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强综合对手；可探索数据/API或项目交付合作</w:t>
            </w:r>
          </w:p>
        </w:tc>
      </w:tr>
      <w:tr>
        <w:trPr>
          <w:cantSplit/>
        </w:trPr>
        <w:tc>
          <w:tcPr>
            <w:tcW w:type="dxa" w:w="1368"/>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中创碳投 SinoCarbon</w:t>
            </w:r>
          </w:p>
        </w:tc>
        <w:tc>
          <w:tcPr>
            <w:tcW w:type="dxa" w:w="28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2010年成立；咨询、数字化、碳市场、产业与金融；支持SaaS和私有化</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订阅+项目咨询+私有化；大型能源/国企客户</w:t>
            </w:r>
          </w:p>
        </w:tc>
        <w:tc>
          <w:tcPr>
            <w:tcW w:type="dxa" w:w="158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政策、碳市场、咨询和大型客户交付</w:t>
            </w:r>
          </w:p>
        </w:tc>
        <w:tc>
          <w:tcPr>
            <w:tcW w:type="dxa" w:w="151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适合大型集团和联合研究；欧洲进口入口需另补</w:t>
            </w:r>
          </w:p>
        </w:tc>
      </w:tr>
      <w:tr>
        <w:trPr>
          <w:cantSplit/>
        </w:trPr>
        <w:tc>
          <w:tcPr>
            <w:tcW w:type="dxa" w:w="1368"/>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碳衡科技 CarbonNewture</w:t>
            </w:r>
          </w:p>
        </w:tc>
        <w:tc>
          <w:tcPr>
            <w:tcW w:type="dxa" w:w="28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聚焦跨境碳数据、PCF与CBAM；公开钢铁制品真实值和第三方符合性评估案例</w:t>
            </w:r>
          </w:p>
        </w:tc>
        <w:tc>
          <w:tcPr>
            <w:tcW w:type="dxa" w:w="208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项目+平台订阅；与SGS、TÜV、Intertek、BV及商协会生态合作</w:t>
            </w:r>
          </w:p>
        </w:tc>
        <w:tc>
          <w:tcPr>
            <w:tcW w:type="dxa" w:w="158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已有出口制造案例、设施数据和核查准备</w:t>
            </w:r>
          </w:p>
        </w:tc>
        <w:tc>
          <w:tcPr>
            <w:tcW w:type="dxa" w:w="151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与本项目楔子高度重合；既是竞品也是快速落地伙伴</w:t>
            </w:r>
          </w:p>
        </w:tc>
      </w:tr>
      <w:tr>
        <w:trPr>
          <w:cantSplit/>
        </w:trPr>
        <w:tc>
          <w:tcPr>
            <w:tcW w:type="dxa" w:w="1368"/>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易碳数科 ECDigit</w:t>
            </w:r>
          </w:p>
        </w:tc>
        <w:tc>
          <w:tcPr>
            <w:tcW w:type="dxa" w:w="28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流程制造业LCA、碳管理、CBAM Tool与API，覆盖冶金、建材、有色、化工</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SaaS/API/私有化+行业服务；价格未公开</w:t>
            </w:r>
          </w:p>
        </w:tc>
        <w:tc>
          <w:tcPr>
            <w:tcW w:type="dxa" w:w="158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流程工业数据、行业标准和系统集成</w:t>
            </w:r>
          </w:p>
        </w:tc>
        <w:tc>
          <w:tcPr>
            <w:tcW w:type="dxa" w:w="151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可作为行业数据/引擎伙伴；欧盟责任链需补齐</w:t>
            </w:r>
          </w:p>
        </w:tc>
      </w:tr>
      <w:tr>
        <w:trPr>
          <w:cantSplit/>
        </w:trPr>
        <w:tc>
          <w:tcPr>
            <w:tcW w:type="dxa" w:w="1368"/>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生态型服务商</w:t>
            </w:r>
          </w:p>
        </w:tc>
        <w:tc>
          <w:tcPr>
            <w:tcW w:type="dxa" w:w="28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以咨询+产品提供CBAM、DPP、电池和绿色合规方案</w:t>
            </w:r>
          </w:p>
        </w:tc>
        <w:tc>
          <w:tcPr>
            <w:tcW w:type="dxa" w:w="208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项目制、订阅、私有化，常与检测认证机构合作</w:t>
            </w:r>
          </w:p>
        </w:tc>
        <w:tc>
          <w:tcPr>
            <w:tcW w:type="dxa" w:w="158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企业数字化项目和本地交付</w:t>
            </w:r>
          </w:p>
        </w:tc>
        <w:tc>
          <w:tcPr>
            <w:tcW w:type="dxa" w:w="151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需核验产品复用程度，并严格区分预核查与正式认可</w:t>
            </w:r>
          </w:p>
        </w:tc>
      </w:tr>
    </w:tbl>
    <w:p>
      <w:pPr>
        <w:pStyle w:val="Heading2"/>
      </w:pPr>
      <w:r>
        <w:rPr>
          <w:rFonts w:ascii="Calibri" w:hAnsi="Calibri" w:eastAsia="Hiragino Sans GB"/>
          <w:b/>
          <w:color w:val="2E74B5"/>
          <w:sz w:val="26"/>
        </w:rPr>
        <w:t>中欧能力拼图</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656"/>
        <w:gridCol w:w="2592"/>
        <w:gridCol w:w="2520"/>
        <w:gridCol w:w="2592"/>
      </w:tblGrid>
      <w:tr>
        <w:trPr>
          <w:cantSplit/>
          <w:tblHeader w:val="true"/>
          <w:cantSplit/>
        </w:trPr>
        <w:tc>
          <w:tcPr>
            <w:tcW w:type="dxa" w:w="1656"/>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控制点</w:t>
            </w:r>
          </w:p>
        </w:tc>
        <w:tc>
          <w:tcPr>
            <w:tcW w:type="dxa" w:w="2592"/>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欧洲伙伴</w:t>
            </w:r>
          </w:p>
        </w:tc>
        <w:tc>
          <w:tcPr>
            <w:tcW w:type="dxa" w:w="2520"/>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中国伙伴</w:t>
            </w:r>
          </w:p>
        </w:tc>
        <w:tc>
          <w:tcPr>
            <w:tcW w:type="dxa" w:w="2592"/>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平台角色</w:t>
            </w:r>
          </w:p>
        </w:tc>
      </w:tr>
      <w:tr>
        <w:trPr>
          <w:cantSplit/>
        </w:trPr>
        <w:tc>
          <w:tcPr>
            <w:tcW w:type="dxa" w:w="1656"/>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申报与责任</w:t>
            </w:r>
          </w:p>
        </w:tc>
        <w:tc>
          <w:tcPr>
            <w:tcW w:type="dxa" w:w="25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授权申报人、海关代表、本地法律</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出口合规辅导</w:t>
            </w:r>
          </w:p>
        </w:tc>
        <w:tc>
          <w:tcPr>
            <w:tcW w:type="dxa" w:w="25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规则、数据与协作，不越权代责</w:t>
            </w:r>
          </w:p>
        </w:tc>
      </w:tr>
      <w:tr>
        <w:trPr>
          <w:cantSplit/>
        </w:trPr>
        <w:tc>
          <w:tcPr>
            <w:tcW w:type="dxa" w:w="165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数据入口</w:t>
            </w:r>
          </w:p>
        </w:tc>
        <w:tc>
          <w:tcPr>
            <w:tcW w:type="dxa" w:w="25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ERP、报关、采购系统</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工厂ERP/MES/能耗和现场证据</w:t>
            </w:r>
          </w:p>
        </w:tc>
        <w:tc>
          <w:tcPr>
            <w:tcW w:type="dxa" w:w="25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两端连接器与统一对象模型</w:t>
            </w:r>
          </w:p>
        </w:tc>
      </w:tr>
      <w:tr>
        <w:trPr>
          <w:cantSplit/>
        </w:trPr>
        <w:tc>
          <w:tcPr>
            <w:tcW w:type="dxa" w:w="1656"/>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核查信任</w:t>
            </w:r>
          </w:p>
        </w:tc>
        <w:tc>
          <w:tcPr>
            <w:tcW w:type="dxa" w:w="25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欧盟认可和TIC品牌</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中文现场与预核查交付</w:t>
            </w:r>
          </w:p>
        </w:tc>
        <w:tc>
          <w:tcPr>
            <w:tcW w:type="dxa" w:w="259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独立核查工作区和证据链</w:t>
            </w:r>
          </w:p>
        </w:tc>
      </w:tr>
      <w:tr>
        <w:trPr>
          <w:cantSplit/>
        </w:trPr>
        <w:tc>
          <w:tcPr>
            <w:tcW w:type="dxa" w:w="165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客户网络</w:t>
            </w:r>
          </w:p>
        </w:tc>
        <w:tc>
          <w:tcPr>
            <w:tcW w:type="dxa" w:w="25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进口商与贸易服务关系</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产业集群、园区、协会、制造顾问</w:t>
            </w:r>
          </w:p>
        </w:tc>
        <w:tc>
          <w:tcPr>
            <w:tcW w:type="dxa" w:w="25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以真实贸易关系激活双边网络</w:t>
            </w:r>
          </w:p>
        </w:tc>
      </w:tr>
    </w:tbl>
    <w:p>
      <w:pPr>
        <w:keepNext/>
        <w:pageBreakBefore/>
        <w:spacing w:before="0" w:after="40" w:line="240" w:lineRule="auto"/>
        <w:jc w:val="left"/>
      </w:pPr>
      <w:r>
        <w:rPr>
          <w:rFonts w:ascii="Calibri" w:hAnsi="Calibri" w:eastAsia="Hiragino Sans GB"/>
          <w:b/>
          <w:i w:val="0"/>
          <w:color w:val="0B5A52"/>
          <w:sz w:val="16"/>
        </w:rPr>
        <w:t>PARTNER ECONOMICS</w:t>
      </w:r>
    </w:p>
    <w:p>
      <w:pPr>
        <w:pStyle w:val="Heading1"/>
      </w:pPr>
      <w:r>
        <w:rPr>
          <w:rFonts w:ascii="Calibri" w:hAnsi="Calibri" w:eastAsia="Hiragino Sans GB"/>
          <w:b/>
          <w:color w:val="2E74B5"/>
          <w:sz w:val="32"/>
        </w:rPr>
        <w:t>生态合作与分润：用伙伴放大销售，但守住毛利与合规</w:t>
      </w:r>
    </w:p>
    <w:p>
      <w:pPr>
        <w:spacing w:before="0" w:after="200" w:line="320" w:lineRule="auto"/>
        <w:jc w:val="both"/>
      </w:pPr>
      <w:r>
        <w:rPr>
          <w:rFonts w:ascii="Calibri" w:hAnsi="Calibri" w:eastAsia="Hiragino Sans GB"/>
          <w:b w:val="0"/>
          <w:i w:val="0"/>
          <w:color w:val="1F2933"/>
          <w:sz w:val="21"/>
        </w:rPr>
        <w:t>v2.0材料提出首年75%、次年25%、后续每年人民币1,000元的推荐分成。该方案若直接普遍执行，会显著侵蚀首年毛利，并可能在向进口商个人支付时产生利益冲突。建议改为按伙伴贡献分层、按净回款结算。</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656"/>
        <w:gridCol w:w="3024"/>
        <w:gridCol w:w="2232"/>
        <w:gridCol w:w="2448"/>
      </w:tblGrid>
      <w:tr>
        <w:trPr>
          <w:cantSplit/>
          <w:tblHeader w:val="true"/>
          <w:cantSplit/>
        </w:trPr>
        <w:tc>
          <w:tcPr>
            <w:tcW w:type="dxa" w:w="1656"/>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5"/>
              </w:rPr>
              <w:t>伙伴类型</w:t>
            </w:r>
          </w:p>
        </w:tc>
        <w:tc>
          <w:tcPr>
            <w:tcW w:type="dxa" w:w="302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5"/>
              </w:rPr>
              <w:t>承担责任</w:t>
            </w:r>
          </w:p>
        </w:tc>
        <w:tc>
          <w:tcPr>
            <w:tcW w:type="dxa" w:w="2232"/>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5"/>
              </w:rPr>
              <w:t>建议分润</w:t>
            </w:r>
          </w:p>
        </w:tc>
        <w:tc>
          <w:tcPr>
            <w:tcW w:type="dxa" w:w="2448"/>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5"/>
              </w:rPr>
              <w:t>关键约束</w:t>
            </w:r>
          </w:p>
        </w:tc>
      </w:tr>
      <w:tr>
        <w:trPr>
          <w:cantSplit/>
        </w:trPr>
        <w:tc>
          <w:tcPr>
            <w:tcW w:type="dxa" w:w="165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线索推荐</w:t>
            </w:r>
          </w:p>
        </w:tc>
        <w:tc>
          <w:tcPr>
            <w:tcW w:type="dxa" w:w="302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提供合格商机与引荐，不参与销售交付</w:t>
            </w:r>
          </w:p>
        </w:tc>
        <w:tc>
          <w:tcPr>
            <w:tcW w:type="dxa" w:w="223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首年净软件收入15%-20%；次年5%-10%</w:t>
            </w:r>
          </w:p>
        </w:tc>
        <w:tc>
          <w:tcPr>
            <w:tcW w:type="dxa" w:w="244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只向签约法人付款；不向客户员工个人返现</w:t>
            </w:r>
          </w:p>
        </w:tc>
      </w:tr>
      <w:tr>
        <w:trPr>
          <w:cantSplit/>
        </w:trPr>
        <w:tc>
          <w:tcPr>
            <w:tcW w:type="dxa" w:w="165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联合销售</w:t>
            </w:r>
          </w:p>
        </w:tc>
        <w:tc>
          <w:tcPr>
            <w:tcW w:type="dxa" w:w="302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共同诊断、方案、商务推进与客户关系</w:t>
            </w:r>
          </w:p>
        </w:tc>
        <w:tc>
          <w:tcPr>
            <w:tcW w:type="dxa" w:w="223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首年20%-35%；续费10%-15%</w:t>
            </w:r>
          </w:p>
        </w:tc>
        <w:tc>
          <w:tcPr>
            <w:tcW w:type="dxa" w:w="244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设置商机报备、回款和退款冲回机制</w:t>
            </w:r>
          </w:p>
        </w:tc>
      </w:tr>
      <w:tr>
        <w:trPr>
          <w:cantSplit/>
        </w:trPr>
        <w:tc>
          <w:tcPr>
            <w:tcW w:type="dxa" w:w="165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实施交付</w:t>
            </w:r>
          </w:p>
        </w:tc>
        <w:tc>
          <w:tcPr>
            <w:tcW w:type="dxa" w:w="302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承担培训、数据整理、现场服务和项目管理</w:t>
            </w:r>
          </w:p>
        </w:tc>
        <w:tc>
          <w:tcPr>
            <w:tcW w:type="dxa" w:w="223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服务净收入40%-60%；软件收入10%-25%</w:t>
            </w:r>
          </w:p>
        </w:tc>
        <w:tc>
          <w:tcPr>
            <w:tcW w:type="dxa" w:w="244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按SLA、验收和毛利底线结算</w:t>
            </w:r>
          </w:p>
        </w:tc>
      </w:tr>
      <w:tr>
        <w:trPr>
          <w:cantSplit/>
        </w:trPr>
        <w:tc>
          <w:tcPr>
            <w:tcW w:type="dxa" w:w="165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战略渠道/白标</w:t>
            </w:r>
          </w:p>
        </w:tc>
        <w:tc>
          <w:tcPr>
            <w:tcW w:type="dxa" w:w="302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承担区域获客、一线支持和规模目标</w:t>
            </w:r>
          </w:p>
        </w:tc>
        <w:tc>
          <w:tcPr>
            <w:tcW w:type="dxa" w:w="223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阶梯折扣或20%-35%软件分成</w:t>
            </w:r>
          </w:p>
        </w:tc>
        <w:tc>
          <w:tcPr>
            <w:tcW w:type="dxa" w:w="244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年度最低业绩、客户数据权与品牌边界</w:t>
            </w:r>
          </w:p>
        </w:tc>
      </w:tr>
      <w:tr>
        <w:trPr>
          <w:cantSplit/>
        </w:trPr>
        <w:tc>
          <w:tcPr>
            <w:tcW w:type="dxa" w:w="165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独立核查/法律/海关</w:t>
            </w:r>
          </w:p>
        </w:tc>
        <w:tc>
          <w:tcPr>
            <w:tcW w:type="dxa" w:w="302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依法或按资质独立履责</w:t>
            </w:r>
          </w:p>
        </w:tc>
        <w:tc>
          <w:tcPr>
            <w:tcW w:type="dxa" w:w="223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客户与伙伴直接签约；平台收技术/协作费</w:t>
            </w:r>
          </w:p>
        </w:tc>
        <w:tc>
          <w:tcPr>
            <w:tcW w:type="dxa" w:w="244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不按核查结果付佣，不干预专业结论</w:t>
            </w:r>
          </w:p>
        </w:tc>
      </w:tr>
    </w:tbl>
    <w:p>
      <w:pPr>
        <w:pStyle w:val="Heading2"/>
        <w:pageBreakBefore/>
      </w:pPr>
      <w:r>
        <w:rPr>
          <w:rFonts w:ascii="Calibri" w:hAnsi="Calibri" w:eastAsia="Hiragino Sans GB"/>
          <w:b/>
          <w:color w:val="2E74B5"/>
          <w:sz w:val="26"/>
        </w:rPr>
        <w:t>75%首年分成何时才可使用</w:t>
      </w:r>
    </w:p>
    <w:p>
      <w:pPr>
        <w:pStyle w:val="ListBullet"/>
        <w:spacing w:after="80" w:line="290" w:lineRule="auto"/>
        <w:ind w:left="540" w:hanging="279"/>
      </w:pPr>
      <w:r>
        <w:rPr>
          <w:rFonts w:ascii="Calibri" w:hAnsi="Calibri" w:eastAsia="Hiragino Sans GB"/>
          <w:color w:val="1F2933"/>
          <w:sz w:val="22"/>
        </w:rPr>
        <w:t>仅限小范围获客实验，或伙伴承担几乎全部获客、实施与一线服务的联营项目；不得作为所有进口商推荐的默认政策。</w:t>
      </w:r>
    </w:p>
    <w:p>
      <w:pPr>
        <w:pStyle w:val="ListBullet"/>
        <w:spacing w:after="80" w:line="290" w:lineRule="auto"/>
        <w:ind w:left="540" w:hanging="279"/>
      </w:pPr>
      <w:r>
        <w:rPr>
          <w:rFonts w:ascii="Calibri" w:hAnsi="Calibri" w:eastAsia="Hiragino Sans GB"/>
          <w:color w:val="1F2933"/>
          <w:sz w:val="22"/>
        </w:rPr>
        <w:t>分成基数必须是扣除税费、第三方成本、折扣和退款后的净回款；设置单项目上限与客户留存条件。</w:t>
      </w:r>
    </w:p>
    <w:p>
      <w:pPr>
        <w:pStyle w:val="ListBullet"/>
        <w:spacing w:after="80" w:line="290" w:lineRule="auto"/>
        <w:ind w:left="540" w:hanging="279"/>
      </w:pPr>
      <w:r>
        <w:rPr>
          <w:rFonts w:ascii="Calibri" w:hAnsi="Calibri" w:eastAsia="Hiragino Sans GB"/>
          <w:color w:val="1F2933"/>
          <w:sz w:val="22"/>
        </w:rPr>
        <w:t>优先给进口企业法人服务额度、联合市场预算或采购分析权益，不向其员工个人支付推荐费。</w:t>
      </w:r>
    </w:p>
    <w:p>
      <w:pPr>
        <w:pStyle w:val="ListBullet"/>
        <w:spacing w:after="80" w:line="290" w:lineRule="auto"/>
        <w:ind w:left="540" w:hanging="279"/>
      </w:pPr>
      <w:r>
        <w:rPr>
          <w:rFonts w:ascii="Calibri" w:hAnsi="Calibri" w:eastAsia="Hiragino Sans GB"/>
          <w:color w:val="1F2933"/>
          <w:sz w:val="22"/>
        </w:rPr>
        <w:t>董事会按季度跟踪伙伴赢单率、分润后毛利、实施质量、回款周期和客户集中度。</w:t>
      </w:r>
    </w:p>
    <w:p>
      <w:pPr>
        <w:pStyle w:val="Heading2"/>
      </w:pPr>
      <w:r>
        <w:rPr>
          <w:rFonts w:ascii="Calibri" w:hAnsi="Calibri" w:eastAsia="Hiragino Sans GB"/>
          <w:b/>
          <w:color w:val="2E74B5"/>
          <w:sz w:val="26"/>
        </w:rPr>
        <w:t>如何说服伙伴加入</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656"/>
        <w:gridCol w:w="3096"/>
        <w:gridCol w:w="2520"/>
        <w:gridCol w:w="2088"/>
      </w:tblGrid>
      <w:tr>
        <w:trPr>
          <w:cantSplit/>
          <w:tblHeader w:val="true"/>
          <w:cantSplit/>
        </w:trPr>
        <w:tc>
          <w:tcPr>
            <w:tcW w:type="dxa" w:w="1656"/>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4"/>
              </w:rPr>
              <w:t>伙伴</w:t>
            </w:r>
          </w:p>
        </w:tc>
        <w:tc>
          <w:tcPr>
            <w:tcW w:type="dxa" w:w="3096"/>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4"/>
              </w:rPr>
              <w:t>加入理由</w:t>
            </w:r>
          </w:p>
        </w:tc>
        <w:tc>
          <w:tcPr>
            <w:tcW w:type="dxa" w:w="2520"/>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4"/>
              </w:rPr>
              <w:t>平台承诺</w:t>
            </w:r>
          </w:p>
        </w:tc>
        <w:tc>
          <w:tcPr>
            <w:tcW w:type="dxa" w:w="2088"/>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4"/>
              </w:rPr>
              <w:t>首个联合动作</w:t>
            </w:r>
          </w:p>
        </w:tc>
      </w:tr>
      <w:tr>
        <w:trPr>
          <w:cantSplit/>
        </w:trPr>
        <w:tc>
          <w:tcPr>
            <w:tcW w:type="dxa" w:w="1656"/>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欧洲进口商</w:t>
            </w:r>
          </w:p>
        </w:tc>
        <w:tc>
          <w:tcPr>
            <w:tcW w:type="dxa" w:w="309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标准产品永久免费；更快获得供应商数据、预算和审计轨迹</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不锁定数据；可导出；付费只发生在额外服务</w:t>
            </w:r>
          </w:p>
        </w:tc>
        <w:tc>
          <w:tcPr>
            <w:tcW w:type="dxa" w:w="208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选择1个产品族，邀请3-5家供应商完成8周试点</w:t>
            </w:r>
          </w:p>
        </w:tc>
      </w:tr>
      <w:tr>
        <w:trPr>
          <w:cantSplit/>
        </w:trPr>
        <w:tc>
          <w:tcPr>
            <w:tcW w:type="dxa" w:w="165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中国出口商/工厂</w:t>
            </w:r>
          </w:p>
        </w:tc>
        <w:tc>
          <w:tcPr>
            <w:tcW w:type="dxa" w:w="309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一次数据生产可响应多个客户，降低重复填报并增强订单竞争力</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清晰定价、数据授权可控、提供中文现场支持</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用一个真实订单建立设施与产品模板</w:t>
            </w:r>
          </w:p>
        </w:tc>
      </w:tr>
      <w:tr>
        <w:trPr>
          <w:cantSplit/>
        </w:trPr>
        <w:tc>
          <w:tcPr>
            <w:tcW w:type="dxa" w:w="1656"/>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核查与专业机构</w:t>
            </w:r>
          </w:p>
        </w:tc>
        <w:tc>
          <w:tcPr>
            <w:tcW w:type="dxa" w:w="309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获得结构化、可追溯的证据包，减少低价值数据整理</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保持独立签约与结论权，不按结果付佣</w:t>
            </w:r>
          </w:p>
        </w:tc>
        <w:tc>
          <w:tcPr>
            <w:tcW w:type="dxa" w:w="208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共同定义资料清单、问题闭环与SLA</w:t>
            </w:r>
          </w:p>
        </w:tc>
      </w:tr>
      <w:tr>
        <w:trPr>
          <w:cantSplit/>
        </w:trPr>
        <w:tc>
          <w:tcPr>
            <w:tcW w:type="dxa" w:w="165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4"/>
              </w:rPr>
              <w:t>协会/园区/渠道</w:t>
            </w:r>
          </w:p>
        </w:tc>
        <w:tc>
          <w:tcPr>
            <w:tcW w:type="dxa" w:w="309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为会员增加合规服务和经常性收入，而非一次培训</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联合品牌、培训认证、商机保护与透明分润</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4"/>
              </w:rPr>
              <w:t>举办诊断营并筛选5家灯塔企业</w:t>
            </w:r>
          </w:p>
        </w:tc>
      </w:tr>
    </w:tbl>
    <w:p>
      <w:pPr>
        <w:pStyle w:val="Heading2"/>
      </w:pPr>
      <w:r>
        <w:rPr>
          <w:rFonts w:ascii="Calibri" w:hAnsi="Calibri" w:eastAsia="Hiragino Sans GB"/>
          <w:b/>
          <w:color w:val="2E74B5"/>
          <w:sz w:val="26"/>
        </w:rPr>
        <w:t>90天伙伴启动</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3125"/>
        <w:gridCol w:w="3110"/>
        <w:gridCol w:w="3125"/>
      </w:tblGrid>
      <w:tr>
        <w:trPr>
          <w:cantSplit/>
          <w:tblHeader w:val="true"/>
          <w:cantSplit/>
        </w:trPr>
        <w:tc>
          <w:tcPr>
            <w:tcW w:type="dxa" w:w="3125"/>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0-30天</w:t>
            </w:r>
          </w:p>
        </w:tc>
        <w:tc>
          <w:tcPr>
            <w:tcW w:type="dxa" w:w="3110"/>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31-60天</w:t>
            </w:r>
          </w:p>
        </w:tc>
        <w:tc>
          <w:tcPr>
            <w:tcW w:type="dxa" w:w="3125"/>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61-90天</w:t>
            </w:r>
          </w:p>
        </w:tc>
      </w:tr>
      <w:tr>
        <w:trPr>
          <w:cantSplit/>
        </w:trPr>
        <w:tc>
          <w:tcPr>
            <w:tcW w:type="dxa" w:w="3125"/>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val="0"/>
                <w:color w:val="1F2933"/>
                <w:sz w:val="16"/>
              </w:rPr>
              <w:t>签署边界与分润；培训；联合名单20家</w:t>
            </w:r>
          </w:p>
        </w:tc>
        <w:tc>
          <w:tcPr>
            <w:tcW w:type="dxa" w:w="311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完成3个诊断、1个真实试点；周度复盘</w:t>
            </w:r>
          </w:p>
        </w:tc>
        <w:tc>
          <w:tcPr>
            <w:tcW w:type="dxa" w:w="3125"/>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形成首个付费节点、案例和可复制销售包</w:t>
            </w:r>
          </w:p>
        </w:tc>
      </w:tr>
    </w:tbl>
    <w:p>
      <w:pPr>
        <w:keepNext/>
        <w:pageBreakBefore/>
        <w:spacing w:before="0" w:after="40" w:line="240" w:lineRule="auto"/>
        <w:jc w:val="left"/>
      </w:pPr>
      <w:r>
        <w:rPr>
          <w:rFonts w:ascii="Calibri" w:hAnsi="Calibri" w:eastAsia="Hiragino Sans GB"/>
          <w:b/>
          <w:i w:val="0"/>
          <w:color w:val="0B5A52"/>
          <w:sz w:val="16"/>
        </w:rPr>
        <w:t>GO-TO-MARKET</w:t>
      </w:r>
    </w:p>
    <w:p>
      <w:pPr>
        <w:pStyle w:val="Heading1"/>
      </w:pPr>
      <w:r>
        <w:rPr>
          <w:rFonts w:ascii="Calibri" w:hAnsi="Calibri" w:eastAsia="Hiragino Sans GB"/>
          <w:b/>
          <w:color w:val="2E74B5"/>
          <w:sz w:val="32"/>
        </w:rPr>
        <w:t>进入市场：伙伴获客 + 灯塔试点 + 供应链扩散</w:t>
      </w:r>
    </w:p>
    <w:p>
      <w:pPr>
        <w:spacing w:before="0" w:after="160" w:line="320" w:lineRule="auto"/>
        <w:jc w:val="both"/>
      </w:pPr>
      <w:r>
        <w:rPr>
          <w:rFonts w:ascii="Calibri" w:hAnsi="Calibri" w:eastAsia="Hiragino Sans GB"/>
          <w:b w:val="0"/>
          <w:i w:val="0"/>
          <w:color w:val="1F2933"/>
          <w:sz w:val="22"/>
        </w:rPr>
        <w:t>欧洲市场采用合作伙伴驱动，不在早期建立重型直营网络。以一次可量化的进口商试点切入，跑通一个产品族、3-5家供应商和1-2家设施，再扩展到年度项目和多法人部署。</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584"/>
        <w:gridCol w:w="2592"/>
        <w:gridCol w:w="3240"/>
        <w:gridCol w:w="1944"/>
      </w:tblGrid>
      <w:tr>
        <w:trPr>
          <w:cantSplit/>
          <w:tblHeader w:val="true"/>
          <w:cantSplit/>
        </w:trPr>
        <w:tc>
          <w:tcPr>
            <w:tcW w:type="dxa" w:w="1584"/>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渠道</w:t>
            </w:r>
          </w:p>
        </w:tc>
        <w:tc>
          <w:tcPr>
            <w:tcW w:type="dxa" w:w="2592"/>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合作对象</w:t>
            </w:r>
          </w:p>
        </w:tc>
        <w:tc>
          <w:tcPr>
            <w:tcW w:type="dxa" w:w="3240"/>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获客方式</w:t>
            </w:r>
          </w:p>
        </w:tc>
        <w:tc>
          <w:tcPr>
            <w:tcW w:type="dxa" w:w="1944"/>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关键指标</w:t>
            </w:r>
          </w:p>
        </w:tc>
      </w:tr>
      <w:tr>
        <w:trPr>
          <w:cantSplit/>
        </w:trPr>
        <w:tc>
          <w:tcPr>
            <w:tcW w:type="dxa" w:w="1584"/>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信任渠道</w:t>
            </w:r>
          </w:p>
        </w:tc>
        <w:tc>
          <w:tcPr>
            <w:tcW w:type="dxa" w:w="259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行业协会、商会、进口商组织</w:t>
            </w:r>
          </w:p>
        </w:tc>
        <w:tc>
          <w:tcPr>
            <w:tcW w:type="dxa" w:w="324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政策培训、联合白皮书、会员诊断</w:t>
            </w:r>
          </w:p>
        </w:tc>
        <w:tc>
          <w:tcPr>
            <w:tcW w:type="dxa" w:w="194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MQL成本、诊断转化率</w:t>
            </w:r>
          </w:p>
        </w:tc>
      </w:tr>
      <w:tr>
        <w:trPr>
          <w:cantSplit/>
        </w:trPr>
        <w:tc>
          <w:tcPr>
            <w:tcW w:type="dxa" w:w="158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专业渠道</w:t>
            </w:r>
          </w:p>
        </w:tc>
        <w:tc>
          <w:tcPr>
            <w:tcW w:type="dxa" w:w="25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报关/海关服务、咨询、核查机构</w:t>
            </w:r>
          </w:p>
        </w:tc>
        <w:tc>
          <w:tcPr>
            <w:tcW w:type="dxa" w:w="324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联合诊断与分工交付</w:t>
            </w:r>
          </w:p>
        </w:tc>
        <w:tc>
          <w:tcPr>
            <w:tcW w:type="dxa" w:w="194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伙伴商机数、伙伴赢单率</w:t>
            </w:r>
          </w:p>
        </w:tc>
      </w:tr>
      <w:tr>
        <w:trPr>
          <w:cantSplit/>
        </w:trPr>
        <w:tc>
          <w:tcPr>
            <w:tcW w:type="dxa" w:w="1584"/>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供应链渠道</w:t>
            </w:r>
          </w:p>
        </w:tc>
        <w:tc>
          <w:tcPr>
            <w:tcW w:type="dxa" w:w="2592"/>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出口商、生产设施、现有客户推荐</w:t>
            </w:r>
          </w:p>
        </w:tc>
        <w:tc>
          <w:tcPr>
            <w:tcW w:type="dxa" w:w="324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沿真实贸易关系反向连接进口商</w:t>
            </w:r>
          </w:p>
        </w:tc>
        <w:tc>
          <w:tcPr>
            <w:tcW w:type="dxa" w:w="194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邀请接受率、节点转化率</w:t>
            </w:r>
          </w:p>
        </w:tc>
      </w:tr>
      <w:tr>
        <w:trPr>
          <w:cantSplit/>
        </w:trPr>
        <w:tc>
          <w:tcPr>
            <w:tcW w:type="dxa" w:w="158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定向销售</w:t>
            </w:r>
          </w:p>
        </w:tc>
        <w:tc>
          <w:tcPr>
            <w:tcW w:type="dxa" w:w="259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高责任钢铝进口商</w:t>
            </w:r>
          </w:p>
        </w:tc>
        <w:tc>
          <w:tcPr>
            <w:tcW w:type="dxa" w:w="324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免费适用性诊断 + 8周灯塔试点</w:t>
            </w:r>
          </w:p>
        </w:tc>
        <w:tc>
          <w:tcPr>
            <w:tcW w:type="dxa" w:w="194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销售周期、试点付费率</w:t>
            </w:r>
          </w:p>
        </w:tc>
      </w:tr>
    </w:tbl>
    <w:p>
      <w:pPr>
        <w:pStyle w:val="Heading2"/>
      </w:pPr>
      <w:r>
        <w:rPr>
          <w:rFonts w:ascii="Calibri" w:hAnsi="Calibri" w:eastAsia="Hiragino Sans GB"/>
          <w:b/>
          <w:color w:val="2E74B5"/>
          <w:sz w:val="26"/>
        </w:rPr>
        <w:t>标准销售路径</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340"/>
        <w:gridCol w:w="2340"/>
        <w:gridCol w:w="2340"/>
        <w:gridCol w:w="2340"/>
      </w:tblGrid>
      <w:tr>
        <w:trPr>
          <w:cantSplit/>
        </w:trPr>
        <w:tc>
          <w:tcPr>
            <w:tcW w:type="dxa" w:w="2340"/>
            <w:tcMar>
              <w:top w:w="150" w:type="dxa"/>
              <w:start w:w="100" w:type="dxa"/>
              <w:bottom w:w="150" w:type="dxa"/>
              <w:end w:w="100" w:type="dxa"/>
            </w:tcMar>
            <w:vAlign w:val="center"/>
            <w:shd w:fill="073F3A"/>
          </w:tcPr>
          <w:p>
            <w:pPr>
              <w:spacing w:before="0" w:after="40" w:line="240" w:lineRule="auto"/>
              <w:jc w:val="center"/>
            </w:pPr>
            <w:r>
              <w:rPr>
                <w:rFonts w:ascii="Calibri" w:hAnsi="Calibri" w:eastAsia="Hiragino Sans GB"/>
                <w:b/>
                <w:color w:val="FFFFFF"/>
                <w:sz w:val="32"/>
              </w:rPr>
              <w:t>1</w:t>
            </w:r>
          </w:p>
          <w:p>
            <w:pPr>
              <w:spacing w:before="0" w:after="0" w:line="252" w:lineRule="auto"/>
              <w:jc w:val="center"/>
            </w:pPr>
            <w:r>
              <w:rPr>
                <w:rFonts w:ascii="Calibri" w:hAnsi="Calibri" w:eastAsia="Hiragino Sans GB"/>
                <w:color w:val="FFFFFF"/>
                <w:sz w:val="15"/>
              </w:rPr>
              <w:t>范围/风险诊断</w:t>
            </w:r>
          </w:p>
        </w:tc>
        <w:tc>
          <w:tcPr>
            <w:tcW w:type="dxa" w:w="2340"/>
            <w:tcMar>
              <w:top w:w="150" w:type="dxa"/>
              <w:start w:w="100" w:type="dxa"/>
              <w:bottom w:w="150" w:type="dxa"/>
              <w:end w:w="100" w:type="dxa"/>
            </w:tcMar>
            <w:vAlign w:val="center"/>
            <w:shd w:fill="0B5A52"/>
          </w:tcPr>
          <w:p>
            <w:pPr>
              <w:spacing w:before="0" w:after="40" w:line="240" w:lineRule="auto"/>
              <w:jc w:val="center"/>
            </w:pPr>
            <w:r>
              <w:rPr>
                <w:rFonts w:ascii="Calibri" w:hAnsi="Calibri" w:eastAsia="Hiragino Sans GB"/>
                <w:b/>
                <w:color w:val="FFFFFF"/>
                <w:sz w:val="32"/>
              </w:rPr>
              <w:t>2</w:t>
            </w:r>
          </w:p>
          <w:p>
            <w:pPr>
              <w:spacing w:before="0" w:after="0" w:line="252" w:lineRule="auto"/>
              <w:jc w:val="center"/>
            </w:pPr>
            <w:r>
              <w:rPr>
                <w:rFonts w:ascii="Calibri" w:hAnsi="Calibri" w:eastAsia="Hiragino Sans GB"/>
                <w:color w:val="FFFFFF"/>
                <w:sz w:val="15"/>
              </w:rPr>
              <w:t>单产品灯塔试点</w:t>
            </w:r>
          </w:p>
        </w:tc>
        <w:tc>
          <w:tcPr>
            <w:tcW w:type="dxa" w:w="2340"/>
            <w:tcMar>
              <w:top w:w="150" w:type="dxa"/>
              <w:start w:w="100" w:type="dxa"/>
              <w:bottom w:w="150" w:type="dxa"/>
              <w:end w:w="100" w:type="dxa"/>
            </w:tcMar>
            <w:vAlign w:val="center"/>
            <w:shd w:fill="073F3A"/>
          </w:tcPr>
          <w:p>
            <w:pPr>
              <w:spacing w:before="0" w:after="40" w:line="240" w:lineRule="auto"/>
              <w:jc w:val="center"/>
            </w:pPr>
            <w:r>
              <w:rPr>
                <w:rFonts w:ascii="Calibri" w:hAnsi="Calibri" w:eastAsia="Hiragino Sans GB"/>
                <w:b/>
                <w:color w:val="FFFFFF"/>
                <w:sz w:val="32"/>
              </w:rPr>
              <w:t>3</w:t>
            </w:r>
          </w:p>
          <w:p>
            <w:pPr>
              <w:spacing w:before="0" w:after="0" w:line="252" w:lineRule="auto"/>
              <w:jc w:val="center"/>
            </w:pPr>
            <w:r>
              <w:rPr>
                <w:rFonts w:ascii="Calibri" w:hAnsi="Calibri" w:eastAsia="Hiragino Sans GB"/>
                <w:color w:val="FFFFFF"/>
                <w:sz w:val="15"/>
              </w:rPr>
              <w:t>年度项目</w:t>
            </w:r>
          </w:p>
        </w:tc>
        <w:tc>
          <w:tcPr>
            <w:tcW w:type="dxa" w:w="2340"/>
            <w:tcMar>
              <w:top w:w="150" w:type="dxa"/>
              <w:start w:w="100" w:type="dxa"/>
              <w:bottom w:w="150" w:type="dxa"/>
              <w:end w:w="100" w:type="dxa"/>
            </w:tcMar>
            <w:vAlign w:val="center"/>
            <w:shd w:fill="0B5A52"/>
          </w:tcPr>
          <w:p>
            <w:pPr>
              <w:spacing w:before="0" w:after="40" w:line="240" w:lineRule="auto"/>
              <w:jc w:val="center"/>
            </w:pPr>
            <w:r>
              <w:rPr>
                <w:rFonts w:ascii="Calibri" w:hAnsi="Calibri" w:eastAsia="Hiragino Sans GB"/>
                <w:b/>
                <w:color w:val="FFFFFF"/>
                <w:sz w:val="32"/>
              </w:rPr>
              <w:t>4</w:t>
            </w:r>
          </w:p>
          <w:p>
            <w:pPr>
              <w:spacing w:before="0" w:after="0" w:line="252" w:lineRule="auto"/>
              <w:jc w:val="center"/>
            </w:pPr>
            <w:r>
              <w:rPr>
                <w:rFonts w:ascii="Calibri" w:hAnsi="Calibri" w:eastAsia="Hiragino Sans GB"/>
                <w:color w:val="FFFFFF"/>
                <w:sz w:val="15"/>
              </w:rPr>
              <w:t>多供应商/多法人扩展</w:t>
            </w:r>
          </w:p>
        </w:tc>
      </w:tr>
    </w:tbl>
    <w:p>
      <w:pPr>
        <w:spacing w:before="0" w:after="80" w:line="240" w:lineRule="auto"/>
        <w:jc w:val="both"/>
      </w:pPr>
      <w:r>
        <w:rPr>
          <w:rFonts w:ascii="Calibri" w:hAnsi="Calibri" w:eastAsia="Hiragino Sans GB"/>
          <w:b w:val="0"/>
          <w:i w:val="0"/>
          <w:color w:val="1F2933"/>
          <w:sz w:val="2"/>
        </w:rPr>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800"/>
        <w:gridCol w:w="2520"/>
        <w:gridCol w:w="2520"/>
        <w:gridCol w:w="2520"/>
      </w:tblGrid>
      <w:tr>
        <w:trPr>
          <w:cantSplit/>
          <w:tblHeader w:val="true"/>
          <w:cantSplit/>
        </w:trPr>
        <w:tc>
          <w:tcPr>
            <w:tcW w:type="dxa" w:w="1800"/>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7"/>
              </w:rPr>
              <w:t>阶段</w:t>
            </w:r>
          </w:p>
        </w:tc>
        <w:tc>
          <w:tcPr>
            <w:tcW w:type="dxa" w:w="2520"/>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7"/>
              </w:rPr>
              <w:t>0-6个月</w:t>
            </w:r>
          </w:p>
        </w:tc>
        <w:tc>
          <w:tcPr>
            <w:tcW w:type="dxa" w:w="2520"/>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7"/>
              </w:rPr>
              <w:t>6-12个月</w:t>
            </w:r>
          </w:p>
        </w:tc>
        <w:tc>
          <w:tcPr>
            <w:tcW w:type="dxa" w:w="2520"/>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7"/>
              </w:rPr>
              <w:t>12-24个月</w:t>
            </w:r>
          </w:p>
        </w:tc>
      </w:tr>
      <w:tr>
        <w:trPr>
          <w:cantSplit/>
        </w:trPr>
        <w:tc>
          <w:tcPr>
            <w:tcW w:type="dxa" w:w="1800"/>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目标</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验证端到端交付</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形成重复销售</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渠道规模化</w:t>
            </w:r>
          </w:p>
        </w:tc>
      </w:tr>
      <w:tr>
        <w:trPr>
          <w:cantSplit/>
        </w:trPr>
        <w:tc>
          <w:tcPr>
            <w:tcW w:type="dxa" w:w="1800"/>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活跃进口商</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5</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15-20</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70</w:t>
            </w:r>
          </w:p>
        </w:tc>
      </w:tr>
      <w:tr>
        <w:trPr>
          <w:cantSplit/>
        </w:trPr>
        <w:tc>
          <w:tcPr>
            <w:tcW w:type="dxa" w:w="1800"/>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供应链付费节点</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50</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250-350</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1,200</w:t>
            </w:r>
          </w:p>
        </w:tc>
      </w:tr>
      <w:tr>
        <w:trPr>
          <w:cantSplit/>
        </w:trPr>
        <w:tc>
          <w:tcPr>
            <w:tcW w:type="dxa" w:w="1800"/>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7"/>
              </w:rPr>
              <w:t>关键伙伴</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1家渠道 + 1家核查</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3-5家活跃伙伴</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7"/>
              </w:rPr>
              <w:t>8-12家可复制伙伴</w:t>
            </w:r>
          </w:p>
        </w:tc>
      </w:tr>
    </w:tbl>
    <w:tbl>
      <w:tblPr>
        <w:tblW w:type="dxa" w:w="9360"/>
        <w:jc w:val="left"/>
        <w:tblLayout w:type="fixed"/>
        <w:tblLook w:firstColumn="1" w:firstRow="1" w:lastColumn="0" w:lastRow="0" w:noHBand="0" w:noVBand="1" w:val="04A0"/>
        <w:tblInd w:w="120" w:type="dxa"/>
        <w:tblBorders>
          <w:top w:val="single" w:sz="0" w:space="0" w:color="EEF4E7"/>
          <w:left w:val="single" w:sz="0" w:space="0" w:color="EEF4E7"/>
          <w:bottom w:val="single" w:sz="0" w:space="0" w:color="EEF4E7"/>
          <w:right w:val="single" w:sz="0" w:space="0" w:color="EEF4E7"/>
          <w:insideH w:val="single" w:sz="0" w:space="0" w:color="EEF4E7"/>
          <w:insideV w:val="single" w:sz="0" w:space="0" w:color="EEF4E7"/>
        </w:tblBorders>
      </w:tblPr>
      <w:tblGrid>
        <w:gridCol w:w="9360"/>
      </w:tblGrid>
      <w:tr>
        <w:trPr>
          <w:cantSplit/>
        </w:trPr>
        <w:tc>
          <w:tcPr>
            <w:tcW w:type="dxa" w:w="9360"/>
            <w:tcMar>
              <w:top w:w="160" w:type="dxa"/>
              <w:start w:w="180" w:type="dxa"/>
              <w:bottom w:w="160" w:type="dxa"/>
              <w:end w:w="180" w:type="dxa"/>
            </w:tcMar>
            <w:vAlign w:val="center"/>
            <w:shd w:fill="EEF4E7"/>
          </w:tcPr>
          <w:p>
            <w:pPr>
              <w:spacing w:before="0" w:after="0" w:line="288" w:lineRule="auto"/>
            </w:pPr>
            <w:r>
              <w:rPr>
                <w:rFonts w:ascii="Calibri" w:hAnsi="Calibri" w:eastAsia="Hiragino Sans GB"/>
                <w:b/>
                <w:color w:val="6E9F42"/>
                <w:sz w:val="19"/>
              </w:rPr>
              <w:t xml:space="preserve">冷启动原则  </w:t>
            </w:r>
            <w:r>
              <w:rPr>
                <w:rFonts w:ascii="Calibri" w:hAnsi="Calibri" w:eastAsia="Hiragino Sans GB"/>
                <w:color w:val="1F2933"/>
                <w:sz w:val="19"/>
              </w:rPr>
              <w:t>不以“签约协会”替代客户验证。协会合作只有在带来可跟踪的合格线索、试点和付费转化时才计入渠道资产。</w:t>
            </w:r>
          </w:p>
        </w:tc>
      </w:tr>
    </w:tbl>
    <w:p>
      <w:pPr>
        <w:keepNext/>
        <w:pageBreakBefore/>
        <w:spacing w:before="0" w:after="40" w:line="240" w:lineRule="auto"/>
        <w:jc w:val="left"/>
      </w:pPr>
      <w:r>
        <w:rPr>
          <w:rFonts w:ascii="Calibri" w:hAnsi="Calibri" w:eastAsia="Hiragino Sans GB"/>
          <w:b/>
          <w:i w:val="0"/>
          <w:color w:val="0B5A52"/>
          <w:sz w:val="16"/>
        </w:rPr>
        <w:t>MOAT</w:t>
      </w:r>
    </w:p>
    <w:p>
      <w:pPr>
        <w:pStyle w:val="Heading1"/>
      </w:pPr>
      <w:r>
        <w:rPr>
          <w:rFonts w:ascii="Calibri" w:hAnsi="Calibri" w:eastAsia="Hiragino Sans GB"/>
          <w:b/>
          <w:color w:val="2E74B5"/>
          <w:sz w:val="32"/>
        </w:rPr>
        <w:t>增长飞轮与护城河：连接越真实，数据越可复用</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656"/>
        <w:gridCol w:w="2664"/>
        <w:gridCol w:w="2664"/>
        <w:gridCol w:w="2376"/>
      </w:tblGrid>
      <w:tr>
        <w:trPr>
          <w:cantSplit/>
          <w:tblHeader w:val="true"/>
          <w:cantSplit/>
        </w:trPr>
        <w:tc>
          <w:tcPr>
            <w:tcW w:type="dxa" w:w="1656"/>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飞轮步骤</w:t>
            </w:r>
          </w:p>
        </w:tc>
        <w:tc>
          <w:tcPr>
            <w:tcW w:type="dxa" w:w="266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发生的行为</w:t>
            </w:r>
          </w:p>
        </w:tc>
        <w:tc>
          <w:tcPr>
            <w:tcW w:type="dxa" w:w="266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累积资产</w:t>
            </w:r>
          </w:p>
        </w:tc>
        <w:tc>
          <w:tcPr>
            <w:tcW w:type="dxa" w:w="2376"/>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商业结果</w:t>
            </w:r>
          </w:p>
        </w:tc>
      </w:tr>
      <w:tr>
        <w:trPr>
          <w:cantSplit/>
        </w:trPr>
        <w:tc>
          <w:tcPr>
            <w:tcW w:type="dxa" w:w="165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1 需求进入</w:t>
            </w:r>
          </w:p>
        </w:tc>
        <w:tc>
          <w:tcPr>
            <w:tcW w:type="dxa" w:w="266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进口商发起真实CBAM项目</w:t>
            </w:r>
          </w:p>
        </w:tc>
        <w:tc>
          <w:tcPr>
            <w:tcW w:type="dxa" w:w="266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进口责任与贸易关系</w:t>
            </w:r>
          </w:p>
        </w:tc>
        <w:tc>
          <w:tcPr>
            <w:tcW w:type="dxa" w:w="2376"/>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获得高价值客户入口</w:t>
            </w:r>
          </w:p>
        </w:tc>
      </w:tr>
      <w:tr>
        <w:trPr>
          <w:cantSplit/>
        </w:trPr>
        <w:tc>
          <w:tcPr>
            <w:tcW w:type="dxa" w:w="165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2 供应链连接</w:t>
            </w:r>
          </w:p>
        </w:tc>
        <w:tc>
          <w:tcPr>
            <w:tcW w:type="dxa" w:w="266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邀请出口商和设施响应</w:t>
            </w:r>
          </w:p>
        </w:tc>
        <w:tc>
          <w:tcPr>
            <w:tcW w:type="dxa" w:w="266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跨境关系图谱与授权</w:t>
            </w:r>
          </w:p>
        </w:tc>
        <w:tc>
          <w:tcPr>
            <w:tcW w:type="dxa" w:w="237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节点数增长、CAC下降</w:t>
            </w:r>
          </w:p>
        </w:tc>
      </w:tr>
      <w:tr>
        <w:trPr>
          <w:cantSplit/>
        </w:trPr>
        <w:tc>
          <w:tcPr>
            <w:tcW w:type="dxa" w:w="165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3 可信数据形成</w:t>
            </w:r>
          </w:p>
        </w:tc>
        <w:tc>
          <w:tcPr>
            <w:tcW w:type="dxa" w:w="266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持续监测、证据绑定、独立核查</w:t>
            </w:r>
          </w:p>
        </w:tc>
        <w:tc>
          <w:tcPr>
            <w:tcW w:type="dxa" w:w="266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年度设施/产品数据</w:t>
            </w:r>
          </w:p>
        </w:tc>
        <w:tc>
          <w:tcPr>
            <w:tcW w:type="dxa" w:w="2376"/>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实际值采用率提升</w:t>
            </w:r>
          </w:p>
        </w:tc>
      </w:tr>
      <w:tr>
        <w:trPr>
          <w:cantSplit/>
        </w:trPr>
        <w:tc>
          <w:tcPr>
            <w:tcW w:type="dxa" w:w="165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4 数据授权复用</w:t>
            </w:r>
          </w:p>
        </w:tc>
        <w:tc>
          <w:tcPr>
            <w:tcW w:type="dxa" w:w="266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同一设施向多个客户交付</w:t>
            </w:r>
          </w:p>
        </w:tc>
        <w:tc>
          <w:tcPr>
            <w:tcW w:type="dxa" w:w="266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版本、核查和共享历史</w:t>
            </w:r>
          </w:p>
        </w:tc>
        <w:tc>
          <w:tcPr>
            <w:tcW w:type="dxa" w:w="237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交付周期缩短、毛利提升</w:t>
            </w:r>
          </w:p>
        </w:tc>
      </w:tr>
      <w:tr>
        <w:trPr>
          <w:cantSplit/>
        </w:trPr>
        <w:tc>
          <w:tcPr>
            <w:tcW w:type="dxa" w:w="165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5 经营价值增强</w:t>
            </w:r>
          </w:p>
        </w:tc>
        <w:tc>
          <w:tcPr>
            <w:tcW w:type="dxa" w:w="266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预算、采购、供应商优化</w:t>
            </w:r>
          </w:p>
        </w:tc>
        <w:tc>
          <w:tcPr>
            <w:tcW w:type="dxa" w:w="266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决策模型与行业基准</w:t>
            </w:r>
          </w:p>
        </w:tc>
        <w:tc>
          <w:tcPr>
            <w:tcW w:type="dxa" w:w="2376"/>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ARPA、续费和扩展提升</w:t>
            </w:r>
          </w:p>
        </w:tc>
      </w:tr>
    </w:tbl>
    <w:p>
      <w:pPr>
        <w:pStyle w:val="Heading2"/>
      </w:pPr>
      <w:r>
        <w:rPr>
          <w:rFonts w:ascii="Calibri" w:hAnsi="Calibri" w:eastAsia="Hiragino Sans GB"/>
          <w:b/>
          <w:color w:val="2E74B5"/>
          <w:sz w:val="26"/>
        </w:rPr>
        <w:t>真正难复制的五类资产</w:t>
      </w:r>
    </w:p>
    <w:p>
      <w:pPr>
        <w:pStyle w:val="ListBullet"/>
        <w:spacing w:after="80" w:line="290" w:lineRule="auto"/>
        <w:ind w:left="540" w:hanging="279"/>
      </w:pPr>
      <w:r>
        <w:rPr>
          <w:rFonts w:ascii="Calibri" w:hAnsi="Calibri" w:eastAsia="Hiragino Sans GB"/>
          <w:b/>
          <w:color w:val="1F2933"/>
          <w:sz w:val="22"/>
        </w:rPr>
        <w:t>进口商需求入口：</w:t>
      </w:r>
      <w:r>
        <w:rPr>
          <w:rFonts w:ascii="Calibri" w:hAnsi="Calibri" w:eastAsia="Hiragino Sans GB"/>
          <w:color w:val="1F2933"/>
          <w:sz w:val="22"/>
        </w:rPr>
        <w:t>掌握任务发起权与年度责任语境。</w:t>
      </w:r>
    </w:p>
    <w:p>
      <w:pPr>
        <w:pStyle w:val="ListBullet"/>
        <w:spacing w:after="80" w:line="290" w:lineRule="auto"/>
        <w:ind w:left="540" w:hanging="279"/>
      </w:pPr>
      <w:r>
        <w:rPr>
          <w:rFonts w:ascii="Calibri" w:hAnsi="Calibri" w:eastAsia="Hiragino Sans GB"/>
          <w:b/>
          <w:color w:val="1F2933"/>
          <w:sz w:val="22"/>
        </w:rPr>
        <w:t>供应链连接关系：</w:t>
      </w:r>
      <w:r>
        <w:rPr>
          <w:rFonts w:ascii="Calibri" w:hAnsi="Calibri" w:eastAsia="Hiragino Sans GB"/>
          <w:color w:val="1F2933"/>
          <w:sz w:val="22"/>
        </w:rPr>
        <w:t>进口商-出口商-设施-前体的真实业务映射。</w:t>
      </w:r>
    </w:p>
    <w:p>
      <w:pPr>
        <w:pStyle w:val="ListBullet"/>
        <w:spacing w:after="80" w:line="290" w:lineRule="auto"/>
        <w:ind w:left="540" w:hanging="279"/>
      </w:pPr>
      <w:r>
        <w:rPr>
          <w:rFonts w:ascii="Calibri" w:hAnsi="Calibri" w:eastAsia="Hiragino Sans GB"/>
          <w:b/>
          <w:color w:val="1F2933"/>
          <w:sz w:val="22"/>
        </w:rPr>
        <w:t>年度可信数据：</w:t>
      </w:r>
      <w:r>
        <w:rPr>
          <w:rFonts w:ascii="Calibri" w:hAnsi="Calibri" w:eastAsia="Hiragino Sans GB"/>
          <w:color w:val="1F2933"/>
          <w:sz w:val="22"/>
        </w:rPr>
        <w:t>企业、设施、产品、证据和核查报告的连续积累。</w:t>
      </w:r>
    </w:p>
    <w:p>
      <w:pPr>
        <w:pStyle w:val="ListBullet"/>
        <w:spacing w:after="80" w:line="290" w:lineRule="auto"/>
        <w:ind w:left="540" w:hanging="279"/>
      </w:pPr>
      <w:r>
        <w:rPr>
          <w:rFonts w:ascii="Calibri" w:hAnsi="Calibri" w:eastAsia="Hiragino Sans GB"/>
          <w:b/>
          <w:color w:val="1F2933"/>
          <w:sz w:val="22"/>
        </w:rPr>
        <w:t>授权与信任机制：</w:t>
      </w:r>
      <w:r>
        <w:rPr>
          <w:rFonts w:ascii="Calibri" w:hAnsi="Calibri" w:eastAsia="Hiragino Sans GB"/>
          <w:color w:val="1F2933"/>
          <w:sz w:val="22"/>
        </w:rPr>
        <w:t>数据权限、版本冻结、审计轨迹和核查独立性。</w:t>
      </w:r>
    </w:p>
    <w:p>
      <w:pPr>
        <w:pStyle w:val="ListBullet"/>
        <w:spacing w:after="80" w:line="290" w:lineRule="auto"/>
        <w:ind w:left="540" w:hanging="279"/>
      </w:pPr>
      <w:r>
        <w:rPr>
          <w:rFonts w:ascii="Calibri" w:hAnsi="Calibri" w:eastAsia="Hiragino Sans GB"/>
          <w:b/>
          <w:color w:val="1F2933"/>
          <w:sz w:val="22"/>
        </w:rPr>
        <w:t>规则与行业经验：</w:t>
      </w:r>
      <w:r>
        <w:rPr>
          <w:rFonts w:ascii="Calibri" w:hAnsi="Calibri" w:eastAsia="Hiragino Sans GB"/>
          <w:color w:val="1F2933"/>
          <w:sz w:val="22"/>
        </w:rPr>
        <w:t>方法版本、常见缺口、整改路径和交付模板。</w:t>
      </w:r>
    </w:p>
    <w:tbl>
      <w:tblPr>
        <w:tblW w:type="dxa" w:w="9360"/>
        <w:jc w:val="left"/>
        <w:tblLayout w:type="fixed"/>
        <w:tblLook w:firstColumn="1" w:firstRow="1" w:lastColumn="0" w:lastRow="0" w:noHBand="0" w:noVBand="1" w:val="04A0"/>
        <w:tblInd w:w="120" w:type="dxa"/>
        <w:tblBorders>
          <w:top w:val="single" w:sz="0" w:space="0" w:color="EEF4E7"/>
          <w:left w:val="single" w:sz="0" w:space="0" w:color="EEF4E7"/>
          <w:bottom w:val="single" w:sz="0" w:space="0" w:color="EEF4E7"/>
          <w:right w:val="single" w:sz="0" w:space="0" w:color="EEF4E7"/>
          <w:insideH w:val="single" w:sz="0" w:space="0" w:color="EEF4E7"/>
          <w:insideV w:val="single" w:sz="0" w:space="0" w:color="EEF4E7"/>
        </w:tblBorders>
      </w:tblPr>
      <w:tblGrid>
        <w:gridCol w:w="9360"/>
      </w:tblGrid>
      <w:tr>
        <w:trPr>
          <w:cantSplit/>
        </w:trPr>
        <w:tc>
          <w:tcPr>
            <w:tcW w:type="dxa" w:w="9360"/>
            <w:tcMar>
              <w:top w:w="160" w:type="dxa"/>
              <w:start w:w="180" w:type="dxa"/>
              <w:bottom w:w="160" w:type="dxa"/>
              <w:end w:w="180" w:type="dxa"/>
            </w:tcMar>
            <w:vAlign w:val="center"/>
            <w:shd w:fill="EEF4E7"/>
          </w:tcPr>
          <w:p>
            <w:pPr>
              <w:spacing w:before="0" w:after="0" w:line="288" w:lineRule="auto"/>
            </w:pPr>
            <w:r>
              <w:rPr>
                <w:rFonts w:ascii="Calibri" w:hAnsi="Calibri" w:eastAsia="Hiragino Sans GB"/>
                <w:b/>
                <w:color w:val="6E9F42"/>
                <w:sz w:val="19"/>
              </w:rPr>
              <w:t>北极星指标  每个活跃进口商激活的有效供应链节点数。配套指标包括：供应商邀请接受率、付费转化率、设施数据复用率、实际值采用率、年度续费率、单位交付工时和数据问题关闭周期。</w:t>
            </w:r>
            <w:r>
              <w:rPr>
                <w:rFonts w:ascii="Calibri" w:hAnsi="Calibri" w:eastAsia="Hiragino Sans GB"/>
                <w:color w:val="1F2933"/>
                <w:sz w:val="19"/>
              </w:rPr>
            </w:r>
          </w:p>
        </w:tc>
      </w:tr>
    </w:tbl>
    <w:p>
      <w:pPr>
        <w:keepNext/>
        <w:pageBreakBefore/>
        <w:spacing w:before="0" w:after="40" w:line="240" w:lineRule="auto"/>
        <w:jc w:val="left"/>
      </w:pPr>
      <w:r>
        <w:rPr>
          <w:rFonts w:ascii="Calibri" w:hAnsi="Calibri" w:eastAsia="Hiragino Sans GB"/>
          <w:b/>
          <w:i w:val="0"/>
          <w:color w:val="0B5A52"/>
          <w:sz w:val="16"/>
        </w:rPr>
        <w:t>EXECUTION ROADMAP</w:t>
      </w:r>
    </w:p>
    <w:p>
      <w:pPr>
        <w:pStyle w:val="Heading1"/>
      </w:pPr>
      <w:r>
        <w:rPr>
          <w:rFonts w:ascii="Calibri" w:hAnsi="Calibri" w:eastAsia="Hiragino Sans GB"/>
          <w:b/>
          <w:color w:val="2E74B5"/>
          <w:sz w:val="32"/>
        </w:rPr>
        <w:t>24个月里程碑：先证明闭环，再证明复制</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296"/>
        <w:gridCol w:w="2520"/>
        <w:gridCol w:w="2088"/>
        <w:gridCol w:w="2088"/>
        <w:gridCol w:w="1368"/>
      </w:tblGrid>
      <w:tr>
        <w:trPr>
          <w:cantSplit/>
          <w:tblHeader w:val="true"/>
          <w:cantSplit/>
        </w:trPr>
        <w:tc>
          <w:tcPr>
            <w:tcW w:type="dxa" w:w="1296"/>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5"/>
              </w:rPr>
              <w:t>阶段</w:t>
            </w:r>
          </w:p>
        </w:tc>
        <w:tc>
          <w:tcPr>
            <w:tcW w:type="dxa" w:w="2520"/>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5"/>
              </w:rPr>
              <w:t>产品</w:t>
            </w:r>
          </w:p>
        </w:tc>
        <w:tc>
          <w:tcPr>
            <w:tcW w:type="dxa" w:w="2088"/>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5"/>
              </w:rPr>
              <w:t>市场与生态</w:t>
            </w:r>
          </w:p>
        </w:tc>
        <w:tc>
          <w:tcPr>
            <w:tcW w:type="dxa" w:w="2088"/>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5"/>
              </w:rPr>
              <w:t>经营里程碑</w:t>
            </w:r>
          </w:p>
        </w:tc>
        <w:tc>
          <w:tcPr>
            <w:tcW w:type="dxa" w:w="1368"/>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5"/>
              </w:rPr>
              <w:t>融资验证点</w:t>
            </w:r>
          </w:p>
        </w:tc>
      </w:tr>
      <w:tr>
        <w:trPr>
          <w:cantSplit/>
        </w:trPr>
        <w:tc>
          <w:tcPr>
            <w:tcW w:type="dxa" w:w="1296"/>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M0-M6</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MVP：进口台账、任务、设施数据、证据、预算</w:t>
            </w:r>
          </w:p>
        </w:tc>
        <w:tc>
          <w:tcPr>
            <w:tcW w:type="dxa" w:w="208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5家灯塔进口商；1家核查伙伴</w:t>
            </w:r>
          </w:p>
        </w:tc>
        <w:tc>
          <w:tcPr>
            <w:tcW w:type="dxa" w:w="208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50个供应链节点</w:t>
            </w:r>
          </w:p>
        </w:tc>
        <w:tc>
          <w:tcPr>
            <w:tcW w:type="dxa" w:w="136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端到端可交付</w:t>
            </w:r>
          </w:p>
        </w:tc>
      </w:tr>
      <w:tr>
        <w:trPr>
          <w:cantSplit/>
        </w:trPr>
        <w:tc>
          <w:tcPr>
            <w:tcW w:type="dxa" w:w="129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M7-M12</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规则引擎、版本血缘、标准数据包、权限</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3个活跃渠道伙伴</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15-20家活跃进口商；ARR约€0.38m</w:t>
            </w:r>
          </w:p>
        </w:tc>
        <w:tc>
          <w:tcPr>
            <w:tcW w:type="dxa" w:w="136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试点到年费转化</w:t>
            </w:r>
          </w:p>
        </w:tc>
      </w:tr>
      <w:tr>
        <w:trPr>
          <w:cantSplit/>
        </w:trPr>
        <w:tc>
          <w:tcPr>
            <w:tcW w:type="dxa" w:w="1296"/>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M13-M18</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ERP/API、核查协同、供应商分析</w:t>
            </w:r>
          </w:p>
        </w:tc>
        <w:tc>
          <w:tcPr>
            <w:tcW w:type="dxa" w:w="208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四国渠道复制</w:t>
            </w:r>
          </w:p>
        </w:tc>
        <w:tc>
          <w:tcPr>
            <w:tcW w:type="dxa" w:w="208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40家活跃进口商；700个节点</w:t>
            </w:r>
          </w:p>
        </w:tc>
        <w:tc>
          <w:tcPr>
            <w:tcW w:type="dxa" w:w="136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销售与实施可重复</w:t>
            </w:r>
          </w:p>
        </w:tc>
      </w:tr>
      <w:tr>
        <w:trPr>
          <w:cantSplit/>
        </w:trPr>
        <w:tc>
          <w:tcPr>
            <w:tcW w:type="dxa" w:w="129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M19-M24</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企业权限、安全、经营分析、行业模板</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8-12家可复制伙伴</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70家活跃进口商；1,200个付费节点；ARR约€1.35m</w:t>
            </w:r>
          </w:p>
        </w:tc>
        <w:tc>
          <w:tcPr>
            <w:tcW w:type="dxa" w:w="136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为A轮准备</w:t>
            </w:r>
          </w:p>
        </w:tc>
      </w:tr>
    </w:tbl>
    <w:p>
      <w:pPr>
        <w:pStyle w:val="Heading2"/>
      </w:pPr>
      <w:r>
        <w:rPr>
          <w:rFonts w:ascii="Calibri" w:hAnsi="Calibri" w:eastAsia="Hiragino Sans GB"/>
          <w:b/>
          <w:color w:val="2E74B5"/>
          <w:sz w:val="26"/>
        </w:rPr>
        <w:t>下一轮融资前必须形成的证据包</w:t>
      </w:r>
    </w:p>
    <w:p>
      <w:pPr>
        <w:pStyle w:val="ListNumber"/>
        <w:numPr>
          <w:ilvl w:val="0"/>
          <w:numId w:val="11"/>
        </w:numPr>
        <w:spacing w:after="80" w:line="290" w:lineRule="auto"/>
        <w:ind w:left="540" w:hanging="279"/>
      </w:pPr>
      <w:r>
        <w:rPr>
          <w:rFonts w:ascii="Calibri" w:hAnsi="Calibri" w:eastAsia="Hiragino Sans GB"/>
          <w:color w:val="1F2933"/>
          <w:sz w:val="22"/>
        </w:rPr>
        <w:t>客户证据：不少于10家活跃进口商，至少3家完成年度闭环或关键阶段验收。</w:t>
      </w:r>
    </w:p>
    <w:p>
      <w:pPr>
        <w:pStyle w:val="ListNumber"/>
        <w:numPr>
          <w:ilvl w:val="0"/>
          <w:numId w:val="11"/>
        </w:numPr>
        <w:spacing w:after="80" w:line="290" w:lineRule="auto"/>
        <w:ind w:left="540" w:hanging="279"/>
      </w:pPr>
      <w:r>
        <w:rPr>
          <w:rFonts w:ascii="Calibri" w:hAnsi="Calibri" w:eastAsia="Hiragino Sans GB"/>
          <w:color w:val="1F2933"/>
          <w:sz w:val="22"/>
        </w:rPr>
        <w:t>商业证据：年费转化、供应商激活、续费意向、CAC与销售周期形成稳定区间。</w:t>
      </w:r>
    </w:p>
    <w:p>
      <w:pPr>
        <w:pStyle w:val="ListNumber"/>
        <w:numPr>
          <w:ilvl w:val="0"/>
          <w:numId w:val="11"/>
        </w:numPr>
        <w:spacing w:after="80" w:line="290" w:lineRule="auto"/>
        <w:ind w:left="540" w:hanging="279"/>
      </w:pPr>
      <w:r>
        <w:rPr>
          <w:rFonts w:ascii="Calibri" w:hAnsi="Calibri" w:eastAsia="Hiragino Sans GB"/>
          <w:color w:val="1F2933"/>
          <w:sz w:val="22"/>
        </w:rPr>
        <w:t>产品证据：数据版本、证据链、权限与审计可通过第三方安全/流程评估。</w:t>
      </w:r>
    </w:p>
    <w:p>
      <w:pPr>
        <w:pStyle w:val="ListNumber"/>
        <w:numPr>
          <w:ilvl w:val="0"/>
          <w:numId w:val="11"/>
        </w:numPr>
        <w:spacing w:after="80" w:line="290" w:lineRule="auto"/>
        <w:ind w:left="540" w:hanging="279"/>
      </w:pPr>
      <w:r>
        <w:rPr>
          <w:rFonts w:ascii="Calibri" w:hAnsi="Calibri" w:eastAsia="Hiragino Sans GB"/>
          <w:color w:val="1F2933"/>
          <w:sz w:val="22"/>
        </w:rPr>
        <w:t>生态证据：核查独立性、渠道分工、服务SLA与分润机制可复制。</w:t>
      </w:r>
    </w:p>
    <w:p>
      <w:pPr>
        <w:pStyle w:val="ListNumber"/>
        <w:numPr>
          <w:ilvl w:val="0"/>
          <w:numId w:val="11"/>
        </w:numPr>
        <w:spacing w:after="80" w:line="290" w:lineRule="auto"/>
        <w:ind w:left="540" w:hanging="279"/>
      </w:pPr>
      <w:r>
        <w:rPr>
          <w:rFonts w:ascii="Calibri" w:hAnsi="Calibri" w:eastAsia="Hiragino Sans GB"/>
          <w:color w:val="1F2933"/>
          <w:sz w:val="22"/>
        </w:rPr>
        <w:t>财务证据：服务工时持续下降，订阅收入占比与毛利率按计划提升。</w:t>
      </w:r>
    </w:p>
    <w:tbl>
      <w:tblPr>
        <w:tblW w:type="dxa" w:w="9360"/>
        <w:jc w:val="left"/>
        <w:tblLayout w:type="fixed"/>
        <w:tblLook w:firstColumn="1" w:firstRow="1" w:lastColumn="0" w:lastRow="0" w:noHBand="0" w:noVBand="1" w:val="04A0"/>
        <w:tblInd w:w="120" w:type="dxa"/>
        <w:tblBorders>
          <w:top w:val="single" w:sz="0" w:space="0" w:color="F8ECEA"/>
          <w:left w:val="single" w:sz="0" w:space="0" w:color="F8ECEA"/>
          <w:bottom w:val="single" w:sz="0" w:space="0" w:color="F8ECEA"/>
          <w:right w:val="single" w:sz="0" w:space="0" w:color="F8ECEA"/>
          <w:insideH w:val="single" w:sz="0" w:space="0" w:color="F8ECEA"/>
          <w:insideV w:val="single" w:sz="0" w:space="0" w:color="F8ECEA"/>
        </w:tblBorders>
      </w:tblPr>
      <w:tblGrid>
        <w:gridCol w:w="9360"/>
      </w:tblGrid>
      <w:tr>
        <w:trPr>
          <w:cantSplit/>
        </w:trPr>
        <w:tc>
          <w:tcPr>
            <w:tcW w:type="dxa" w:w="9360"/>
            <w:tcMar>
              <w:top w:w="160" w:type="dxa"/>
              <w:start w:w="180" w:type="dxa"/>
              <w:bottom w:w="160" w:type="dxa"/>
              <w:end w:w="180" w:type="dxa"/>
            </w:tcMar>
            <w:vAlign w:val="center"/>
            <w:shd w:fill="F8ECEA"/>
          </w:tcPr>
          <w:p>
            <w:pPr>
              <w:spacing w:before="0" w:after="0" w:line="288" w:lineRule="auto"/>
            </w:pPr>
            <w:r>
              <w:rPr>
                <w:rFonts w:ascii="Calibri" w:hAnsi="Calibri" w:eastAsia="Hiragino Sans GB"/>
                <w:b/>
                <w:color w:val="9B1C1C"/>
                <w:sz w:val="19"/>
              </w:rPr>
              <w:t>当前阶段判断  新增材料展示了平台界面、业务流程、监测计划/盘查报告样例，并披露累计服务300+家企业及多个案例；但尚未提供可审计的合同、收入、活跃、留存、毛利和客户授权证据。融资沟通可定位为“已有交付基础的商业验证期”，不能按成熟增长期叙事。</w:t>
            </w:r>
            <w:r>
              <w:rPr>
                <w:rFonts w:ascii="Calibri" w:hAnsi="Calibri" w:eastAsia="Hiragino Sans GB"/>
                <w:color w:val="1F2933"/>
                <w:sz w:val="19"/>
              </w:rPr>
            </w:r>
          </w:p>
        </w:tc>
      </w:tr>
    </w:tbl>
    <w:p>
      <w:pPr>
        <w:keepNext/>
        <w:pageBreakBefore/>
        <w:spacing w:before="0" w:after="40" w:line="240" w:lineRule="auto"/>
        <w:jc w:val="left"/>
      </w:pPr>
      <w:r>
        <w:rPr>
          <w:rFonts w:ascii="Calibri" w:hAnsi="Calibri" w:eastAsia="Hiragino Sans GB"/>
          <w:b/>
          <w:i w:val="0"/>
          <w:color w:val="0B5A52"/>
          <w:sz w:val="16"/>
        </w:rPr>
        <w:t>FINANCIAL MODEL</w:t>
      </w:r>
    </w:p>
    <w:p>
      <w:pPr>
        <w:pStyle w:val="Heading1"/>
      </w:pPr>
      <w:r>
        <w:rPr>
          <w:rFonts w:ascii="Calibri" w:hAnsi="Calibri" w:eastAsia="Hiragino Sans GB"/>
          <w:b/>
          <w:color w:val="2E74B5"/>
          <w:sz w:val="32"/>
        </w:rPr>
        <w:t>三年财务模型：基准情景</w:t>
      </w:r>
    </w:p>
    <w:p>
      <w:pPr>
        <w:spacing w:before="0" w:after="160" w:line="320" w:lineRule="auto"/>
        <w:jc w:val="both"/>
      </w:pPr>
      <w:r>
        <w:rPr>
          <w:rFonts w:ascii="Calibri" w:hAnsi="Calibri" w:eastAsia="Hiragino Sans GB"/>
          <w:b w:val="0"/>
          <w:i w:val="0"/>
          <w:color w:val="1F2933"/>
          <w:sz w:val="22"/>
        </w:rPr>
        <w:t>以下模型采用自下而上假设，目标是给投资人提供可验证的经营桥梁，而不是业绩承诺。金额单位为百万欧元，未计入2028扩围带来的上行情景。</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4608"/>
        <w:gridCol w:w="1584"/>
        <w:gridCol w:w="1584"/>
        <w:gridCol w:w="1584"/>
      </w:tblGrid>
      <w:tr>
        <w:trPr>
          <w:cantSplit/>
          <w:tblHeader w:val="true"/>
          <w:cantSplit/>
        </w:trPr>
        <w:tc>
          <w:tcPr>
            <w:tcW w:type="dxa" w:w="4608"/>
            <w:tcMar>
              <w:top w:w="55" w:type="dxa"/>
              <w:start w:w="100" w:type="dxa"/>
              <w:bottom w:w="55" w:type="dxa"/>
              <w:end w:w="100" w:type="dxa"/>
            </w:tcMar>
            <w:vAlign w:val="center"/>
            <w:shd w:fill="073F3A"/>
          </w:tcPr>
          <w:p>
            <w:pPr>
              <w:spacing w:before="0" w:after="0" w:line="240" w:lineRule="auto"/>
              <w:jc w:val="center"/>
            </w:pPr>
            <w:r>
              <w:rPr>
                <w:rFonts w:ascii="Calibri" w:hAnsi="Calibri" w:eastAsia="Hiragino Sans GB"/>
                <w:b/>
                <w:color w:val="1F2933"/>
                <w:sz w:val="16"/>
              </w:rPr>
              <w:t>指标</w:t>
            </w:r>
          </w:p>
        </w:tc>
        <w:tc>
          <w:tcPr>
            <w:tcW w:type="dxa" w:w="1584"/>
            <w:tcMar>
              <w:top w:w="55" w:type="dxa"/>
              <w:start w:w="100" w:type="dxa"/>
              <w:bottom w:w="55" w:type="dxa"/>
              <w:end w:w="100" w:type="dxa"/>
            </w:tcMar>
            <w:vAlign w:val="center"/>
            <w:shd w:fill="073F3A"/>
          </w:tcPr>
          <w:p>
            <w:pPr>
              <w:spacing w:before="0" w:after="0" w:line="240" w:lineRule="auto"/>
              <w:jc w:val="center"/>
            </w:pPr>
            <w:r>
              <w:rPr>
                <w:rFonts w:ascii="Calibri" w:hAnsi="Calibri" w:eastAsia="Hiragino Sans GB"/>
                <w:b/>
                <w:color w:val="1F2933"/>
                <w:sz w:val="16"/>
              </w:rPr>
              <w:t>Y1</w:t>
            </w:r>
          </w:p>
        </w:tc>
        <w:tc>
          <w:tcPr>
            <w:tcW w:type="dxa" w:w="1584"/>
            <w:tcMar>
              <w:top w:w="55" w:type="dxa"/>
              <w:start w:w="100" w:type="dxa"/>
              <w:bottom w:w="55" w:type="dxa"/>
              <w:end w:w="100" w:type="dxa"/>
            </w:tcMar>
            <w:vAlign w:val="center"/>
            <w:shd w:fill="073F3A"/>
          </w:tcPr>
          <w:p>
            <w:pPr>
              <w:spacing w:before="0" w:after="0" w:line="240" w:lineRule="auto"/>
              <w:jc w:val="center"/>
            </w:pPr>
            <w:r>
              <w:rPr>
                <w:rFonts w:ascii="Calibri" w:hAnsi="Calibri" w:eastAsia="Hiragino Sans GB"/>
                <w:b/>
                <w:color w:val="1F2933"/>
                <w:sz w:val="16"/>
              </w:rPr>
              <w:t>Y2</w:t>
            </w:r>
          </w:p>
        </w:tc>
        <w:tc>
          <w:tcPr>
            <w:tcW w:type="dxa" w:w="1584"/>
            <w:tcMar>
              <w:top w:w="55" w:type="dxa"/>
              <w:start w:w="100" w:type="dxa"/>
              <w:bottom w:w="55" w:type="dxa"/>
              <w:end w:w="100" w:type="dxa"/>
            </w:tcMar>
            <w:vAlign w:val="center"/>
            <w:shd w:fill="073F3A"/>
          </w:tcPr>
          <w:p>
            <w:pPr>
              <w:spacing w:before="0" w:after="0" w:line="240" w:lineRule="auto"/>
              <w:jc w:val="center"/>
            </w:pPr>
            <w:r>
              <w:rPr>
                <w:rFonts w:ascii="Calibri" w:hAnsi="Calibri" w:eastAsia="Hiragino Sans GB"/>
                <w:b/>
                <w:color w:val="1F2933"/>
                <w:sz w:val="16"/>
              </w:rPr>
              <w:t>Y3</w:t>
            </w:r>
          </w:p>
        </w:tc>
      </w:tr>
      <w:tr>
        <w:trPr>
          <w:cantSplit/>
        </w:trPr>
        <w:tc>
          <w:tcPr>
            <w:tcW w:type="dxa" w:w="4608"/>
            <w:shd w:fill="E8F2EF"/>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6"/>
              </w:rPr>
              <w:t>期末活跃进口商</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20</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70</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180</w:t>
            </w:r>
          </w:p>
        </w:tc>
      </w:tr>
      <w:tr>
        <w:trPr>
          <w:cantSplit/>
        </w:trPr>
        <w:tc>
          <w:tcPr>
            <w:tcW w:type="dxa" w:w="4608"/>
            <w:shd w:fill="FFFFFF"/>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6"/>
              </w:rPr>
              <w:t>期末付费供应链节点</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350</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1,200</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3,200</w:t>
            </w:r>
          </w:p>
        </w:tc>
      </w:tr>
      <w:tr>
        <w:trPr>
          <w:cantSplit/>
        </w:trPr>
        <w:tc>
          <w:tcPr>
            <w:tcW w:type="dxa" w:w="4608"/>
            <w:shd w:fill="E8F2EF"/>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6"/>
              </w:rPr>
              <w:t>营业收入</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0.55</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1.80</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4.60</w:t>
            </w:r>
          </w:p>
        </w:tc>
      </w:tr>
      <w:tr>
        <w:trPr>
          <w:cantSplit/>
        </w:trPr>
        <w:tc>
          <w:tcPr>
            <w:tcW w:type="dxa" w:w="4608"/>
            <w:shd w:fill="FFFFFF"/>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6"/>
              </w:rPr>
              <w:t>期末ARR</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0.38</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1.35</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3.65</w:t>
            </w:r>
          </w:p>
        </w:tc>
      </w:tr>
      <w:tr>
        <w:trPr>
          <w:cantSplit/>
        </w:trPr>
        <w:tc>
          <w:tcPr>
            <w:tcW w:type="dxa" w:w="4608"/>
            <w:shd w:fill="E8F2EF"/>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6"/>
              </w:rPr>
              <w:t>订阅/数据收入占比</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69%</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75%</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79%</w:t>
            </w:r>
          </w:p>
        </w:tc>
      </w:tr>
      <w:tr>
        <w:trPr>
          <w:cantSplit/>
        </w:trPr>
        <w:tc>
          <w:tcPr>
            <w:tcW w:type="dxa" w:w="4608"/>
            <w:shd w:fill="FFFFFF"/>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6"/>
              </w:rPr>
              <w:t>毛利率</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55%</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63%</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70%</w:t>
            </w:r>
          </w:p>
        </w:tc>
      </w:tr>
      <w:tr>
        <w:trPr>
          <w:cantSplit/>
        </w:trPr>
        <w:tc>
          <w:tcPr>
            <w:tcW w:type="dxa" w:w="4608"/>
            <w:shd w:fill="E8F2EF"/>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6"/>
              </w:rPr>
              <w:t>毛利润</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0.30</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1.13</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3.22</w:t>
            </w:r>
          </w:p>
        </w:tc>
      </w:tr>
      <w:tr>
        <w:trPr>
          <w:cantSplit/>
        </w:trPr>
        <w:tc>
          <w:tcPr>
            <w:tcW w:type="dxa" w:w="4608"/>
            <w:shd w:fill="FFFFFF"/>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6"/>
              </w:rPr>
              <w:t>经营费用</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1.25</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2.15</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3.05</w:t>
            </w:r>
          </w:p>
        </w:tc>
      </w:tr>
      <w:tr>
        <w:trPr>
          <w:cantSplit/>
        </w:trPr>
        <w:tc>
          <w:tcPr>
            <w:tcW w:type="dxa" w:w="4608"/>
            <w:shd w:fill="E8F2EF"/>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6"/>
              </w:rPr>
              <w:t>EBITDA</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-0.95</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-1.02</w:t>
            </w:r>
          </w:p>
        </w:tc>
        <w:tc>
          <w:tcPr>
            <w:tcW w:type="dxa" w:w="1584"/>
            <w:shd w:fill="E8F2E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6"/>
              </w:rPr>
              <w:t>+0.17</w:t>
            </w:r>
          </w:p>
        </w:tc>
      </w:tr>
    </w:tbl>
    <w:p>
      <w:pPr>
        <w:pStyle w:val="Heading2"/>
      </w:pPr>
      <w:r>
        <w:rPr>
          <w:rFonts w:ascii="Calibri" w:hAnsi="Calibri" w:eastAsia="Hiragino Sans GB"/>
          <w:b/>
          <w:color w:val="2E74B5"/>
          <w:sz w:val="26"/>
        </w:rPr>
        <w:t>关键假设</w:t>
      </w:r>
    </w:p>
    <w:p>
      <w:pPr>
        <w:pStyle w:val="ListBullet"/>
        <w:spacing w:after="80" w:line="290" w:lineRule="auto"/>
        <w:ind w:left="540" w:hanging="279"/>
      </w:pPr>
      <w:r>
        <w:rPr>
          <w:rFonts w:ascii="Calibri" w:hAnsi="Calibri" w:eastAsia="Hiragino Sans GB"/>
          <w:color w:val="1F2933"/>
          <w:sz w:val="22"/>
        </w:rPr>
        <w:t>出口商/设施付费节点混合年费从约€780起步，随多客户复用、设施模块和专业服务逐步提高；进口商标品不计订阅收入。</w:t>
      </w:r>
    </w:p>
    <w:p>
      <w:pPr>
        <w:pStyle w:val="ListBullet"/>
        <w:spacing w:after="80" w:line="290" w:lineRule="auto"/>
        <w:ind w:left="540" w:hanging="279"/>
      </w:pPr>
      <w:r>
        <w:rPr>
          <w:rFonts w:ascii="Calibri" w:hAnsi="Calibri" w:eastAsia="Hiragino Sans GB"/>
          <w:color w:val="1F2933"/>
          <w:sz w:val="22"/>
        </w:rPr>
        <w:t>人力密集型专业服务占比从Y1的31%下降至Y3的21%；进口商额外服务中的企业订阅/API维护计入订阅与数据收入，托管、培训和复杂治理计入专业服务，产品模板化和伙伴交付推动毛利率提升。</w:t>
      </w:r>
    </w:p>
    <w:p>
      <w:pPr>
        <w:pStyle w:val="ListBullet"/>
        <w:spacing w:after="80" w:line="290" w:lineRule="auto"/>
        <w:ind w:left="540" w:hanging="279"/>
      </w:pPr>
      <w:r>
        <w:rPr>
          <w:rFonts w:ascii="Calibri" w:hAnsi="Calibri" w:eastAsia="Hiragino Sans GB"/>
          <w:color w:val="1F2933"/>
          <w:sz w:val="22"/>
        </w:rPr>
        <w:t>Y3实现接近盈亏平衡；若销售周期延长或服务工时无法下降，盈亏平衡将后移。</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584"/>
        <w:gridCol w:w="1584"/>
        <w:gridCol w:w="1584"/>
        <w:gridCol w:w="4608"/>
      </w:tblGrid>
      <w:tr>
        <w:trPr>
          <w:cantSplit/>
          <w:tblHeader w:val="true"/>
          <w:cantSplit/>
        </w:trPr>
        <w:tc>
          <w:tcPr>
            <w:tcW w:type="dxa" w:w="1584"/>
            <w:tcMar>
              <w:top w:w="55" w:type="dxa"/>
              <w:start w:w="100" w:type="dxa"/>
              <w:bottom w:w="55" w:type="dxa"/>
              <w:end w:w="100" w:type="dxa"/>
            </w:tcMar>
            <w:vAlign w:val="center"/>
            <w:shd w:fill="1F4D78"/>
          </w:tcPr>
          <w:p>
            <w:pPr>
              <w:spacing w:before="0" w:after="0" w:line="240" w:lineRule="auto"/>
              <w:jc w:val="center"/>
            </w:pPr>
            <w:r>
              <w:rPr>
                <w:rFonts w:ascii="Calibri" w:hAnsi="Calibri" w:eastAsia="Hiragino Sans GB"/>
                <w:b/>
                <w:color w:val="1F2933"/>
                <w:sz w:val="14"/>
              </w:rPr>
              <w:t>Y3情景</w:t>
            </w:r>
          </w:p>
        </w:tc>
        <w:tc>
          <w:tcPr>
            <w:tcW w:type="dxa" w:w="1584"/>
            <w:tcMar>
              <w:top w:w="55" w:type="dxa"/>
              <w:start w:w="100" w:type="dxa"/>
              <w:bottom w:w="55" w:type="dxa"/>
              <w:end w:w="100" w:type="dxa"/>
            </w:tcMar>
            <w:vAlign w:val="center"/>
            <w:shd w:fill="1F4D78"/>
          </w:tcPr>
          <w:p>
            <w:pPr>
              <w:spacing w:before="0" w:after="0" w:line="240" w:lineRule="auto"/>
              <w:jc w:val="center"/>
            </w:pPr>
            <w:r>
              <w:rPr>
                <w:rFonts w:ascii="Calibri" w:hAnsi="Calibri" w:eastAsia="Hiragino Sans GB"/>
                <w:b/>
                <w:color w:val="1F2933"/>
                <w:sz w:val="14"/>
              </w:rPr>
              <w:t>收入</w:t>
            </w:r>
          </w:p>
        </w:tc>
        <w:tc>
          <w:tcPr>
            <w:tcW w:type="dxa" w:w="1584"/>
            <w:tcMar>
              <w:top w:w="55" w:type="dxa"/>
              <w:start w:w="100" w:type="dxa"/>
              <w:bottom w:w="55" w:type="dxa"/>
              <w:end w:w="100" w:type="dxa"/>
            </w:tcMar>
            <w:vAlign w:val="center"/>
            <w:shd w:fill="1F4D78"/>
          </w:tcPr>
          <w:p>
            <w:pPr>
              <w:spacing w:before="0" w:after="0" w:line="240" w:lineRule="auto"/>
              <w:jc w:val="center"/>
            </w:pPr>
            <w:r>
              <w:rPr>
                <w:rFonts w:ascii="Calibri" w:hAnsi="Calibri" w:eastAsia="Hiragino Sans GB"/>
                <w:b/>
                <w:color w:val="1F2933"/>
                <w:sz w:val="14"/>
              </w:rPr>
              <w:t>EBITDA</w:t>
            </w:r>
          </w:p>
        </w:tc>
        <w:tc>
          <w:tcPr>
            <w:tcW w:type="dxa" w:w="4608"/>
            <w:tcMar>
              <w:top w:w="55" w:type="dxa"/>
              <w:start w:w="100" w:type="dxa"/>
              <w:bottom w:w="55" w:type="dxa"/>
              <w:end w:w="100" w:type="dxa"/>
            </w:tcMar>
            <w:vAlign w:val="center"/>
            <w:shd w:fill="1F4D78"/>
          </w:tcPr>
          <w:p>
            <w:pPr>
              <w:spacing w:before="0" w:after="0" w:line="240" w:lineRule="auto"/>
              <w:jc w:val="center"/>
            </w:pPr>
            <w:r>
              <w:rPr>
                <w:rFonts w:ascii="Calibri" w:hAnsi="Calibri" w:eastAsia="Hiragino Sans GB"/>
                <w:b/>
                <w:color w:val="1F2933"/>
                <w:sz w:val="14"/>
              </w:rPr>
              <w:t>主要驱动</w:t>
            </w:r>
          </w:p>
        </w:tc>
      </w:tr>
      <w:tr>
        <w:trPr>
          <w:cantSplit/>
        </w:trPr>
        <w:tc>
          <w:tcPr>
            <w:tcW w:type="dxa" w:w="1584"/>
            <w:shd w:fill="F4F6F9"/>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4"/>
              </w:rPr>
              <w:t>下行</w:t>
            </w:r>
          </w:p>
        </w:tc>
        <w:tc>
          <w:tcPr>
            <w:tcW w:type="dxa" w:w="1584"/>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4"/>
              </w:rPr>
              <w:t>€2.7m</w:t>
            </w:r>
          </w:p>
        </w:tc>
        <w:tc>
          <w:tcPr>
            <w:tcW w:type="dxa" w:w="1584"/>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4"/>
              </w:rPr>
              <w:t>-€0.7m</w:t>
            </w:r>
          </w:p>
        </w:tc>
        <w:tc>
          <w:tcPr>
            <w:tcW w:type="dxa" w:w="4608"/>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4"/>
              </w:rPr>
              <w:t>进口商转化慢；供应商激活低；服务成本高</w:t>
            </w:r>
          </w:p>
        </w:tc>
      </w:tr>
      <w:tr>
        <w:trPr>
          <w:cantSplit/>
        </w:trPr>
        <w:tc>
          <w:tcPr>
            <w:tcW w:type="dxa" w:w="1584"/>
            <w:shd w:fill="FFFFFF"/>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4"/>
              </w:rPr>
              <w:t>基准</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4"/>
              </w:rPr>
              <w:t>€4.6m</w:t>
            </w:r>
          </w:p>
        </w:tc>
        <w:tc>
          <w:tcPr>
            <w:tcW w:type="dxa" w:w="1584"/>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4"/>
              </w:rPr>
              <w:t>+€0.17m</w:t>
            </w:r>
          </w:p>
        </w:tc>
        <w:tc>
          <w:tcPr>
            <w:tcW w:type="dxa" w:w="4608"/>
            <w:shd w:fill="FFFFFF"/>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4"/>
              </w:rPr>
              <w:t>70%毛利；180家活跃进口商；3,200个付费节点</w:t>
            </w:r>
          </w:p>
        </w:tc>
      </w:tr>
      <w:tr>
        <w:trPr>
          <w:cantSplit/>
        </w:trPr>
        <w:tc>
          <w:tcPr>
            <w:tcW w:type="dxa" w:w="1584"/>
            <w:shd w:fill="F4F6F9"/>
            <w:tcMar>
              <w:top w:w="55" w:type="dxa"/>
              <w:start w:w="100" w:type="dxa"/>
              <w:bottom w:w="55" w:type="dxa"/>
              <w:end w:w="100" w:type="dxa"/>
            </w:tcMar>
            <w:vAlign w:val="center"/>
          </w:tcPr>
          <w:p>
            <w:pPr>
              <w:spacing w:before="0" w:after="0" w:line="240" w:lineRule="auto"/>
              <w:jc w:val="left"/>
            </w:pPr>
            <w:r>
              <w:rPr>
                <w:rFonts w:ascii="Calibri" w:hAnsi="Calibri" w:eastAsia="Hiragino Sans GB"/>
                <w:b/>
                <w:color w:val="1F2933"/>
                <w:sz w:val="14"/>
              </w:rPr>
              <w:t>上行</w:t>
            </w:r>
          </w:p>
        </w:tc>
        <w:tc>
          <w:tcPr>
            <w:tcW w:type="dxa" w:w="1584"/>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4"/>
              </w:rPr>
              <w:t>€7.2m</w:t>
            </w:r>
          </w:p>
        </w:tc>
        <w:tc>
          <w:tcPr>
            <w:tcW w:type="dxa" w:w="1584"/>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4"/>
              </w:rPr>
              <w:t>+€1.4m</w:t>
            </w:r>
          </w:p>
        </w:tc>
        <w:tc>
          <w:tcPr>
            <w:tcW w:type="dxa" w:w="4608"/>
            <w:shd w:fill="F4F6F9"/>
            <w:tcMar>
              <w:top w:w="55" w:type="dxa"/>
              <w:start w:w="100" w:type="dxa"/>
              <w:bottom w:w="55" w:type="dxa"/>
              <w:end w:w="100" w:type="dxa"/>
            </w:tcMar>
            <w:vAlign w:val="center"/>
          </w:tcPr>
          <w:p>
            <w:pPr>
              <w:spacing w:before="0" w:after="0" w:line="240" w:lineRule="auto"/>
              <w:jc w:val="center"/>
            </w:pPr>
            <w:r>
              <w:rPr>
                <w:rFonts w:ascii="Calibri" w:hAnsi="Calibri" w:eastAsia="Hiragino Sans GB"/>
                <w:b w:val="0"/>
                <w:color w:val="1F2933"/>
                <w:sz w:val="14"/>
              </w:rPr>
              <w:t>企业版占比高；伙伴规模化；扩围提前释放</w:t>
            </w:r>
          </w:p>
        </w:tc>
      </w:tr>
    </w:tbl>
    <w:p>
      <w:pPr>
        <w:keepNext/>
        <w:pageBreakBefore/>
        <w:spacing w:before="0" w:after="40" w:line="240" w:lineRule="auto"/>
        <w:jc w:val="left"/>
      </w:pPr>
      <w:r>
        <w:rPr>
          <w:rFonts w:ascii="Calibri" w:hAnsi="Calibri" w:eastAsia="Hiragino Sans GB"/>
          <w:b/>
          <w:i w:val="0"/>
          <w:color w:val="0B5A52"/>
          <w:sz w:val="16"/>
        </w:rPr>
        <w:t>UNIT ECONOMICS</w:t>
      </w:r>
    </w:p>
    <w:p>
      <w:pPr>
        <w:pStyle w:val="Heading1"/>
      </w:pPr>
      <w:r>
        <w:rPr>
          <w:rFonts w:ascii="Calibri" w:hAnsi="Calibri" w:eastAsia="Hiragino Sans GB"/>
          <w:b/>
          <w:color w:val="2E74B5"/>
          <w:sz w:val="32"/>
        </w:rPr>
        <w:t>单位经济与经营仪表盘</w:t>
      </w:r>
    </w:p>
    <w:p>
      <w:pPr>
        <w:spacing w:before="0" w:after="160" w:line="320" w:lineRule="auto"/>
        <w:jc w:val="both"/>
      </w:pPr>
      <w:r>
        <w:rPr>
          <w:rFonts w:ascii="Calibri" w:hAnsi="Calibri" w:eastAsia="Hiragino Sans GB"/>
          <w:b w:val="0"/>
          <w:i w:val="0"/>
          <w:color w:val="1F2933"/>
          <w:sz w:val="22"/>
        </w:rPr>
        <w:t>单位经济数据目前均为目标假设，只有在至少10-20个活跃进口商、200个付费出口商/设施节点和多个完整交付周期后才具备统计意义。建议每月向董事会报告以下指标。</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340"/>
        <w:gridCol w:w="2340"/>
        <w:gridCol w:w="2340"/>
        <w:gridCol w:w="2340"/>
      </w:tblGrid>
      <w:tr>
        <w:trPr>
          <w:cantSplit/>
        </w:trPr>
        <w:tc>
          <w:tcPr>
            <w:tcW w:type="dxa" w:w="2340"/>
            <w:tcMar>
              <w:top w:w="150" w:type="dxa"/>
              <w:start w:w="100" w:type="dxa"/>
              <w:bottom w:w="150" w:type="dxa"/>
              <w:end w:w="100" w:type="dxa"/>
            </w:tcMar>
            <w:vAlign w:val="center"/>
            <w:shd w:fill="073F3A"/>
          </w:tcPr>
          <w:p>
            <w:pPr>
              <w:spacing w:before="0" w:after="40" w:line="240" w:lineRule="auto"/>
              <w:jc w:val="center"/>
            </w:pPr>
            <w:r>
              <w:rPr>
                <w:rFonts w:ascii="Calibri" w:hAnsi="Calibri" w:eastAsia="Hiragino Sans GB"/>
                <w:b/>
                <w:color w:val="FFFFFF"/>
                <w:sz w:val="32"/>
              </w:rPr>
              <w:t>€1.0k</w:t>
            </w:r>
          </w:p>
          <w:p>
            <w:pPr>
              <w:spacing w:before="0" w:after="0" w:line="252" w:lineRule="auto"/>
              <w:jc w:val="center"/>
            </w:pPr>
            <w:r>
              <w:rPr>
                <w:rFonts w:ascii="Calibri" w:hAnsi="Calibri" w:eastAsia="Hiragino Sans GB"/>
                <w:color w:val="FFFFFF"/>
                <w:sz w:val="15"/>
              </w:rPr>
              <w:t>目标付费节点ARR</w:t>
            </w:r>
          </w:p>
        </w:tc>
        <w:tc>
          <w:tcPr>
            <w:tcW w:type="dxa" w:w="2340"/>
            <w:tcMar>
              <w:top w:w="150" w:type="dxa"/>
              <w:start w:w="100" w:type="dxa"/>
              <w:bottom w:w="150" w:type="dxa"/>
              <w:end w:w="100" w:type="dxa"/>
            </w:tcMar>
            <w:vAlign w:val="center"/>
            <w:shd w:fill="0B5A52"/>
          </w:tcPr>
          <w:p>
            <w:pPr>
              <w:spacing w:before="0" w:after="40" w:line="240" w:lineRule="auto"/>
              <w:jc w:val="center"/>
            </w:pPr>
            <w:r>
              <w:rPr>
                <w:rFonts w:ascii="Calibri" w:hAnsi="Calibri" w:eastAsia="Hiragino Sans GB"/>
                <w:b/>
                <w:color w:val="FFFFFF"/>
                <w:sz w:val="32"/>
              </w:rPr>
              <w:t>€0.7k</w:t>
            </w:r>
          </w:p>
          <w:p>
            <w:pPr>
              <w:spacing w:before="0" w:after="0" w:line="252" w:lineRule="auto"/>
              <w:jc w:val="center"/>
            </w:pPr>
            <w:r>
              <w:rPr>
                <w:rFonts w:ascii="Calibri" w:hAnsi="Calibri" w:eastAsia="Hiragino Sans GB"/>
                <w:color w:val="FFFFFF"/>
                <w:sz w:val="15"/>
              </w:rPr>
              <w:t>目标付费节点CAC</w:t>
            </w:r>
          </w:p>
        </w:tc>
        <w:tc>
          <w:tcPr>
            <w:tcW w:type="dxa" w:w="2340"/>
            <w:tcMar>
              <w:top w:w="150" w:type="dxa"/>
              <w:start w:w="100" w:type="dxa"/>
              <w:bottom w:w="150" w:type="dxa"/>
              <w:end w:w="100" w:type="dxa"/>
            </w:tcMar>
            <w:vAlign w:val="center"/>
            <w:shd w:fill="073F3A"/>
          </w:tcPr>
          <w:p>
            <w:pPr>
              <w:spacing w:before="0" w:after="40" w:line="240" w:lineRule="auto"/>
              <w:jc w:val="center"/>
            </w:pPr>
            <w:r>
              <w:rPr>
                <w:rFonts w:ascii="Calibri" w:hAnsi="Calibri" w:eastAsia="Hiragino Sans GB"/>
                <w:b/>
                <w:color w:val="FFFFFF"/>
                <w:sz w:val="32"/>
              </w:rPr>
              <w:t>9-12月</w:t>
            </w:r>
          </w:p>
          <w:p>
            <w:pPr>
              <w:spacing w:before="0" w:after="0" w:line="252" w:lineRule="auto"/>
              <w:jc w:val="center"/>
            </w:pPr>
            <w:r>
              <w:rPr>
                <w:rFonts w:ascii="Calibri" w:hAnsi="Calibri" w:eastAsia="Hiragino Sans GB"/>
                <w:color w:val="FFFFFF"/>
                <w:sz w:val="15"/>
              </w:rPr>
              <w:t>目标CAC回收期</w:t>
            </w:r>
          </w:p>
        </w:tc>
        <w:tc>
          <w:tcPr>
            <w:tcW w:type="dxa" w:w="2340"/>
            <w:tcMar>
              <w:top w:w="150" w:type="dxa"/>
              <w:start w:w="100" w:type="dxa"/>
              <w:bottom w:w="150" w:type="dxa"/>
              <w:end w:w="100" w:type="dxa"/>
            </w:tcMar>
            <w:vAlign w:val="center"/>
            <w:shd w:fill="0B5A52"/>
          </w:tcPr>
          <w:p>
            <w:pPr>
              <w:spacing w:before="0" w:after="40" w:line="240" w:lineRule="auto"/>
              <w:jc w:val="center"/>
            </w:pPr>
            <w:r>
              <w:rPr>
                <w:rFonts w:ascii="Calibri" w:hAnsi="Calibri" w:eastAsia="Hiragino Sans GB"/>
                <w:b/>
                <w:color w:val="FFFFFF"/>
                <w:sz w:val="32"/>
              </w:rPr>
              <w:t>&gt;5x</w:t>
            </w:r>
          </w:p>
          <w:p>
            <w:pPr>
              <w:spacing w:before="0" w:after="0" w:line="252" w:lineRule="auto"/>
              <w:jc w:val="center"/>
            </w:pPr>
            <w:r>
              <w:rPr>
                <w:rFonts w:ascii="Calibri" w:hAnsi="Calibri" w:eastAsia="Hiragino Sans GB"/>
                <w:color w:val="FFFFFF"/>
                <w:sz w:val="15"/>
              </w:rPr>
              <w:t>目标LTV/CAC</w:t>
            </w:r>
          </w:p>
        </w:tc>
      </w:tr>
    </w:tbl>
    <w:p>
      <w:pPr>
        <w:spacing w:before="0" w:after="80" w:line="240" w:lineRule="auto"/>
        <w:jc w:val="both"/>
      </w:pPr>
      <w:r>
        <w:rPr>
          <w:rFonts w:ascii="Calibri" w:hAnsi="Calibri" w:eastAsia="Hiragino Sans GB"/>
          <w:b w:val="0"/>
          <w:i w:val="0"/>
          <w:color w:val="1F2933"/>
          <w:sz w:val="2"/>
        </w:rPr>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224"/>
        <w:gridCol w:w="3528"/>
        <w:gridCol w:w="2088"/>
        <w:gridCol w:w="2520"/>
      </w:tblGrid>
      <w:tr>
        <w:trPr>
          <w:cantSplit/>
          <w:tblHeader w:val="true"/>
          <w:cantSplit/>
        </w:trPr>
        <w:tc>
          <w:tcPr>
            <w:tcW w:type="dxa" w:w="1224"/>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指标组</w:t>
            </w:r>
          </w:p>
        </w:tc>
        <w:tc>
          <w:tcPr>
            <w:tcW w:type="dxa" w:w="3528"/>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核心指标</w:t>
            </w:r>
          </w:p>
        </w:tc>
        <w:tc>
          <w:tcPr>
            <w:tcW w:type="dxa" w:w="2088"/>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24个月目标</w:t>
            </w:r>
          </w:p>
        </w:tc>
        <w:tc>
          <w:tcPr>
            <w:tcW w:type="dxa" w:w="2520"/>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投资判断</w:t>
            </w:r>
          </w:p>
        </w:tc>
      </w:tr>
      <w:tr>
        <w:trPr>
          <w:cantSplit/>
        </w:trPr>
        <w:tc>
          <w:tcPr>
            <w:tcW w:type="dxa" w:w="122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获客</w:t>
            </w:r>
          </w:p>
        </w:tc>
        <w:tc>
          <w:tcPr>
            <w:tcW w:type="dxa" w:w="352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合格线索成本、诊断转化率、销售周期、伙伴赢单率</w:t>
            </w:r>
          </w:p>
        </w:tc>
        <w:tc>
          <w:tcPr>
            <w:tcW w:type="dxa" w:w="208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销售周期&lt;120天</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伙伴模式是否真能降CAC</w:t>
            </w:r>
          </w:p>
        </w:tc>
      </w:tr>
      <w:tr>
        <w:trPr>
          <w:cantSplit/>
        </w:trPr>
        <w:tc>
          <w:tcPr>
            <w:tcW w:type="dxa" w:w="122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激活</w:t>
            </w:r>
          </w:p>
        </w:tc>
        <w:tc>
          <w:tcPr>
            <w:tcW w:type="dxa" w:w="352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邀请接受率、首次响应时长、供应商付费转化</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有效节点/进口商&gt;17</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网络效应是否形成</w:t>
            </w:r>
          </w:p>
        </w:tc>
      </w:tr>
      <w:tr>
        <w:trPr>
          <w:cantSplit/>
        </w:trPr>
        <w:tc>
          <w:tcPr>
            <w:tcW w:type="dxa" w:w="122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交付</w:t>
            </w:r>
          </w:p>
        </w:tc>
        <w:tc>
          <w:tcPr>
            <w:tcW w:type="dxa" w:w="352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单位项目工时、问题关闭周期、准时率</w:t>
            </w:r>
          </w:p>
        </w:tc>
        <w:tc>
          <w:tcPr>
            <w:tcW w:type="dxa" w:w="208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单位工时同比下降30%</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毛利是否可扩张</w:t>
            </w:r>
          </w:p>
        </w:tc>
      </w:tr>
      <w:tr>
        <w:trPr>
          <w:cantSplit/>
        </w:trPr>
        <w:tc>
          <w:tcPr>
            <w:tcW w:type="dxa" w:w="122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数据</w:t>
            </w:r>
          </w:p>
        </w:tc>
        <w:tc>
          <w:tcPr>
            <w:tcW w:type="dxa" w:w="352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完整率、实际值采用率、授权复用率</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设施数据复用率&gt;35%</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数据资产是否可复用</w:t>
            </w:r>
          </w:p>
        </w:tc>
      </w:tr>
      <w:tr>
        <w:trPr>
          <w:cantSplit/>
        </w:trPr>
        <w:tc>
          <w:tcPr>
            <w:tcW w:type="dxa" w:w="122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留存</w:t>
            </w:r>
          </w:p>
        </w:tc>
        <w:tc>
          <w:tcPr>
            <w:tcW w:type="dxa" w:w="352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GRR、NRR、扩展收入、客户健康度</w:t>
            </w:r>
          </w:p>
        </w:tc>
        <w:tc>
          <w:tcPr>
            <w:tcW w:type="dxa" w:w="208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GRR&gt;85%；NRR&gt;110%</w:t>
            </w:r>
          </w:p>
        </w:tc>
        <w:tc>
          <w:tcPr>
            <w:tcW w:type="dxa" w:w="252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是否具备SaaS质量</w:t>
            </w:r>
          </w:p>
        </w:tc>
      </w:tr>
      <w:tr>
        <w:trPr>
          <w:cantSplit/>
        </w:trPr>
        <w:tc>
          <w:tcPr>
            <w:tcW w:type="dxa" w:w="122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质量</w:t>
            </w:r>
          </w:p>
        </w:tc>
        <w:tc>
          <w:tcPr>
            <w:tcW w:type="dxa" w:w="352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重大数据问题、核查整改、权限/安全事件</w:t>
            </w:r>
          </w:p>
        </w:tc>
        <w:tc>
          <w:tcPr>
            <w:tcW w:type="dxa" w:w="208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重大事件=0</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责任边界是否稳健</w:t>
            </w:r>
          </w:p>
        </w:tc>
      </w:tr>
    </w:tbl>
    <w:p>
      <w:pPr>
        <w:pStyle w:val="Heading2"/>
      </w:pPr>
      <w:r>
        <w:rPr>
          <w:rFonts w:ascii="Calibri" w:hAnsi="Calibri" w:eastAsia="Hiragino Sans GB"/>
          <w:b/>
          <w:color w:val="2E74B5"/>
          <w:sz w:val="26"/>
        </w:rPr>
        <w:t>LTV/CAC目标模型（示意）</w:t>
      </w:r>
    </w:p>
    <w:p>
      <w:pPr>
        <w:spacing w:before="0" w:after="160" w:line="320" w:lineRule="auto"/>
        <w:jc w:val="both"/>
      </w:pPr>
      <w:r>
        <w:rPr>
          <w:rFonts w:ascii="Calibri" w:hAnsi="Calibri" w:eastAsia="Hiragino Sans GB"/>
          <w:b w:val="0"/>
          <w:i w:val="0"/>
          <w:color w:val="1F2933"/>
          <w:sz w:val="19"/>
        </w:rPr>
        <w:t>以出口商/设施节点混合ARR €1,000、长期毛利率70%、年毛收入留存80%测算，静态毛利LTV约€3,500；若节点CAC为€700，则LTV/CAC约5倍。该结果高度依赖进口商邀请带来的低获客成本、续费和交付毛利，必须以真实cohort数据更新。</w:t>
      </w:r>
    </w:p>
    <w:tbl>
      <w:tblPr>
        <w:tblW w:type="dxa" w:w="9360"/>
        <w:jc w:val="left"/>
        <w:tblLayout w:type="fixed"/>
        <w:tblLook w:firstColumn="1" w:firstRow="1" w:lastColumn="0" w:lastRow="0" w:noHBand="0" w:noVBand="1" w:val="04A0"/>
        <w:tblInd w:w="120" w:type="dxa"/>
        <w:tblBorders>
          <w:top w:val="single" w:sz="0" w:space="0" w:color="F8ECEA"/>
          <w:left w:val="single" w:sz="0" w:space="0" w:color="F8ECEA"/>
          <w:bottom w:val="single" w:sz="0" w:space="0" w:color="F8ECEA"/>
          <w:right w:val="single" w:sz="0" w:space="0" w:color="F8ECEA"/>
          <w:insideH w:val="single" w:sz="0" w:space="0" w:color="F8ECEA"/>
          <w:insideV w:val="single" w:sz="0" w:space="0" w:color="F8ECEA"/>
        </w:tblBorders>
      </w:tblPr>
      <w:tblGrid>
        <w:gridCol w:w="9360"/>
      </w:tblGrid>
      <w:tr>
        <w:trPr>
          <w:cantSplit/>
        </w:trPr>
        <w:tc>
          <w:tcPr>
            <w:tcW w:type="dxa" w:w="9360"/>
            <w:tcMar>
              <w:top w:w="160" w:type="dxa"/>
              <w:start w:w="180" w:type="dxa"/>
              <w:bottom w:w="160" w:type="dxa"/>
              <w:end w:w="180" w:type="dxa"/>
            </w:tcMar>
            <w:vAlign w:val="center"/>
            <w:shd w:fill="F8ECEA"/>
          </w:tcPr>
          <w:p>
            <w:pPr>
              <w:spacing w:before="0" w:after="0" w:line="288" w:lineRule="auto"/>
            </w:pPr>
            <w:r>
              <w:rPr>
                <w:rFonts w:ascii="Calibri" w:hAnsi="Calibri" w:eastAsia="Hiragino Sans GB"/>
                <w:b/>
                <w:color w:val="9B1C1C"/>
                <w:sz w:val="19"/>
              </w:rPr>
              <w:t xml:space="preserve">红线  </w:t>
            </w:r>
            <w:r>
              <w:rPr>
                <w:rFonts w:ascii="Calibri" w:hAnsi="Calibri" w:eastAsia="Hiragino Sans GB"/>
                <w:color w:val="1F2933"/>
                <w:sz w:val="19"/>
              </w:rPr>
              <w:t>如果进口商只使用免费版、供应商付费转化低于15%、或单客实施持续依赖高强度人工，平台将退化为低毛利咨询业务。</w:t>
            </w:r>
          </w:p>
        </w:tc>
      </w:tr>
    </w:tbl>
    <w:p>
      <w:pPr>
        <w:keepNext/>
        <w:pageBreakBefore/>
        <w:spacing w:before="0" w:after="40" w:line="240" w:lineRule="auto"/>
        <w:jc w:val="left"/>
      </w:pPr>
      <w:r>
        <w:rPr>
          <w:rFonts w:ascii="Calibri" w:hAnsi="Calibri" w:eastAsia="Hiragino Sans GB"/>
          <w:b/>
          <w:i w:val="0"/>
          <w:color w:val="0B5A52"/>
          <w:sz w:val="16"/>
        </w:rPr>
        <w:t>FUNDING ASK</w:t>
      </w:r>
    </w:p>
    <w:p>
      <w:pPr>
        <w:pStyle w:val="Heading1"/>
      </w:pPr>
      <w:r>
        <w:rPr>
          <w:rFonts w:ascii="Calibri" w:hAnsi="Calibri" w:eastAsia="Hiragino Sans GB"/>
          <w:b/>
          <w:color w:val="2E74B5"/>
          <w:sz w:val="32"/>
        </w:rPr>
        <w:t>融资方案与资金用途</w:t>
      </w:r>
    </w:p>
    <w:p>
      <w:pPr>
        <w:spacing w:before="0" w:after="280" w:line="320" w:lineRule="auto"/>
        <w:jc w:val="both"/>
      </w:pPr>
      <w:r>
        <w:rPr>
          <w:rFonts w:ascii="Calibri" w:hAnsi="Calibri" w:eastAsia="Hiragino Sans GB"/>
          <w:b/>
          <w:i w:val="0"/>
          <w:color w:val="073F3A"/>
          <w:sz w:val="26"/>
        </w:rPr>
        <w:t>建议本轮融资：</w:t>
      </w:r>
      <w:r>
        <w:rPr>
          <w:rFonts w:ascii="Calibri" w:hAnsi="Calibri" w:eastAsia="Hiragino Sans GB"/>
          <w:b/>
          <w:i w:val="0"/>
          <w:color w:val="6E9F42"/>
          <w:sz w:val="36"/>
        </w:rPr>
        <w:t>€2.5m</w:t>
      </w:r>
      <w:r>
        <w:rPr>
          <w:rFonts w:ascii="Calibri" w:hAnsi="Calibri" w:eastAsia="Hiragino Sans GB"/>
          <w:b w:val="0"/>
          <w:i w:val="0"/>
          <w:color w:val="1F2933"/>
          <w:sz w:val="20"/>
        </w:rPr>
        <w:t>，目标现金跑道18-24个月。估值、股权比例和工具形式需结合团队、产品与客户证据另行协商。</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512"/>
        <w:gridCol w:w="936"/>
        <w:gridCol w:w="1224"/>
        <w:gridCol w:w="3168"/>
        <w:gridCol w:w="2520"/>
      </w:tblGrid>
      <w:tr>
        <w:trPr>
          <w:cantSplit/>
          <w:tblHeader w:val="true"/>
          <w:cantSplit/>
        </w:trPr>
        <w:tc>
          <w:tcPr>
            <w:tcW w:type="dxa" w:w="1512"/>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用途</w:t>
            </w:r>
          </w:p>
        </w:tc>
        <w:tc>
          <w:tcPr>
            <w:tcW w:type="dxa" w:w="936"/>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比例</w:t>
            </w:r>
          </w:p>
        </w:tc>
        <w:tc>
          <w:tcPr>
            <w:tcW w:type="dxa" w:w="1224"/>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金额</w:t>
            </w:r>
          </w:p>
        </w:tc>
        <w:tc>
          <w:tcPr>
            <w:tcW w:type="dxa" w:w="3168"/>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主要投入</w:t>
            </w:r>
          </w:p>
        </w:tc>
        <w:tc>
          <w:tcPr>
            <w:tcW w:type="dxa" w:w="2520"/>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6"/>
              </w:rPr>
              <w:t>验收结果</w:t>
            </w:r>
          </w:p>
        </w:tc>
      </w:tr>
      <w:tr>
        <w:trPr>
          <w:cantSplit/>
        </w:trPr>
        <w:tc>
          <w:tcPr>
            <w:tcW w:type="dxa" w:w="1512"/>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产品与研发</w:t>
            </w:r>
          </w:p>
        </w:tc>
        <w:tc>
          <w:tcPr>
            <w:tcW w:type="dxa" w:w="936"/>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40%</w:t>
            </w:r>
          </w:p>
        </w:tc>
        <w:tc>
          <w:tcPr>
            <w:tcW w:type="dxa" w:w="122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€1.00m</w:t>
            </w:r>
          </w:p>
        </w:tc>
        <w:tc>
          <w:tcPr>
            <w:tcW w:type="dxa" w:w="316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MVP、规则引擎、数据模型、权限安全、API</w:t>
            </w:r>
          </w:p>
        </w:tc>
        <w:tc>
          <w:tcPr>
            <w:tcW w:type="dxa" w:w="252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端到端闭环 + 企业级底座</w:t>
            </w:r>
          </w:p>
        </w:tc>
      </w:tr>
      <w:tr>
        <w:trPr>
          <w:cantSplit/>
        </w:trPr>
        <w:tc>
          <w:tcPr>
            <w:tcW w:type="dxa" w:w="1512"/>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欧洲市场</w:t>
            </w:r>
          </w:p>
        </w:tc>
        <w:tc>
          <w:tcPr>
            <w:tcW w:type="dxa" w:w="93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30%</w:t>
            </w:r>
          </w:p>
        </w:tc>
        <w:tc>
          <w:tcPr>
            <w:tcW w:type="dxa" w:w="122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€0.75m</w:t>
            </w:r>
          </w:p>
        </w:tc>
        <w:tc>
          <w:tcPr>
            <w:tcW w:type="dxa" w:w="316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灯塔客户、渠道伙伴、本地商务与客户成功</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70家活跃进口商路径</w:t>
            </w:r>
          </w:p>
        </w:tc>
      </w:tr>
      <w:tr>
        <w:trPr>
          <w:cantSplit/>
        </w:trPr>
        <w:tc>
          <w:tcPr>
            <w:tcW w:type="dxa" w:w="1512"/>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合规与生态</w:t>
            </w:r>
          </w:p>
        </w:tc>
        <w:tc>
          <w:tcPr>
            <w:tcW w:type="dxa" w:w="936"/>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20%</w:t>
            </w:r>
          </w:p>
        </w:tc>
        <w:tc>
          <w:tcPr>
            <w:tcW w:type="dxa" w:w="122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€0.50m</w:t>
            </w:r>
          </w:p>
        </w:tc>
        <w:tc>
          <w:tcPr>
            <w:tcW w:type="dxa" w:w="316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法规维护、核查/咨询伙伴、行业模板、质量体系</w:t>
            </w:r>
          </w:p>
        </w:tc>
        <w:tc>
          <w:tcPr>
            <w:tcW w:type="dxa" w:w="252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可复制交付网络</w:t>
            </w:r>
          </w:p>
        </w:tc>
      </w:tr>
      <w:tr>
        <w:trPr>
          <w:cantSplit/>
        </w:trPr>
        <w:tc>
          <w:tcPr>
            <w:tcW w:type="dxa" w:w="1512"/>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运营与缓冲</w:t>
            </w:r>
          </w:p>
        </w:tc>
        <w:tc>
          <w:tcPr>
            <w:tcW w:type="dxa" w:w="93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10%</w:t>
            </w:r>
          </w:p>
        </w:tc>
        <w:tc>
          <w:tcPr>
            <w:tcW w:type="dxa" w:w="122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€0.25m</w:t>
            </w:r>
          </w:p>
        </w:tc>
        <w:tc>
          <w:tcPr>
            <w:tcW w:type="dxa" w:w="316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财务法务、云资源、差旅、不可预见项</w:t>
            </w:r>
          </w:p>
        </w:tc>
        <w:tc>
          <w:tcPr>
            <w:tcW w:type="dxa" w:w="252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现金与治理韧性</w:t>
            </w:r>
          </w:p>
        </w:tc>
      </w:tr>
    </w:tbl>
    <w:p>
      <w:pPr>
        <w:pStyle w:val="Heading2"/>
      </w:pPr>
      <w:r>
        <w:rPr>
          <w:rFonts w:ascii="Calibri" w:hAnsi="Calibri" w:eastAsia="Hiragino Sans GB"/>
          <w:b/>
          <w:color w:val="2E74B5"/>
          <w:sz w:val="26"/>
        </w:rPr>
        <w:t>资金释放建议</w:t>
      </w:r>
    </w:p>
    <w:p>
      <w:pPr>
        <w:pStyle w:val="ListBullet"/>
        <w:spacing w:after="80" w:line="290" w:lineRule="auto"/>
        <w:ind w:left="540" w:hanging="279"/>
      </w:pPr>
      <w:r>
        <w:rPr>
          <w:rFonts w:ascii="Calibri" w:hAnsi="Calibri" w:eastAsia="Hiragino Sans GB"/>
          <w:color w:val="1F2933"/>
          <w:sz w:val="22"/>
        </w:rPr>
        <w:t>按里程碑滚动招聘：先产品、合规和客户成功，再扩张销售；欧洲本地团队以渠道与关键客户为核心。</w:t>
      </w:r>
    </w:p>
    <w:p>
      <w:pPr>
        <w:pStyle w:val="ListBullet"/>
        <w:spacing w:after="80" w:line="290" w:lineRule="auto"/>
        <w:ind w:left="540" w:hanging="279"/>
      </w:pPr>
      <w:r>
        <w:rPr>
          <w:rFonts w:ascii="Calibri" w:hAnsi="Calibri" w:eastAsia="Hiragino Sans GB"/>
          <w:color w:val="1F2933"/>
          <w:sz w:val="22"/>
        </w:rPr>
        <w:t>大型定制开发必须绑定企业版合同、复用路线和毛利底线，避免单一客户牵引产品失焦。</w:t>
      </w:r>
    </w:p>
    <w:p>
      <w:pPr>
        <w:pStyle w:val="ListBullet"/>
        <w:spacing w:after="80" w:line="290" w:lineRule="auto"/>
        <w:ind w:left="540" w:hanging="279"/>
      </w:pPr>
      <w:r>
        <w:rPr>
          <w:rFonts w:ascii="Calibri" w:hAnsi="Calibri" w:eastAsia="Hiragino Sans GB"/>
          <w:color w:val="1F2933"/>
          <w:sz w:val="22"/>
        </w:rPr>
        <w:t>将不少于6个月固定费用作为安全垫；重大市场投入以渠道转化与付费试点为前置。</w:t>
      </w:r>
    </w:p>
    <w:tbl>
      <w:tblPr>
        <w:tblW w:type="dxa" w:w="9360"/>
        <w:jc w:val="left"/>
        <w:tblLayout w:type="fixed"/>
        <w:tblLook w:firstColumn="1" w:firstRow="1" w:lastColumn="0" w:lastRow="0" w:noHBand="0" w:noVBand="1" w:val="04A0"/>
        <w:tblInd w:w="120" w:type="dxa"/>
        <w:tblBorders>
          <w:top w:val="single" w:sz="0" w:space="0" w:color="EEF4E7"/>
          <w:left w:val="single" w:sz="0" w:space="0" w:color="EEF4E7"/>
          <w:bottom w:val="single" w:sz="0" w:space="0" w:color="EEF4E7"/>
          <w:right w:val="single" w:sz="0" w:space="0" w:color="EEF4E7"/>
          <w:insideH w:val="single" w:sz="0" w:space="0" w:color="EEF4E7"/>
          <w:insideV w:val="single" w:sz="0" w:space="0" w:color="EEF4E7"/>
        </w:tblBorders>
      </w:tblPr>
      <w:tblGrid>
        <w:gridCol w:w="9360"/>
      </w:tblGrid>
      <w:tr>
        <w:trPr>
          <w:cantSplit/>
        </w:trPr>
        <w:tc>
          <w:tcPr>
            <w:tcW w:type="dxa" w:w="9360"/>
            <w:tcMar>
              <w:top w:w="160" w:type="dxa"/>
              <w:start w:w="180" w:type="dxa"/>
              <w:bottom w:w="160" w:type="dxa"/>
              <w:end w:w="180" w:type="dxa"/>
            </w:tcMar>
            <w:vAlign w:val="center"/>
            <w:shd w:fill="EEF4E7"/>
          </w:tcPr>
          <w:p>
            <w:pPr>
              <w:spacing w:before="0" w:after="0" w:line="288" w:lineRule="auto"/>
            </w:pPr>
            <w:r>
              <w:rPr>
                <w:rFonts w:ascii="Calibri" w:hAnsi="Calibri" w:eastAsia="Hiragino Sans GB"/>
                <w:b/>
                <w:color w:val="6E9F42"/>
                <w:sz w:val="19"/>
              </w:rPr>
              <w:t>下一轮触发条件  ARR达到约€1.35m、70家活跃进口商、1,200个付费供应链节点、GRR&gt;85%、可复制伙伴渠道成立，并完成至少一个年度履约闭环。</w:t>
            </w:r>
            <w:r>
              <w:rPr>
                <w:rFonts w:ascii="Calibri" w:hAnsi="Calibri" w:eastAsia="Hiragino Sans GB"/>
                <w:color w:val="1F2933"/>
                <w:sz w:val="19"/>
              </w:rPr>
            </w:r>
          </w:p>
        </w:tc>
      </w:tr>
    </w:tbl>
    <w:p>
      <w:pPr>
        <w:keepNext/>
        <w:pageBreakBefore/>
        <w:spacing w:before="0" w:after="40" w:line="240" w:lineRule="auto"/>
        <w:jc w:val="left"/>
      </w:pPr>
      <w:r>
        <w:rPr>
          <w:rFonts w:ascii="Calibri" w:hAnsi="Calibri" w:eastAsia="Hiragino Sans GB"/>
          <w:b/>
          <w:i w:val="0"/>
          <w:color w:val="0B5A52"/>
          <w:sz w:val="16"/>
        </w:rPr>
        <w:t>TEAM</w:t>
      </w:r>
    </w:p>
    <w:p>
      <w:pPr>
        <w:pStyle w:val="Heading1"/>
      </w:pPr>
      <w:r>
        <w:rPr>
          <w:rFonts w:ascii="Calibri" w:hAnsi="Calibri" w:eastAsia="Hiragino Sans GB"/>
          <w:b/>
          <w:color w:val="2E74B5"/>
          <w:sz w:val="32"/>
        </w:rPr>
        <w:t>团队与治理：融资前需补齐的关键拼图</w:t>
      </w:r>
    </w:p>
    <w:p>
      <w:pPr>
        <w:spacing w:before="0" w:after="160" w:line="320" w:lineRule="auto"/>
        <w:jc w:val="both"/>
      </w:pPr>
      <w:r>
        <w:rPr>
          <w:rFonts w:ascii="Calibri" w:hAnsi="Calibri" w:eastAsia="Hiragino Sans GB"/>
          <w:b w:val="0"/>
          <w:i w:val="0"/>
          <w:color w:val="1F2933"/>
          <w:sz w:val="22"/>
        </w:rPr>
        <w:t>新增材料披露了团队自2015年以来的产业数字化、2020年以来的碳管理和2023年以来的CBAM实践，但仍未提供创始团队姓名、个人履历、股权、全职状态和已到位人员。正式对外版本必须补充实名团队信息，并以合同、验收和客户证明核验项目经历。</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584"/>
        <w:gridCol w:w="2376"/>
        <w:gridCol w:w="3960"/>
        <w:gridCol w:w="1440"/>
      </w:tblGrid>
      <w:tr>
        <w:trPr>
          <w:cantSplit/>
          <w:tblHeader w:val="true"/>
          <w:cantSplit/>
        </w:trPr>
        <w:tc>
          <w:tcPr>
            <w:tcW w:type="dxa" w:w="1584"/>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关键角色</w:t>
            </w:r>
          </w:p>
        </w:tc>
        <w:tc>
          <w:tcPr>
            <w:tcW w:type="dxa" w:w="2376"/>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核心职责</w:t>
            </w:r>
          </w:p>
        </w:tc>
        <w:tc>
          <w:tcPr>
            <w:tcW w:type="dxa" w:w="3960"/>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投资人期望证据</w:t>
            </w:r>
          </w:p>
        </w:tc>
        <w:tc>
          <w:tcPr>
            <w:tcW w:type="dxa" w:w="1440"/>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到位优先级</w:t>
            </w:r>
          </w:p>
        </w:tc>
      </w:tr>
      <w:tr>
        <w:trPr>
          <w:cantSplit/>
        </w:trPr>
        <w:tc>
          <w:tcPr>
            <w:tcW w:type="dxa" w:w="158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CEO/创始人</w:t>
            </w:r>
          </w:p>
        </w:tc>
        <w:tc>
          <w:tcPr>
            <w:tcW w:type="dxa" w:w="237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战略、融资、欧洲核心客户与伙伴</w:t>
            </w:r>
          </w:p>
        </w:tc>
        <w:tc>
          <w:tcPr>
            <w:tcW w:type="dxa" w:w="396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跨境贸易/产业资源、全职承诺、历史执行</w:t>
            </w:r>
          </w:p>
        </w:tc>
        <w:tc>
          <w:tcPr>
            <w:tcW w:type="dxa" w:w="144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立即</w:t>
            </w:r>
          </w:p>
        </w:tc>
      </w:tr>
      <w:tr>
        <w:trPr>
          <w:cantSplit/>
        </w:trPr>
        <w:tc>
          <w:tcPr>
            <w:tcW w:type="dxa" w:w="158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CTO</w:t>
            </w:r>
          </w:p>
        </w:tc>
        <w:tc>
          <w:tcPr>
            <w:tcW w:type="dxa" w:w="237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SaaS架构、数据治理、安全与集成</w:t>
            </w:r>
          </w:p>
        </w:tc>
        <w:tc>
          <w:tcPr>
            <w:tcW w:type="dxa" w:w="396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企业级产品、跨组织权限、数据平台经验</w:t>
            </w:r>
          </w:p>
        </w:tc>
        <w:tc>
          <w:tcPr>
            <w:tcW w:type="dxa" w:w="144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立即</w:t>
            </w:r>
          </w:p>
        </w:tc>
      </w:tr>
      <w:tr>
        <w:trPr>
          <w:cantSplit/>
        </w:trPr>
        <w:tc>
          <w:tcPr>
            <w:tcW w:type="dxa" w:w="158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CBAM合规负责人</w:t>
            </w:r>
          </w:p>
        </w:tc>
        <w:tc>
          <w:tcPr>
            <w:tcW w:type="dxa" w:w="237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规则版本、方法、质量与责任边界</w:t>
            </w:r>
          </w:p>
        </w:tc>
        <w:tc>
          <w:tcPr>
            <w:tcW w:type="dxa" w:w="396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欧盟CBAM/ETS、核算与核查协同经验</w:t>
            </w:r>
          </w:p>
        </w:tc>
        <w:tc>
          <w:tcPr>
            <w:tcW w:type="dxa" w:w="144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立即</w:t>
            </w:r>
          </w:p>
        </w:tc>
      </w:tr>
      <w:tr>
        <w:trPr>
          <w:cantSplit/>
        </w:trPr>
        <w:tc>
          <w:tcPr>
            <w:tcW w:type="dxa" w:w="158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欧洲市场负责人</w:t>
            </w:r>
          </w:p>
        </w:tc>
        <w:tc>
          <w:tcPr>
            <w:tcW w:type="dxa" w:w="237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渠道、灯塔客户、本地客户成功</w:t>
            </w:r>
          </w:p>
        </w:tc>
        <w:tc>
          <w:tcPr>
            <w:tcW w:type="dxa" w:w="396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欧洲B2B销售、行业网络、多语言</w:t>
            </w:r>
          </w:p>
        </w:tc>
        <w:tc>
          <w:tcPr>
            <w:tcW w:type="dxa" w:w="144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0-6个月</w:t>
            </w:r>
          </w:p>
        </w:tc>
      </w:tr>
      <w:tr>
        <w:trPr>
          <w:cantSplit/>
        </w:trPr>
        <w:tc>
          <w:tcPr>
            <w:tcW w:type="dxa" w:w="158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产品/数据负责人</w:t>
            </w:r>
          </w:p>
        </w:tc>
        <w:tc>
          <w:tcPr>
            <w:tcW w:type="dxa" w:w="2376"/>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贸易事件、设施数据、经营分析</w:t>
            </w:r>
          </w:p>
        </w:tc>
        <w:tc>
          <w:tcPr>
            <w:tcW w:type="dxa" w:w="396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供应链产品、碳数据或LCA经验</w:t>
            </w:r>
          </w:p>
        </w:tc>
        <w:tc>
          <w:tcPr>
            <w:tcW w:type="dxa" w:w="1440"/>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0-6个月</w:t>
            </w:r>
          </w:p>
        </w:tc>
      </w:tr>
      <w:tr>
        <w:trPr>
          <w:cantSplit/>
        </w:trPr>
        <w:tc>
          <w:tcPr>
            <w:tcW w:type="dxa" w:w="158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交付与客户成功</w:t>
            </w:r>
          </w:p>
        </w:tc>
        <w:tc>
          <w:tcPr>
            <w:tcW w:type="dxa" w:w="237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项目运营、供应商激活、续费扩展</w:t>
            </w:r>
          </w:p>
        </w:tc>
        <w:tc>
          <w:tcPr>
            <w:tcW w:type="dxa" w:w="396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复杂B2B实施、流程标准化</w:t>
            </w:r>
          </w:p>
        </w:tc>
        <w:tc>
          <w:tcPr>
            <w:tcW w:type="dxa" w:w="144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随客户增长</w:t>
            </w:r>
          </w:p>
        </w:tc>
      </w:tr>
    </w:tbl>
    <w:p>
      <w:pPr>
        <w:pStyle w:val="Heading2"/>
      </w:pPr>
      <w:r>
        <w:rPr>
          <w:rFonts w:ascii="Calibri" w:hAnsi="Calibri" w:eastAsia="Hiragino Sans GB"/>
          <w:b/>
          <w:color w:val="2E74B5"/>
          <w:sz w:val="26"/>
        </w:rPr>
        <w:t>三年人员规划（建议）</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2376"/>
        <w:gridCol w:w="1008"/>
        <w:gridCol w:w="1008"/>
        <w:gridCol w:w="1008"/>
        <w:gridCol w:w="3960"/>
      </w:tblGrid>
      <w:tr>
        <w:trPr>
          <w:cantSplit/>
          <w:tblHeader w:val="true"/>
          <w:cantSplit/>
        </w:trPr>
        <w:tc>
          <w:tcPr>
            <w:tcW w:type="dxa" w:w="2376"/>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团队</w:t>
            </w:r>
          </w:p>
        </w:tc>
        <w:tc>
          <w:tcPr>
            <w:tcW w:type="dxa" w:w="1008"/>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Y1</w:t>
            </w:r>
          </w:p>
        </w:tc>
        <w:tc>
          <w:tcPr>
            <w:tcW w:type="dxa" w:w="1008"/>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Y2</w:t>
            </w:r>
          </w:p>
        </w:tc>
        <w:tc>
          <w:tcPr>
            <w:tcW w:type="dxa" w:w="1008"/>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Y3</w:t>
            </w:r>
          </w:p>
        </w:tc>
        <w:tc>
          <w:tcPr>
            <w:tcW w:type="dxa" w:w="3960"/>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原则</w:t>
            </w:r>
          </w:p>
        </w:tc>
      </w:tr>
      <w:tr>
        <w:trPr>
          <w:cantSplit/>
        </w:trPr>
        <w:tc>
          <w:tcPr>
            <w:tcW w:type="dxa" w:w="237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产品/技术/数据</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6</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9</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13</w:t>
            </w:r>
          </w:p>
        </w:tc>
        <w:tc>
          <w:tcPr>
            <w:tcW w:type="dxa" w:w="396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保持核心规则和数据能力自有</w:t>
            </w:r>
          </w:p>
        </w:tc>
      </w:tr>
      <w:tr>
        <w:trPr>
          <w:cantSplit/>
        </w:trPr>
        <w:tc>
          <w:tcPr>
            <w:tcW w:type="dxa" w:w="237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合规/交付/客户成功</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4</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7</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11</w:t>
            </w:r>
          </w:p>
        </w:tc>
        <w:tc>
          <w:tcPr>
            <w:tcW w:type="dxa" w:w="396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模板化 + 伙伴交付，避免线性扩张</w:t>
            </w:r>
          </w:p>
        </w:tc>
      </w:tr>
      <w:tr>
        <w:trPr>
          <w:cantSplit/>
        </w:trPr>
        <w:tc>
          <w:tcPr>
            <w:tcW w:type="dxa" w:w="237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市场/销售/渠道</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3</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5</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7</w:t>
            </w:r>
          </w:p>
        </w:tc>
        <w:tc>
          <w:tcPr>
            <w:tcW w:type="dxa" w:w="396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欧洲本地关键岗位，伙伴优先</w:t>
            </w:r>
          </w:p>
        </w:tc>
      </w:tr>
      <w:tr>
        <w:trPr>
          <w:cantSplit/>
        </w:trPr>
        <w:tc>
          <w:tcPr>
            <w:tcW w:type="dxa" w:w="2376"/>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财务/法务/运营</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1</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2</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3</w:t>
            </w:r>
          </w:p>
        </w:tc>
        <w:tc>
          <w:tcPr>
            <w:tcW w:type="dxa" w:w="3960"/>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轻量治理，关键事项外部专业支持</w:t>
            </w:r>
          </w:p>
        </w:tc>
      </w:tr>
      <w:tr>
        <w:trPr>
          <w:cantSplit/>
        </w:trPr>
        <w:tc>
          <w:tcPr>
            <w:tcW w:type="dxa" w:w="2376"/>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合计FTE</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14</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23</w:t>
            </w:r>
          </w:p>
        </w:tc>
        <w:tc>
          <w:tcPr>
            <w:tcW w:type="dxa" w:w="1008"/>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34</w:t>
            </w:r>
          </w:p>
        </w:tc>
        <w:tc>
          <w:tcPr>
            <w:tcW w:type="dxa" w:w="3960"/>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与ARR和里程碑挂钩</w:t>
            </w:r>
          </w:p>
        </w:tc>
      </w:tr>
    </w:tbl>
    <w:p>
      <w:pPr>
        <w:keepNext/>
        <w:pageBreakBefore/>
        <w:spacing w:before="0" w:after="40" w:line="240" w:lineRule="auto"/>
        <w:jc w:val="left"/>
      </w:pPr>
      <w:r>
        <w:rPr>
          <w:rFonts w:ascii="Calibri" w:hAnsi="Calibri" w:eastAsia="Hiragino Sans GB"/>
          <w:b/>
          <w:i w:val="0"/>
          <w:color w:val="0B5A52"/>
          <w:sz w:val="16"/>
        </w:rPr>
        <w:t>RISK</w:t>
      </w:r>
    </w:p>
    <w:p>
      <w:pPr>
        <w:pStyle w:val="Heading1"/>
      </w:pPr>
      <w:r>
        <w:rPr>
          <w:rFonts w:ascii="Calibri" w:hAnsi="Calibri" w:eastAsia="Hiragino Sans GB"/>
          <w:b/>
          <w:color w:val="2E74B5"/>
          <w:sz w:val="32"/>
        </w:rPr>
        <w:t>主要风险与控制措施</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728"/>
        <w:gridCol w:w="2232"/>
        <w:gridCol w:w="3672"/>
        <w:gridCol w:w="1728"/>
      </w:tblGrid>
      <w:tr>
        <w:trPr>
          <w:cantSplit/>
          <w:tblHeader w:val="true"/>
          <w:cantSplit/>
        </w:trPr>
        <w:tc>
          <w:tcPr>
            <w:tcW w:type="dxa" w:w="1728"/>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5"/>
              </w:rPr>
              <w:t>风险</w:t>
            </w:r>
          </w:p>
        </w:tc>
        <w:tc>
          <w:tcPr>
            <w:tcW w:type="dxa" w:w="2232"/>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5"/>
              </w:rPr>
              <w:t>可能影响</w:t>
            </w:r>
          </w:p>
        </w:tc>
        <w:tc>
          <w:tcPr>
            <w:tcW w:type="dxa" w:w="3672"/>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5"/>
              </w:rPr>
              <w:t>控制措施</w:t>
            </w:r>
          </w:p>
        </w:tc>
        <w:tc>
          <w:tcPr>
            <w:tcW w:type="dxa" w:w="1728"/>
            <w:tcMar>
              <w:top w:w="90" w:type="dxa"/>
              <w:start w:w="120" w:type="dxa"/>
              <w:bottom w:w="90" w:type="dxa"/>
              <w:end w:w="120" w:type="dxa"/>
            </w:tcMar>
            <w:vAlign w:val="center"/>
            <w:shd w:fill="073F3A"/>
          </w:tcPr>
          <w:p>
            <w:pPr>
              <w:spacing w:before="0" w:after="0" w:line="252" w:lineRule="auto"/>
              <w:jc w:val="center"/>
            </w:pPr>
            <w:r>
              <w:rPr>
                <w:rFonts w:ascii="Calibri" w:hAnsi="Calibri" w:eastAsia="Hiragino Sans GB"/>
                <w:b/>
                <w:color w:val="FFFFFF"/>
                <w:sz w:val="15"/>
              </w:rPr>
              <w:t>监控指标</w:t>
            </w:r>
          </w:p>
        </w:tc>
      </w:tr>
      <w:tr>
        <w:trPr>
          <w:cantSplit/>
        </w:trPr>
        <w:tc>
          <w:tcPr>
            <w:tcW w:type="dxa" w:w="1728"/>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法规简化/范围变化</w:t>
            </w:r>
          </w:p>
        </w:tc>
        <w:tc>
          <w:tcPr>
            <w:tcW w:type="dxa" w:w="223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长尾客户减少、产品需快速调整</w:t>
            </w:r>
          </w:p>
        </w:tc>
        <w:tc>
          <w:tcPr>
            <w:tcW w:type="dxa" w:w="36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聚焦阈值以上复杂客户；规则配置化；扩围不计基准收入</w:t>
            </w:r>
          </w:p>
        </w:tc>
        <w:tc>
          <w:tcPr>
            <w:tcW w:type="dxa" w:w="172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受影响ARR、规则更新时间</w:t>
            </w:r>
          </w:p>
        </w:tc>
      </w:tr>
      <w:tr>
        <w:trPr>
          <w:cantSplit/>
        </w:trPr>
        <w:tc>
          <w:tcPr>
            <w:tcW w:type="dxa" w:w="1728"/>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数据质量与责任</w:t>
            </w:r>
          </w:p>
        </w:tc>
        <w:tc>
          <w:tcPr>
            <w:tcW w:type="dxa" w:w="223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错报、罚款、客户索赔、品牌损害</w:t>
            </w:r>
          </w:p>
        </w:tc>
        <w:tc>
          <w:tcPr>
            <w:tcW w:type="dxa" w:w="36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证据链、版本冻结、四眼复核、合同责任边界、保险</w:t>
            </w:r>
          </w:p>
        </w:tc>
        <w:tc>
          <w:tcPr>
            <w:tcW w:type="dxa" w:w="172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重大问题数、整改周期</w:t>
            </w:r>
          </w:p>
        </w:tc>
      </w:tr>
      <w:tr>
        <w:trPr>
          <w:cantSplit/>
        </w:trPr>
        <w:tc>
          <w:tcPr>
            <w:tcW w:type="dxa" w:w="1728"/>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核查独立性</w:t>
            </w:r>
          </w:p>
        </w:tc>
        <w:tc>
          <w:tcPr>
            <w:tcW w:type="dxa" w:w="223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实际值不可用或利益冲突</w:t>
            </w:r>
          </w:p>
        </w:tc>
        <w:tc>
          <w:tcPr>
            <w:tcW w:type="dxa" w:w="36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合格核查伙伴池；平台不控制核查结论；过程留痕</w:t>
            </w:r>
          </w:p>
        </w:tc>
        <w:tc>
          <w:tcPr>
            <w:tcW w:type="dxa" w:w="172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核查退回率、伙伴集中度</w:t>
            </w:r>
          </w:p>
        </w:tc>
      </w:tr>
      <w:tr>
        <w:trPr>
          <w:cantSplit/>
        </w:trPr>
        <w:tc>
          <w:tcPr>
            <w:tcW w:type="dxa" w:w="1728"/>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GDPR与跨境数据</w:t>
            </w:r>
          </w:p>
        </w:tc>
        <w:tc>
          <w:tcPr>
            <w:tcW w:type="dxa" w:w="223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监管、客户信任与安全事件</w:t>
            </w:r>
          </w:p>
        </w:tc>
        <w:tc>
          <w:tcPr>
            <w:tcW w:type="dxa" w:w="36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欧盟托管、DPA、最小权限、加密、删除/留存策略</w:t>
            </w:r>
          </w:p>
        </w:tc>
        <w:tc>
          <w:tcPr>
            <w:tcW w:type="dxa" w:w="172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安全事件、权限审计</w:t>
            </w:r>
          </w:p>
        </w:tc>
      </w:tr>
      <w:tr>
        <w:trPr>
          <w:cantSplit/>
        </w:trPr>
        <w:tc>
          <w:tcPr>
            <w:tcW w:type="dxa" w:w="1728"/>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销售周期</w:t>
            </w:r>
          </w:p>
        </w:tc>
        <w:tc>
          <w:tcPr>
            <w:tcW w:type="dxa" w:w="223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现金消耗、增长低于计划</w:t>
            </w:r>
          </w:p>
        </w:tc>
        <w:tc>
          <w:tcPr>
            <w:tcW w:type="dxa" w:w="36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灯塔试点、伙伴渠道、明确ROI、分阶段合同</w:t>
            </w:r>
          </w:p>
        </w:tc>
        <w:tc>
          <w:tcPr>
            <w:tcW w:type="dxa" w:w="172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销售周期、试点转化</w:t>
            </w:r>
          </w:p>
        </w:tc>
      </w:tr>
      <w:tr>
        <w:trPr>
          <w:cantSplit/>
        </w:trPr>
        <w:tc>
          <w:tcPr>
            <w:tcW w:type="dxa" w:w="1728"/>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服务强度</w:t>
            </w:r>
          </w:p>
        </w:tc>
        <w:tc>
          <w:tcPr>
            <w:tcW w:type="dxa" w:w="223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毛利无法提升、规模受限</w:t>
            </w:r>
          </w:p>
        </w:tc>
        <w:tc>
          <w:tcPr>
            <w:tcW w:type="dxa" w:w="3672"/>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标准模板、产品门槛、伙伴交付、拒绝低复用定制</w:t>
            </w:r>
          </w:p>
        </w:tc>
        <w:tc>
          <w:tcPr>
            <w:tcW w:type="dxa" w:w="172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单客工时、服务毛利</w:t>
            </w:r>
          </w:p>
        </w:tc>
      </w:tr>
      <w:tr>
        <w:trPr>
          <w:cantSplit/>
        </w:trPr>
        <w:tc>
          <w:tcPr>
            <w:tcW w:type="dxa" w:w="1728"/>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5"/>
              </w:rPr>
              <w:t>竞争与平台替代</w:t>
            </w:r>
          </w:p>
        </w:tc>
        <w:tc>
          <w:tcPr>
            <w:tcW w:type="dxa" w:w="223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价格压力、客户被综合平台吸收</w:t>
            </w:r>
          </w:p>
        </w:tc>
        <w:tc>
          <w:tcPr>
            <w:tcW w:type="dxa" w:w="3672"/>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贸易事件原生、双边网络、开放API、行业深度</w:t>
            </w:r>
          </w:p>
        </w:tc>
        <w:tc>
          <w:tcPr>
            <w:tcW w:type="dxa" w:w="172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5"/>
              </w:rPr>
              <w:t>赢单/输单原因、NRR</w:t>
            </w:r>
          </w:p>
        </w:tc>
      </w:tr>
    </w:tbl>
    <w:p>
      <w:pPr>
        <w:pStyle w:val="Heading2"/>
      </w:pPr>
      <w:r>
        <w:rPr>
          <w:rFonts w:ascii="Calibri" w:hAnsi="Calibri" w:eastAsia="Hiragino Sans GB"/>
          <w:b/>
          <w:color w:val="2E74B5"/>
          <w:sz w:val="26"/>
        </w:rPr>
        <w:t>不可做的承诺</w:t>
      </w:r>
    </w:p>
    <w:p>
      <w:pPr>
        <w:pStyle w:val="ListBullet"/>
        <w:spacing w:after="80" w:line="290" w:lineRule="auto"/>
        <w:ind w:left="540" w:hanging="279"/>
      </w:pPr>
      <w:r>
        <w:rPr>
          <w:rFonts w:ascii="Calibri" w:hAnsi="Calibri" w:eastAsia="Hiragino Sans GB"/>
          <w:color w:val="1F2933"/>
          <w:sz w:val="22"/>
        </w:rPr>
        <w:t>不承诺合规结果“100%通过”，不替代进口商或授权申报人的法律责任。</w:t>
      </w:r>
    </w:p>
    <w:p>
      <w:pPr>
        <w:pStyle w:val="ListBullet"/>
        <w:spacing w:after="80" w:line="290" w:lineRule="auto"/>
        <w:ind w:left="540" w:hanging="279"/>
      </w:pPr>
      <w:r>
        <w:rPr>
          <w:rFonts w:ascii="Calibri" w:hAnsi="Calibri" w:eastAsia="Hiragino Sans GB"/>
          <w:color w:val="1F2933"/>
          <w:sz w:val="22"/>
        </w:rPr>
        <w:t>不将提案中的2028扩围写成已生效法规，不把季度证书价格写成年度固定价格。</w:t>
      </w:r>
    </w:p>
    <w:p>
      <w:pPr>
        <w:pStyle w:val="ListBullet"/>
        <w:spacing w:after="80" w:line="290" w:lineRule="auto"/>
        <w:ind w:left="540" w:hanging="279"/>
      </w:pPr>
      <w:r>
        <w:rPr>
          <w:rFonts w:ascii="Calibri" w:hAnsi="Calibri" w:eastAsia="Hiragino Sans GB"/>
          <w:color w:val="1F2933"/>
          <w:sz w:val="22"/>
        </w:rPr>
        <w:t>不在未经独立核查时把设施自报数据表述为已验证实际值。</w:t>
      </w:r>
    </w:p>
    <w:p>
      <w:pPr>
        <w:pStyle w:val="ListBullet"/>
        <w:spacing w:after="80" w:line="290" w:lineRule="auto"/>
        <w:ind w:left="540" w:hanging="279"/>
      </w:pPr>
      <w:r>
        <w:rPr>
          <w:rFonts w:ascii="Calibri" w:hAnsi="Calibri" w:eastAsia="Hiragino Sans GB"/>
          <w:color w:val="1F2933"/>
          <w:sz w:val="22"/>
        </w:rPr>
        <w:t>不将客户上传数据用于跨客户基准或模型训练，除非具备明确授权和合规基础。</w:t>
      </w:r>
    </w:p>
    <w:tbl>
      <w:tblPr>
        <w:tblW w:type="dxa" w:w="9360"/>
        <w:jc w:val="left"/>
        <w:tblLayout w:type="fixed"/>
        <w:tblLook w:firstColumn="1" w:firstRow="1" w:lastColumn="0" w:lastRow="0" w:noHBand="0" w:noVBand="1" w:val="04A0"/>
        <w:tblInd w:w="120" w:type="dxa"/>
        <w:tblBorders>
          <w:top w:val="single" w:sz="0" w:space="0" w:color="F8ECEA"/>
          <w:left w:val="single" w:sz="0" w:space="0" w:color="F8ECEA"/>
          <w:bottom w:val="single" w:sz="0" w:space="0" w:color="F8ECEA"/>
          <w:right w:val="single" w:sz="0" w:space="0" w:color="F8ECEA"/>
          <w:insideH w:val="single" w:sz="0" w:space="0" w:color="F8ECEA"/>
          <w:insideV w:val="single" w:sz="0" w:space="0" w:color="F8ECEA"/>
        </w:tblBorders>
      </w:tblPr>
      <w:tblGrid>
        <w:gridCol w:w="9360"/>
      </w:tblGrid>
      <w:tr>
        <w:trPr>
          <w:cantSplit/>
        </w:trPr>
        <w:tc>
          <w:tcPr>
            <w:tcW w:type="dxa" w:w="9360"/>
            <w:tcMar>
              <w:top w:w="160" w:type="dxa"/>
              <w:start w:w="180" w:type="dxa"/>
              <w:bottom w:w="160" w:type="dxa"/>
              <w:end w:w="180" w:type="dxa"/>
            </w:tcMar>
            <w:vAlign w:val="center"/>
            <w:shd w:fill="F8ECEA"/>
          </w:tcPr>
          <w:p>
            <w:pPr>
              <w:spacing w:before="0" w:after="0" w:line="288" w:lineRule="auto"/>
            </w:pPr>
            <w:r>
              <w:rPr>
                <w:rFonts w:ascii="Calibri" w:hAnsi="Calibri" w:eastAsia="Hiragino Sans GB"/>
                <w:b/>
                <w:color w:val="9B1C1C"/>
                <w:sz w:val="19"/>
              </w:rPr>
              <w:t xml:space="preserve">风险观  </w:t>
            </w:r>
            <w:r>
              <w:rPr>
                <w:rFonts w:ascii="Calibri" w:hAnsi="Calibri" w:eastAsia="Hiragino Sans GB"/>
                <w:color w:val="1F2933"/>
                <w:sz w:val="19"/>
              </w:rPr>
              <w:t>CBAM平台的核心资产是信任。早期宁可牺牲交付速度，也不能牺牲数据来源、责任边界、核查独立性和审计可追溯性。</w:t>
            </w:r>
          </w:p>
        </w:tc>
      </w:tr>
    </w:tbl>
    <w:p>
      <w:pPr>
        <w:keepNext/>
        <w:pageBreakBefore/>
        <w:spacing w:before="0" w:after="40" w:line="240" w:lineRule="auto"/>
        <w:jc w:val="left"/>
      </w:pPr>
      <w:r>
        <w:rPr>
          <w:rFonts w:ascii="Calibri" w:hAnsi="Calibri" w:eastAsia="Hiragino Sans GB"/>
          <w:b/>
          <w:i w:val="0"/>
          <w:color w:val="0B5A52"/>
          <w:sz w:val="16"/>
        </w:rPr>
        <w:t>INVESTMENT CASE</w:t>
      </w:r>
    </w:p>
    <w:p>
      <w:pPr>
        <w:pStyle w:val="Heading1"/>
      </w:pPr>
      <w:r>
        <w:rPr>
          <w:rFonts w:ascii="Calibri" w:hAnsi="Calibri" w:eastAsia="Hiragino Sans GB"/>
          <w:b/>
          <w:color w:val="2E74B5"/>
          <w:sz w:val="32"/>
        </w:rPr>
        <w:t>投资价值与退出逻辑</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800"/>
        <w:gridCol w:w="4536"/>
        <w:gridCol w:w="3024"/>
      </w:tblGrid>
      <w:tr>
        <w:trPr>
          <w:cantSplit/>
          <w:tblHeader w:val="true"/>
          <w:cantSplit/>
        </w:trPr>
        <w:tc>
          <w:tcPr>
            <w:tcW w:type="dxa" w:w="1800"/>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投资逻辑</w:t>
            </w:r>
          </w:p>
        </w:tc>
        <w:tc>
          <w:tcPr>
            <w:tcW w:type="dxa" w:w="4536"/>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形成机制</w:t>
            </w:r>
          </w:p>
        </w:tc>
        <w:tc>
          <w:tcPr>
            <w:tcW w:type="dxa" w:w="3024"/>
            <w:tcMar>
              <w:top w:w="90" w:type="dxa"/>
              <w:start w:w="120" w:type="dxa"/>
              <w:bottom w:w="90" w:type="dxa"/>
              <w:end w:w="120" w:type="dxa"/>
            </w:tcMar>
            <w:vAlign w:val="center"/>
            <w:shd w:fill="0B5A52"/>
          </w:tcPr>
          <w:p>
            <w:pPr>
              <w:spacing w:before="0" w:after="0" w:line="252" w:lineRule="auto"/>
              <w:jc w:val="center"/>
            </w:pPr>
            <w:r>
              <w:rPr>
                <w:rFonts w:ascii="Calibri" w:hAnsi="Calibri" w:eastAsia="Hiragino Sans GB"/>
                <w:b/>
                <w:color w:val="FFFFFF"/>
                <w:sz w:val="16"/>
              </w:rPr>
              <w:t>可验证里程碑</w:t>
            </w:r>
          </w:p>
        </w:tc>
      </w:tr>
      <w:tr>
        <w:trPr>
          <w:cantSplit/>
        </w:trPr>
        <w:tc>
          <w:tcPr>
            <w:tcW w:type="dxa" w:w="1800"/>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法规入口</w:t>
            </w:r>
          </w:p>
        </w:tc>
        <w:tc>
          <w:tcPr>
            <w:tcW w:type="dxa" w:w="4536"/>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强制责任带来明确客户与年度节点</w:t>
            </w:r>
          </w:p>
        </w:tc>
        <w:tc>
          <w:tcPr>
            <w:tcW w:type="dxa" w:w="302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活跃进口商数、付费出口商/设施节点转化率、年度闭环完成率</w:t>
            </w:r>
          </w:p>
        </w:tc>
      </w:tr>
      <w:tr>
        <w:trPr>
          <w:cantSplit/>
        </w:trPr>
        <w:tc>
          <w:tcPr>
            <w:tcW w:type="dxa" w:w="1800"/>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双边网络</w:t>
            </w:r>
          </w:p>
        </w:tc>
        <w:tc>
          <w:tcPr>
            <w:tcW w:type="dxa" w:w="453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一个进口商连接多个出口商与设施</w:t>
            </w:r>
          </w:p>
        </w:tc>
        <w:tc>
          <w:tcPr>
            <w:tcW w:type="dxa" w:w="302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有效节点/进口商、邀请接受率</w:t>
            </w:r>
          </w:p>
        </w:tc>
      </w:tr>
      <w:tr>
        <w:trPr>
          <w:cantSplit/>
        </w:trPr>
        <w:tc>
          <w:tcPr>
            <w:tcW w:type="dxa" w:w="1800"/>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可信数据资产</w:t>
            </w:r>
          </w:p>
        </w:tc>
        <w:tc>
          <w:tcPr>
            <w:tcW w:type="dxa" w:w="4536"/>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数据经版本、证据、核查和授权持续积累</w:t>
            </w:r>
          </w:p>
        </w:tc>
        <w:tc>
          <w:tcPr>
            <w:tcW w:type="dxa" w:w="302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复用率、实际值采用率、问题率</w:t>
            </w:r>
          </w:p>
        </w:tc>
      </w:tr>
      <w:tr>
        <w:trPr>
          <w:cantSplit/>
        </w:trPr>
        <w:tc>
          <w:tcPr>
            <w:tcW w:type="dxa" w:w="1800"/>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收入复利</w:t>
            </w:r>
          </w:p>
        </w:tc>
        <w:tc>
          <w:tcPr>
            <w:tcW w:type="dxa" w:w="4536"/>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订阅 + 数据模块 + 企业服务 + 场景扩展</w:t>
            </w:r>
          </w:p>
        </w:tc>
        <w:tc>
          <w:tcPr>
            <w:tcW w:type="dxa" w:w="3024"/>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ARR、NRR、毛利、ARPA</w:t>
            </w:r>
          </w:p>
        </w:tc>
      </w:tr>
      <w:tr>
        <w:trPr>
          <w:cantSplit/>
        </w:trPr>
        <w:tc>
          <w:tcPr>
            <w:tcW w:type="dxa" w:w="1800"/>
            <w:shd w:fill="E8F2E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跨场景扩张</w:t>
            </w:r>
          </w:p>
        </w:tc>
        <w:tc>
          <w:tcPr>
            <w:tcW w:type="dxa" w:w="4536"/>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同一数据底座延伸PCF、DPP、绿色采购</w:t>
            </w:r>
          </w:p>
        </w:tc>
        <w:tc>
          <w:tcPr>
            <w:tcW w:type="dxa" w:w="3024"/>
            <w:shd w:fill="E8F2E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附加模块渗透、跨场景收入</w:t>
            </w:r>
          </w:p>
        </w:tc>
      </w:tr>
    </w:tbl>
    <w:p>
      <w:pPr>
        <w:pStyle w:val="Heading2"/>
      </w:pPr>
      <w:r>
        <w:rPr>
          <w:rFonts w:ascii="Calibri" w:hAnsi="Calibri" w:eastAsia="Hiragino Sans GB"/>
          <w:b/>
          <w:color w:val="2E74B5"/>
          <w:sz w:val="26"/>
        </w:rPr>
        <w:t>潜在退出路径</w:t>
      </w:r>
    </w:p>
    <w:p>
      <w:pPr>
        <w:pStyle w:val="ListBullet"/>
        <w:spacing w:after="80" w:line="290" w:lineRule="auto"/>
        <w:ind w:left="540" w:hanging="279"/>
      </w:pPr>
      <w:r>
        <w:rPr>
          <w:rFonts w:ascii="Calibri" w:hAnsi="Calibri" w:eastAsia="Hiragino Sans GB"/>
          <w:color w:val="1F2933"/>
          <w:sz w:val="22"/>
        </w:rPr>
        <w:t>产业并购：全球供应链软件、贸易合规、ESG/碳管理、检测认证集团补齐跨境绿色贸易能力。</w:t>
      </w:r>
    </w:p>
    <w:p>
      <w:pPr>
        <w:pStyle w:val="ListBullet"/>
        <w:spacing w:after="80" w:line="290" w:lineRule="auto"/>
        <w:ind w:left="540" w:hanging="279"/>
      </w:pPr>
      <w:r>
        <w:rPr>
          <w:rFonts w:ascii="Calibri" w:hAnsi="Calibri" w:eastAsia="Hiragino Sans GB"/>
          <w:color w:val="1F2933"/>
          <w:sz w:val="22"/>
        </w:rPr>
        <w:t>区域整合：欧洲CBAM软件或供应链合规平台通过并购获得中国制造数据与交付网络。</w:t>
      </w:r>
    </w:p>
    <w:p>
      <w:pPr>
        <w:pStyle w:val="ListBullet"/>
        <w:spacing w:after="80" w:line="290" w:lineRule="auto"/>
        <w:ind w:left="540" w:hanging="279"/>
      </w:pPr>
      <w:r>
        <w:rPr>
          <w:rFonts w:ascii="Calibri" w:hAnsi="Calibri" w:eastAsia="Hiragino Sans GB"/>
          <w:color w:val="1F2933"/>
          <w:sz w:val="22"/>
        </w:rPr>
        <w:t>独立成长：在CBAM建立网络后扩展PCF、DPP和绿色采购，形成跨境绿色数据基础设施。</w:t>
      </w:r>
    </w:p>
    <w:tbl>
      <w:tblPr>
        <w:tblW w:type="dxa" w:w="9360"/>
        <w:jc w:val="left"/>
        <w:tblLayout w:type="fixed"/>
        <w:tblLook w:firstColumn="1" w:firstRow="1" w:lastColumn="0" w:lastRow="0" w:noHBand="0" w:noVBand="1" w:val="04A0"/>
        <w:tblInd w:w="120" w:type="dxa"/>
        <w:tblBorders>
          <w:top w:val="single" w:sz="0" w:space="0" w:color="EEF4E7"/>
          <w:left w:val="single" w:sz="0" w:space="0" w:color="EEF4E7"/>
          <w:bottom w:val="single" w:sz="0" w:space="0" w:color="EEF4E7"/>
          <w:right w:val="single" w:sz="0" w:space="0" w:color="EEF4E7"/>
          <w:insideH w:val="single" w:sz="0" w:space="0" w:color="EEF4E7"/>
          <w:insideV w:val="single" w:sz="0" w:space="0" w:color="EEF4E7"/>
        </w:tblBorders>
      </w:tblPr>
      <w:tblGrid>
        <w:gridCol w:w="9360"/>
      </w:tblGrid>
      <w:tr>
        <w:trPr>
          <w:cantSplit/>
        </w:trPr>
        <w:tc>
          <w:tcPr>
            <w:tcW w:type="dxa" w:w="9360"/>
            <w:tcMar>
              <w:top w:w="160" w:type="dxa"/>
              <w:start w:w="180" w:type="dxa"/>
              <w:bottom w:w="160" w:type="dxa"/>
              <w:end w:w="180" w:type="dxa"/>
            </w:tcMar>
            <w:vAlign w:val="center"/>
            <w:shd w:fill="EEF4E7"/>
          </w:tcPr>
          <w:p>
            <w:pPr>
              <w:spacing w:before="0" w:after="0" w:line="288" w:lineRule="auto"/>
            </w:pPr>
            <w:r>
              <w:rPr>
                <w:rFonts w:ascii="Calibri" w:hAnsi="Calibri" w:eastAsia="Hiragino Sans GB"/>
                <w:b/>
                <w:color w:val="6E9F42"/>
                <w:sz w:val="19"/>
              </w:rPr>
              <w:t xml:space="preserve">最终判断  </w:t>
            </w:r>
            <w:r>
              <w:rPr>
                <w:rFonts w:ascii="Calibri" w:hAnsi="Calibri" w:eastAsia="Hiragino Sans GB"/>
                <w:color w:val="1F2933"/>
                <w:sz w:val="19"/>
              </w:rPr>
              <w:t>这是一个“高确定性法规入口 + 高不确定性商业验证”的早期项目。投资价值取决于能否在24个月内证明：真实客户愿意付费、供应链节点会持续激活、可信数据可复用、交付毛利能够随规模提升。</w:t>
            </w:r>
          </w:p>
        </w:tc>
      </w:tr>
    </w:tbl>
    <w:p>
      <w:pPr>
        <w:spacing w:before="0" w:after="60" w:line="240" w:lineRule="auto"/>
        <w:jc w:val="both"/>
      </w:pPr>
      <w:r>
        <w:rPr>
          <w:rFonts w:ascii="Calibri" w:hAnsi="Calibri" w:eastAsia="Hiragino Sans GB"/>
          <w:b w:val="0"/>
          <w:i w:val="0"/>
          <w:color w:val="1F2933"/>
          <w:sz w:val="2"/>
        </w:rPr>
      </w:r>
    </w:p>
    <w:p>
      <w:pPr>
        <w:spacing w:before="280" w:after="0" w:line="312" w:lineRule="auto"/>
        <w:jc w:val="left"/>
      </w:pPr>
      <w:r>
        <w:rPr>
          <w:rFonts w:ascii="Calibri" w:hAnsi="Calibri" w:eastAsia="Hiragino Sans GB"/>
          <w:b/>
          <w:i w:val="0"/>
          <w:color w:val="073F3A"/>
          <w:sz w:val="22"/>
        </w:rPr>
        <w:t>建议下一步：以5家灯塔进口商带动50个付费出口商/设施节点为首个融资后验收门槛，在正式放大欧洲销售前完成端到端闭环。</w:t>
      </w:r>
    </w:p>
    <w:p>
      <w:pPr>
        <w:keepNext/>
        <w:pageBreakBefore/>
        <w:spacing w:before="0" w:after="40" w:line="240" w:lineRule="auto"/>
        <w:jc w:val="left"/>
      </w:pPr>
      <w:r>
        <w:rPr>
          <w:rFonts w:ascii="Calibri" w:hAnsi="Calibri" w:eastAsia="Hiragino Sans GB"/>
          <w:b/>
          <w:i w:val="0"/>
          <w:color w:val="0B5A52"/>
          <w:sz w:val="16"/>
        </w:rPr>
        <w:t>DUE DILIGENCE</w:t>
      </w:r>
    </w:p>
    <w:p>
      <w:pPr>
        <w:pStyle w:val="Heading1"/>
      </w:pPr>
      <w:r>
        <w:rPr>
          <w:rFonts w:ascii="Calibri" w:hAnsi="Calibri" w:eastAsia="Hiragino Sans GB"/>
          <w:b/>
          <w:color w:val="2E74B5"/>
          <w:sz w:val="32"/>
        </w:rPr>
        <w:t>附录A：投资尽调资料清单</w:t>
      </w:r>
    </w:p>
    <w:tbl>
      <w:tblPr>
        <w:tblW w:type="dxa" w:w="9360"/>
        <w:tblLayout w:type="fixed"/>
        <w:tblLook w:firstColumn="1" w:firstRow="1" w:lastColumn="0" w:lastRow="0" w:noHBand="0" w:noVBand="1" w:val="04A0"/>
        <w:jc w:val="left"/>
        <w:tblInd w:w="120" w:type="dxa"/>
        <w:tblBorders>
          <w:top w:val="single" w:sz="6" w:space="0" w:color="D3DADE"/>
          <w:left w:val="single" w:sz="6" w:space="0" w:color="D3DADE"/>
          <w:bottom w:val="single" w:sz="6" w:space="0" w:color="D3DADE"/>
          <w:right w:val="single" w:sz="6" w:space="0" w:color="D3DADE"/>
          <w:insideH w:val="single" w:sz="6" w:space="0" w:color="D3DADE"/>
          <w:insideV w:val="single" w:sz="6" w:space="0" w:color="D3DADE"/>
        </w:tblBorders>
      </w:tblPr>
      <w:tblGrid>
        <w:gridCol w:w="1584"/>
        <w:gridCol w:w="6768"/>
        <w:gridCol w:w="1008"/>
      </w:tblGrid>
      <w:tr>
        <w:trPr>
          <w:cantSplit/>
          <w:tblHeader w:val="true"/>
          <w:cantSplit/>
        </w:trPr>
        <w:tc>
          <w:tcPr>
            <w:tcW w:type="dxa" w:w="1584"/>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主题</w:t>
            </w:r>
          </w:p>
        </w:tc>
        <w:tc>
          <w:tcPr>
            <w:tcW w:type="dxa" w:w="6768"/>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必须补充的资料</w:t>
            </w:r>
          </w:p>
        </w:tc>
        <w:tc>
          <w:tcPr>
            <w:tcW w:type="dxa" w:w="1008"/>
            <w:tcMar>
              <w:top w:w="90" w:type="dxa"/>
              <w:start w:w="120" w:type="dxa"/>
              <w:bottom w:w="90" w:type="dxa"/>
              <w:end w:w="120" w:type="dxa"/>
            </w:tcMar>
            <w:vAlign w:val="center"/>
            <w:shd w:fill="1F4D78"/>
          </w:tcPr>
          <w:p>
            <w:pPr>
              <w:spacing w:before="0" w:after="0" w:line="252" w:lineRule="auto"/>
              <w:jc w:val="center"/>
            </w:pPr>
            <w:r>
              <w:rPr>
                <w:rFonts w:ascii="Calibri" w:hAnsi="Calibri" w:eastAsia="Hiragino Sans GB"/>
                <w:b/>
                <w:color w:val="FFFFFF"/>
                <w:sz w:val="16"/>
              </w:rPr>
              <w:t>优先级</w:t>
            </w:r>
          </w:p>
        </w:tc>
      </w:tr>
      <w:tr>
        <w:trPr>
          <w:cantSplit/>
        </w:trPr>
        <w:tc>
          <w:tcPr>
            <w:tcW w:type="dxa" w:w="158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公司与股权</w:t>
            </w:r>
          </w:p>
        </w:tc>
        <w:tc>
          <w:tcPr>
            <w:tcW w:type="dxa" w:w="676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注册主体、股权结构、期权池、历史融资、关联交易、知识产权归属</w:t>
            </w:r>
          </w:p>
        </w:tc>
        <w:tc>
          <w:tcPr>
            <w:tcW w:type="dxa" w:w="100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高</w:t>
            </w:r>
          </w:p>
        </w:tc>
      </w:tr>
      <w:tr>
        <w:trPr>
          <w:cantSplit/>
        </w:trPr>
        <w:tc>
          <w:tcPr>
            <w:tcW w:type="dxa" w:w="158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团队</w:t>
            </w:r>
          </w:p>
        </w:tc>
        <w:tc>
          <w:tcPr>
            <w:tcW w:type="dxa" w:w="676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核心成员实名履历、全职状态、劳动/顾问协议、招聘计划、关键人风险</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高</w:t>
            </w:r>
          </w:p>
        </w:tc>
      </w:tr>
      <w:tr>
        <w:trPr>
          <w:cantSplit/>
        </w:trPr>
        <w:tc>
          <w:tcPr>
            <w:tcW w:type="dxa" w:w="158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产品</w:t>
            </w:r>
          </w:p>
        </w:tc>
        <w:tc>
          <w:tcPr>
            <w:tcW w:type="dxa" w:w="676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可演示MVP、架构图、数据模型、规则版本机制、产品路线图、代码归属</w:t>
            </w:r>
          </w:p>
        </w:tc>
        <w:tc>
          <w:tcPr>
            <w:tcW w:type="dxa" w:w="100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高</w:t>
            </w:r>
          </w:p>
        </w:tc>
      </w:tr>
      <w:tr>
        <w:trPr>
          <w:cantSplit/>
        </w:trPr>
        <w:tc>
          <w:tcPr>
            <w:tcW w:type="dxa" w:w="158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客户</w:t>
            </w:r>
          </w:p>
        </w:tc>
        <w:tc>
          <w:tcPr>
            <w:tcW w:type="dxa" w:w="676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LOI、试点合同、发票/回款、客户访谈、管线、流失或未成交原因</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高</w:t>
            </w:r>
          </w:p>
        </w:tc>
      </w:tr>
      <w:tr>
        <w:trPr>
          <w:cantSplit/>
        </w:trPr>
        <w:tc>
          <w:tcPr>
            <w:tcW w:type="dxa" w:w="158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生态</w:t>
            </w:r>
          </w:p>
        </w:tc>
        <w:tc>
          <w:tcPr>
            <w:tcW w:type="dxa" w:w="676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渠道、核查、咨询和数据伙伴协议；分工、SLA、分润与独立性</w:t>
            </w:r>
          </w:p>
        </w:tc>
        <w:tc>
          <w:tcPr>
            <w:tcW w:type="dxa" w:w="100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高</w:t>
            </w:r>
          </w:p>
        </w:tc>
      </w:tr>
      <w:tr>
        <w:trPr>
          <w:cantSplit/>
        </w:trPr>
        <w:tc>
          <w:tcPr>
            <w:tcW w:type="dxa" w:w="158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合规</w:t>
            </w:r>
          </w:p>
        </w:tc>
        <w:tc>
          <w:tcPr>
            <w:tcW w:type="dxa" w:w="676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GDPR角色判断、DPA、跨境传输、安全政策、责任限制、专业保险</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高</w:t>
            </w:r>
          </w:p>
        </w:tc>
      </w:tr>
      <w:tr>
        <w:trPr>
          <w:cantSplit/>
        </w:trPr>
        <w:tc>
          <w:tcPr>
            <w:tcW w:type="dxa" w:w="1584"/>
            <w:shd w:fill="F4F6F9"/>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财务</w:t>
            </w:r>
          </w:p>
        </w:tc>
        <w:tc>
          <w:tcPr>
            <w:tcW w:type="dxa" w:w="676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24个月月度预算、薪酬与招聘、云与数据成本、客户交付工时、现金计划</w:t>
            </w:r>
          </w:p>
        </w:tc>
        <w:tc>
          <w:tcPr>
            <w:tcW w:type="dxa" w:w="1008"/>
            <w:shd w:fill="F4F6F9"/>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中</w:t>
            </w:r>
          </w:p>
        </w:tc>
      </w:tr>
      <w:tr>
        <w:trPr>
          <w:cantSplit/>
        </w:trPr>
        <w:tc>
          <w:tcPr>
            <w:tcW w:type="dxa" w:w="1584"/>
            <w:shd w:fill="FFFFFF"/>
            <w:tcMar>
              <w:top w:w="90" w:type="dxa"/>
              <w:start w:w="120" w:type="dxa"/>
              <w:bottom w:w="90" w:type="dxa"/>
              <w:end w:w="120" w:type="dxa"/>
            </w:tcMar>
            <w:vAlign w:val="center"/>
          </w:tcPr>
          <w:p>
            <w:pPr>
              <w:spacing w:before="0" w:after="0" w:line="264" w:lineRule="auto"/>
              <w:jc w:val="left"/>
            </w:pPr>
            <w:r>
              <w:rPr>
                <w:rFonts w:ascii="Calibri" w:hAnsi="Calibri" w:eastAsia="Hiragino Sans GB"/>
                <w:b/>
                <w:color w:val="1F2933"/>
                <w:sz w:val="16"/>
              </w:rPr>
              <w:t>市场</w:t>
            </w:r>
          </w:p>
        </w:tc>
        <w:tc>
          <w:tcPr>
            <w:tcW w:type="dxa" w:w="676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目标客户名单、国家/行业筛选逻辑、竞品试用、公开定价与输赢分析</w:t>
            </w:r>
          </w:p>
        </w:tc>
        <w:tc>
          <w:tcPr>
            <w:tcW w:type="dxa" w:w="1008"/>
            <w:shd w:fill="FFFFFF"/>
            <w:tcMar>
              <w:top w:w="90" w:type="dxa"/>
              <w:start w:w="120" w:type="dxa"/>
              <w:bottom w:w="90" w:type="dxa"/>
              <w:end w:w="120" w:type="dxa"/>
            </w:tcMar>
            <w:vAlign w:val="center"/>
          </w:tcPr>
          <w:p>
            <w:pPr>
              <w:spacing w:before="0" w:after="0" w:line="264" w:lineRule="auto"/>
              <w:jc w:val="center"/>
            </w:pPr>
            <w:r>
              <w:rPr>
                <w:rFonts w:ascii="Calibri" w:hAnsi="Calibri" w:eastAsia="Hiragino Sans GB"/>
                <w:b w:val="0"/>
                <w:color w:val="1F2933"/>
                <w:sz w:val="16"/>
              </w:rPr>
              <w:t>中</w:t>
            </w:r>
          </w:p>
        </w:tc>
      </w:tr>
    </w:tbl>
    <w:p>
      <w:pPr>
        <w:pStyle w:val="Heading2"/>
      </w:pPr>
      <w:r>
        <w:rPr>
          <w:rFonts w:ascii="Calibri" w:hAnsi="Calibri" w:eastAsia="Hiragino Sans GB"/>
          <w:b/>
          <w:color w:val="2E74B5"/>
          <w:sz w:val="26"/>
        </w:rPr>
        <w:t>融资路演前建议补齐的五个页面证据</w:t>
      </w:r>
    </w:p>
    <w:p>
      <w:pPr>
        <w:pStyle w:val="ListNumber"/>
        <w:numPr>
          <w:ilvl w:val="0"/>
          <w:numId w:val="12"/>
        </w:numPr>
        <w:spacing w:after="80" w:line="290" w:lineRule="auto"/>
        <w:ind w:left="540" w:hanging="279"/>
      </w:pPr>
      <w:r>
        <w:rPr>
          <w:rFonts w:ascii="Calibri" w:hAnsi="Calibri" w:eastAsia="Hiragino Sans GB"/>
          <w:color w:val="1F2933"/>
          <w:sz w:val="22"/>
        </w:rPr>
        <w:t>真实团队页：姓名、过往公司、相关成果、全职状态与持股。</w:t>
      </w:r>
    </w:p>
    <w:p>
      <w:pPr>
        <w:pStyle w:val="ListNumber"/>
        <w:numPr>
          <w:ilvl w:val="0"/>
          <w:numId w:val="12"/>
        </w:numPr>
        <w:spacing w:after="80" w:line="290" w:lineRule="auto"/>
        <w:ind w:left="540" w:hanging="279"/>
      </w:pPr>
      <w:r>
        <w:rPr>
          <w:rFonts w:ascii="Calibri" w:hAnsi="Calibri" w:eastAsia="Hiragino Sans GB"/>
          <w:color w:val="1F2933"/>
          <w:sz w:val="22"/>
        </w:rPr>
        <w:t>产品截图/现场演示：从进口事件到供应商任务、设施数据、证据和预算。</w:t>
      </w:r>
    </w:p>
    <w:p>
      <w:pPr>
        <w:pStyle w:val="ListNumber"/>
        <w:numPr>
          <w:ilvl w:val="0"/>
          <w:numId w:val="12"/>
        </w:numPr>
        <w:spacing w:after="80" w:line="290" w:lineRule="auto"/>
        <w:ind w:left="540" w:hanging="279"/>
      </w:pPr>
      <w:r>
        <w:rPr>
          <w:rFonts w:ascii="Calibri" w:hAnsi="Calibri" w:eastAsia="Hiragino Sans GB"/>
          <w:color w:val="1F2933"/>
          <w:sz w:val="22"/>
        </w:rPr>
        <w:t>客户验证：至少3份可核验LOI或付费试点，含客户原话与采购流程。</w:t>
      </w:r>
    </w:p>
    <w:p>
      <w:pPr>
        <w:pStyle w:val="ListNumber"/>
        <w:numPr>
          <w:ilvl w:val="0"/>
          <w:numId w:val="12"/>
        </w:numPr>
        <w:spacing w:after="80" w:line="290" w:lineRule="auto"/>
        <w:ind w:left="540" w:hanging="279"/>
      </w:pPr>
      <w:r>
        <w:rPr>
          <w:rFonts w:ascii="Calibri" w:hAnsi="Calibri" w:eastAsia="Hiragino Sans GB"/>
          <w:color w:val="1F2933"/>
          <w:sz w:val="22"/>
        </w:rPr>
        <w:t>伙伴验证：欧洲渠道与独立核查机构的合作范围、责任和商业条款。</w:t>
      </w:r>
    </w:p>
    <w:p>
      <w:pPr>
        <w:pStyle w:val="ListNumber"/>
        <w:numPr>
          <w:ilvl w:val="0"/>
          <w:numId w:val="12"/>
        </w:numPr>
        <w:spacing w:after="80" w:line="290" w:lineRule="auto"/>
        <w:ind w:left="540" w:hanging="279"/>
      </w:pPr>
      <w:r>
        <w:rPr>
          <w:rFonts w:ascii="Calibri" w:hAnsi="Calibri" w:eastAsia="Hiragino Sans GB"/>
          <w:color w:val="1F2933"/>
          <w:sz w:val="22"/>
        </w:rPr>
        <w:t>月度财务模型：客户获取、实施工时、回款、招聘、现金余额与情景敏感性。</w:t>
      </w:r>
    </w:p>
    <w:tbl>
      <w:tblPr>
        <w:tblW w:type="dxa" w:w="9360"/>
        <w:jc w:val="left"/>
        <w:tblLayout w:type="fixed"/>
        <w:tblLook w:firstColumn="1" w:firstRow="1" w:lastColumn="0" w:lastRow="0" w:noHBand="0" w:noVBand="1" w:val="04A0"/>
        <w:tblInd w:w="120" w:type="dxa"/>
        <w:tblBorders>
          <w:top w:val="single" w:sz="0" w:space="0" w:color="E8F2EF"/>
          <w:left w:val="single" w:sz="0" w:space="0" w:color="E8F2EF"/>
          <w:bottom w:val="single" w:sz="0" w:space="0" w:color="E8F2EF"/>
          <w:right w:val="single" w:sz="0" w:space="0" w:color="E8F2EF"/>
          <w:insideH w:val="single" w:sz="0" w:space="0" w:color="E8F2EF"/>
          <w:insideV w:val="single" w:sz="0" w:space="0" w:color="E8F2EF"/>
        </w:tblBorders>
      </w:tblPr>
      <w:tblGrid>
        <w:gridCol w:w="9360"/>
      </w:tblGrid>
      <w:tr>
        <w:trPr>
          <w:cantSplit/>
        </w:trPr>
        <w:tc>
          <w:tcPr>
            <w:tcW w:type="dxa" w:w="9360"/>
            <w:tcMar>
              <w:top w:w="160" w:type="dxa"/>
              <w:start w:w="180" w:type="dxa"/>
              <w:bottom w:w="160" w:type="dxa"/>
              <w:end w:w="180" w:type="dxa"/>
            </w:tcMar>
            <w:vAlign w:val="center"/>
            <w:shd w:fill="E8F2EF"/>
          </w:tcPr>
          <w:p>
            <w:pPr>
              <w:spacing w:before="0" w:after="0" w:line="288" w:lineRule="auto"/>
            </w:pPr>
            <w:r>
              <w:rPr>
                <w:rFonts w:ascii="Calibri" w:hAnsi="Calibri" w:eastAsia="Hiragino Sans GB"/>
                <w:b/>
                <w:color w:val="0B5A52"/>
                <w:sz w:val="19"/>
              </w:rPr>
              <w:t xml:space="preserve">使用说明  </w:t>
            </w:r>
            <w:r>
              <w:rPr>
                <w:rFonts w:ascii="Calibri" w:hAnsi="Calibri" w:eastAsia="Hiragino Sans GB"/>
                <w:color w:val="1F2933"/>
                <w:sz w:val="19"/>
              </w:rPr>
              <w:t>本计划书已将缺失事实转化为“假设、目标或待验证项”。获得真实数据后，应优先替换团队、牵引、定价和财务四部分，再对外发送。</w:t>
            </w:r>
          </w:p>
        </w:tc>
      </w:tr>
    </w:tbl>
    <w:p>
      <w:pPr>
        <w:keepNext/>
        <w:pageBreakBefore/>
        <w:spacing w:before="0" w:after="40" w:line="240" w:lineRule="auto"/>
        <w:jc w:val="left"/>
      </w:pPr>
      <w:r>
        <w:rPr>
          <w:rFonts w:ascii="Calibri" w:hAnsi="Calibri" w:eastAsia="Hiragino Sans GB"/>
          <w:b/>
          <w:i w:val="0"/>
          <w:color w:val="0B5A52"/>
          <w:sz w:val="16"/>
        </w:rPr>
        <w:t>SOURCES &amp; ASSUMPTIONS</w:t>
      </w:r>
    </w:p>
    <w:p>
      <w:pPr>
        <w:pStyle w:val="Heading1"/>
      </w:pPr>
      <w:r>
        <w:rPr>
          <w:rFonts w:ascii="Calibri" w:hAnsi="Calibri" w:eastAsia="Hiragino Sans GB"/>
          <w:b/>
          <w:color w:val="2E74B5"/>
          <w:sz w:val="32"/>
        </w:rPr>
        <w:t>附录B：关键假设与官方来源</w:t>
      </w:r>
    </w:p>
    <w:p>
      <w:pPr>
        <w:pStyle w:val="Heading2"/>
      </w:pPr>
      <w:r>
        <w:rPr>
          <w:rFonts w:ascii="Calibri" w:hAnsi="Calibri" w:eastAsia="Hiragino Sans GB"/>
          <w:b/>
          <w:color w:val="2E74B5"/>
          <w:sz w:val="26"/>
        </w:rPr>
        <w:t>财务与市场假设</w:t>
      </w:r>
    </w:p>
    <w:p>
      <w:pPr>
        <w:pStyle w:val="ListBullet"/>
        <w:spacing w:after="80" w:line="290" w:lineRule="auto"/>
        <w:ind w:left="540" w:hanging="279"/>
      </w:pPr>
      <w:r>
        <w:rPr>
          <w:rFonts w:ascii="Calibri" w:hAnsi="Calibri" w:eastAsia="Hiragino Sans GB"/>
          <w:color w:val="1F2933"/>
          <w:sz w:val="22"/>
        </w:rPr>
        <w:t>TAM/SAM为自下而上测算：核心主体数量依据欧盟官方阈值影响比例反推，年均预算为管理层假设。</w:t>
      </w:r>
    </w:p>
    <w:p>
      <w:pPr>
        <w:pStyle w:val="ListBullet"/>
        <w:spacing w:after="80" w:line="290" w:lineRule="auto"/>
        <w:ind w:left="540" w:hanging="279"/>
      </w:pPr>
      <w:r>
        <w:rPr>
          <w:rFonts w:ascii="Calibri" w:hAnsi="Calibri" w:eastAsia="Hiragino Sans GB"/>
          <w:color w:val="1F2933"/>
          <w:sz w:val="22"/>
        </w:rPr>
        <w:t>三年收入、客户数、毛利率、CAC、留存和LTV均为基准目标，不是历史业绩或合同承诺。</w:t>
      </w:r>
    </w:p>
    <w:p>
      <w:pPr>
        <w:pStyle w:val="ListBullet"/>
        <w:spacing w:after="80" w:line="290" w:lineRule="auto"/>
        <w:ind w:left="540" w:hanging="279"/>
      </w:pPr>
      <w:r>
        <w:rPr>
          <w:rFonts w:ascii="Calibri" w:hAnsi="Calibri" w:eastAsia="Hiragino Sans GB"/>
          <w:color w:val="1F2933"/>
          <w:sz w:val="22"/>
        </w:rPr>
        <w:t>案例中的进口量、排放强度、证书成本均为模拟数据，不代表具体客户或实际核查结果。</w:t>
      </w:r>
    </w:p>
    <w:p>
      <w:pPr>
        <w:pStyle w:val="ListBullet"/>
        <w:spacing w:after="80" w:line="290" w:lineRule="auto"/>
        <w:ind w:left="540" w:hanging="279"/>
      </w:pPr>
      <w:r>
        <w:rPr>
          <w:rFonts w:ascii="Calibri" w:hAnsi="Calibri" w:eastAsia="Hiragino Sans GB"/>
          <w:color w:val="1F2933"/>
          <w:sz w:val="22"/>
        </w:rPr>
        <w:t>2028下游扩围为欧委会提案，基准财务不计入；如立法通过，仅作为上行情景。</w:t>
      </w:r>
    </w:p>
    <w:p>
      <w:pPr>
        <w:pStyle w:val="Heading2"/>
      </w:pPr>
      <w:r>
        <w:rPr>
          <w:rFonts w:ascii="Calibri" w:hAnsi="Calibri" w:eastAsia="Hiragino Sans GB"/>
          <w:b/>
          <w:color w:val="2E74B5"/>
          <w:sz w:val="26"/>
        </w:rPr>
        <w:t>欧盟官方来源（访问日期：2026-08-06）</w:t>
      </w:r>
    </w:p>
    <w:p>
      <w:pPr>
        <w:spacing w:before="0" w:after="120" w:line="276" w:lineRule="auto"/>
        <w:jc w:val="left"/>
      </w:pPr>
      <w:hyperlink r:id="rId11">
        <w:r>
          <w:rPr>
            <w:color w:val="0B5A52"/>
            <w:u w:val="single"/>
          </w:rPr>
          <w:t>1. 欧盟委员会 - CBAM正式期规则与行业范围</w:t>
        </w:r>
      </w:hyperlink>
    </w:p>
    <w:p>
      <w:pPr>
        <w:spacing w:before="0" w:after="120" w:line="276" w:lineRule="auto"/>
        <w:jc w:val="left"/>
      </w:pPr>
      <w:hyperlink r:id="rId12">
        <w:r>
          <w:rPr>
            <w:color w:val="0B5A52"/>
            <w:u w:val="single"/>
          </w:rPr>
          <w:t>2. Regulation (EU) 2025/2083 - 50吨阈值、年度申报与证书安排</w:t>
        </w:r>
      </w:hyperlink>
    </w:p>
    <w:p>
      <w:pPr>
        <w:spacing w:before="0" w:after="120" w:line="276" w:lineRule="auto"/>
        <w:jc w:val="left"/>
      </w:pPr>
      <w:hyperlink r:id="rId13">
        <w:r>
          <w:rPr>
            <w:color w:val="0B5A52"/>
            <w:u w:val="single"/>
          </w:rPr>
          <w:t>3. 欧盟委员会 - CBAM证书价格（2026季度价格）</w:t>
        </w:r>
      </w:hyperlink>
    </w:p>
    <w:p>
      <w:pPr>
        <w:spacing w:before="0" w:after="120" w:line="276" w:lineRule="auto"/>
        <w:jc w:val="left"/>
      </w:pPr>
      <w:hyperlink r:id="rId14">
        <w:r>
          <w:rPr>
            <w:color w:val="0B5A52"/>
            <w:u w:val="single"/>
          </w:rPr>
          <w:t>4. 欧盟委员会 - CBAM法规与实施指引</w:t>
        </w:r>
      </w:hyperlink>
    </w:p>
    <w:p>
      <w:pPr>
        <w:spacing w:before="0" w:after="120" w:line="276" w:lineRule="auto"/>
        <w:jc w:val="left"/>
      </w:pPr>
      <w:hyperlink r:id="rId15">
        <w:r>
          <w:rPr>
            <w:color w:val="0B5A52"/>
            <w:u w:val="single"/>
          </w:rPr>
          <w:t>5. 欧盟委员会 - 2028下游产品扩围提案新闻稿</w:t>
        </w:r>
      </w:hyperlink>
    </w:p>
    <w:p>
      <w:pPr>
        <w:spacing w:before="0" w:after="120" w:line="276" w:lineRule="auto"/>
        <w:jc w:val="left"/>
      </w:pPr>
      <w:hyperlink r:id="rId16">
        <w:r>
          <w:rPr>
            <w:color w:val="0B5A52"/>
            <w:u w:val="single"/>
          </w:rPr>
          <w:t>6. 欧盟委员会 - 2026年6月理事会立场进展</w:t>
        </w:r>
      </w:hyperlink>
    </w:p>
    <w:p>
      <w:pPr>
        <w:pStyle w:val="Heading2"/>
      </w:pPr>
      <w:r>
        <w:rPr>
          <w:rFonts w:ascii="Calibri" w:hAnsi="Calibri" w:eastAsia="Hiragino Sans GB"/>
          <w:b/>
          <w:color w:val="2E74B5"/>
          <w:sz w:val="26"/>
        </w:rPr>
        <w:t>项目材料</w:t>
      </w:r>
    </w:p>
    <w:p>
      <w:pPr>
        <w:pStyle w:val="ListBullet"/>
        <w:spacing w:after="80" w:line="290" w:lineRule="auto"/>
        <w:ind w:left="540" w:hanging="279"/>
      </w:pPr>
      <w:r>
        <w:rPr>
          <w:rFonts w:ascii="Calibri" w:hAnsi="Calibri" w:eastAsia="Hiragino Sans GB"/>
          <w:color w:val="1F2933"/>
          <w:sz w:val="22"/>
        </w:rPr>
        <w:t>《001.docx》原始商业计划书材料</w:t>
      </w:r>
    </w:p>
    <w:p>
      <w:pPr>
        <w:pStyle w:val="ListBullet"/>
        <w:spacing w:after="80" w:line="290" w:lineRule="auto"/>
        <w:ind w:left="540" w:hanging="279"/>
      </w:pPr>
      <w:r>
        <w:rPr>
          <w:rFonts w:ascii="Calibri" w:hAnsi="Calibri" w:eastAsia="Hiragino Sans GB"/>
          <w:color w:val="1F2933"/>
          <w:sz w:val="22"/>
        </w:rPr>
        <w:t>《001材料诊断与CBAM平台0-1战略报告_资深顾问版》</w:t>
      </w:r>
    </w:p>
    <w:p>
      <w:pPr>
        <w:pStyle w:val="ListBullet"/>
        <w:spacing w:after="80" w:line="290" w:lineRule="auto"/>
        <w:ind w:left="540" w:hanging="279"/>
      </w:pPr>
      <w:r>
        <w:rPr>
          <w:rFonts w:ascii="Calibri" w:hAnsi="Calibri" w:eastAsia="Hiragino Sans GB"/>
          <w:color w:val="1F2933"/>
          <w:sz w:val="22"/>
        </w:rPr>
        <w:t>《绿色贸易服务平台-进口商 v1.0》产品方案（34页）</w:t>
      </w: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160" w:type="dxa"/>
              <w:start w:w="180" w:type="dxa"/>
              <w:bottom w:w="160" w:type="dxa"/>
              <w:end w:w="180" w:type="dxa"/>
            </w:tcMar>
            <w:vAlign w:val="center"/>
            <w:shd w:fill="F4F6F9"/>
          </w:tcPr>
          <w:p>
            <w:pPr>
              <w:spacing w:before="0" w:after="0" w:line="288" w:lineRule="auto"/>
            </w:pPr>
            <w:r>
              <w:rPr>
                <w:rFonts w:ascii="Calibri" w:hAnsi="Calibri" w:eastAsia="Hiragino Sans GB"/>
                <w:b/>
                <w:color w:val="5B6670"/>
                <w:sz w:val="19"/>
              </w:rPr>
              <w:t xml:space="preserve">免责声明  </w:t>
            </w:r>
            <w:r>
              <w:rPr>
                <w:rFonts w:ascii="Calibri" w:hAnsi="Calibri" w:eastAsia="Hiragino Sans GB"/>
                <w:color w:val="1F2933"/>
                <w:sz w:val="19"/>
              </w:rPr>
              <w:t>本文件用于商业讨论，不构成法律、税务、核查或投资建议。CBAM规则、证书价格、默认值和扩围进度可能更新，正式交付与投资决策前应由欧盟本地专业机构复核。</w:t>
            </w:r>
          </w:p>
        </w:tc>
      </w:tr>
    </w:tbl>
    <w:p>
      <w:pPr>
        <w:keepNext/>
        <w:pageBreakBefore/>
        <w:spacing w:before="0" w:after="40" w:line="240" w:lineRule="auto"/>
        <w:jc w:val="left"/>
      </w:pPr>
      <w:r>
        <w:rPr>
          <w:rFonts w:ascii="Calibri" w:hAnsi="Calibri" w:eastAsia="Hiragino Sans GB"/>
          <w:b/>
          <w:i w:val="0"/>
          <w:color w:val="0B5A52"/>
          <w:sz w:val="16"/>
        </w:rPr>
        <w:t>COMPETITOR SOURCES</w:t>
      </w:r>
    </w:p>
    <w:p>
      <w:pPr>
        <w:pStyle w:val="Heading1"/>
      </w:pPr>
      <w:r>
        <w:rPr>
          <w:rFonts w:ascii="Calibri" w:hAnsi="Calibri" w:eastAsia="Hiragino Sans GB"/>
          <w:b/>
          <w:color w:val="2E74B5"/>
          <w:sz w:val="32"/>
        </w:rPr>
        <w:t>附录C：竞争与产品公开来源</w:t>
      </w:r>
    </w:p>
    <w:p>
      <w:pPr>
        <w:spacing w:before="0" w:after="160" w:line="320" w:lineRule="auto"/>
        <w:jc w:val="both"/>
      </w:pPr>
      <w:r>
        <w:rPr>
          <w:rFonts w:ascii="Calibri" w:hAnsi="Calibri" w:eastAsia="Hiragino Sans GB"/>
          <w:b w:val="0"/>
          <w:i w:val="0"/>
          <w:color w:val="5B6670"/>
          <w:sz w:val="20"/>
        </w:rPr>
        <w:t>访问日期：2026年8月7日。企业规模、客户、融资和数据量多为公司官方自述，未作审计；公开价格仅作市场锚点，实际企业合同通常另行报价。</w:t>
      </w:r>
    </w:p>
    <w:p>
      <w:pPr>
        <w:pStyle w:val="Heading2"/>
      </w:pPr>
      <w:r>
        <w:rPr>
          <w:rFonts w:ascii="Calibri" w:hAnsi="Calibri" w:eastAsia="Hiragino Sans GB"/>
          <w:b/>
          <w:color w:val="2E74B5"/>
          <w:sz w:val="26"/>
        </w:rPr>
        <w:t>新增项目材料与业绩口径</w:t>
      </w:r>
    </w:p>
    <w:p>
      <w:pPr>
        <w:spacing w:before="0" w:after="100" w:line="276" w:lineRule="auto"/>
        <w:jc w:val="left"/>
      </w:pPr>
      <w:r>
        <w:rPr>
          <w:rFonts w:ascii="Calibri" w:hAnsi="Calibri" w:eastAsia="Hiragino Sans GB"/>
          <w:b/>
          <w:i w:val="0"/>
          <w:color w:val="0B5A52"/>
          <w:sz w:val="17"/>
        </w:rPr>
        <w:t>材料：</w:t>
      </w:r>
      <w:r>
        <w:rPr>
          <w:rFonts w:ascii="Calibri" w:hAnsi="Calibri" w:eastAsia="Hiragino Sans GB"/>
          <w:b w:val="0"/>
          <w:i w:val="0"/>
          <w:color w:val="1F2933"/>
          <w:sz w:val="17"/>
        </w:rPr>
        <w:t>《绿色贸易服务平台 - CBAM专题 - 进口商 - v2.0》（11页，2026年8月）。</w:t>
      </w:r>
      <w:r>
        <w:rPr>
          <w:rFonts w:ascii="Calibri" w:hAnsi="Calibri" w:eastAsia="Hiragino Sans GB"/>
          <w:b/>
          <w:i w:val="0"/>
          <w:color w:val="0B5A52"/>
          <w:sz w:val="17"/>
        </w:rPr>
        <w:t xml:space="preserve"> 口径：</w:t>
      </w:r>
      <w:r>
        <w:rPr>
          <w:rFonts w:ascii="Calibri" w:hAnsi="Calibri" w:eastAsia="Hiragino Sans GB"/>
          <w:b w:val="0"/>
          <w:i w:val="0"/>
          <w:color w:val="1F2933"/>
          <w:sz w:val="17"/>
        </w:rPr>
        <w:t>团队经历、300+企业、流程验证、客户案例与核查准备均来自管理层材料，尚未独立审计。</w:t>
      </w:r>
      <w:r>
        <w:rPr>
          <w:rFonts w:ascii="Calibri" w:hAnsi="Calibri" w:eastAsia="Hiragino Sans GB"/>
          <w:b/>
          <w:i w:val="0"/>
          <w:color w:val="0B5A52"/>
          <w:sz w:val="17"/>
        </w:rPr>
        <w:t xml:space="preserve"> 尽调：</w:t>
      </w:r>
      <w:r>
        <w:rPr>
          <w:rFonts w:ascii="Calibri" w:hAnsi="Calibri" w:eastAsia="Hiragino Sans GB"/>
          <w:b w:val="0"/>
          <w:i w:val="0"/>
          <w:color w:val="1F2933"/>
          <w:sz w:val="17"/>
        </w:rPr>
        <w:t>抽样核验合同、回款、账号活跃、交付物、客户授权、核查往来、复购与毛利。</w:t>
      </w:r>
    </w:p>
    <w:p>
      <w:pPr>
        <w:spacing w:before="0" w:after="100" w:line="276" w:lineRule="auto"/>
        <w:jc w:val="left"/>
      </w:pPr>
      <w:r>
        <w:rPr>
          <w:rFonts w:ascii="Calibri" w:hAnsi="Calibri" w:eastAsia="Hiragino Sans GB"/>
          <w:b/>
          <w:color w:val="1F4D78"/>
          <w:sz w:val="18"/>
        </w:rPr>
        <w:t xml:space="preserve">1. </w:t>
      </w:r>
      <w:hyperlink r:id="rId17">
        <w:r>
          <w:rPr>
            <w:color w:val="0B5A52"/>
            <w:u w:val="single"/>
          </w:rPr>
          <w:t>osapiens CBAM产品</w:t>
        </w:r>
      </w:hyperlink>
    </w:p>
    <w:p>
      <w:pPr>
        <w:spacing w:before="0" w:after="100" w:line="276" w:lineRule="auto"/>
        <w:jc w:val="left"/>
      </w:pPr>
      <w:r>
        <w:rPr>
          <w:rFonts w:ascii="Calibri" w:hAnsi="Calibri" w:eastAsia="Hiragino Sans GB"/>
          <w:b/>
          <w:color w:val="1F4D78"/>
          <w:sz w:val="18"/>
        </w:rPr>
        <w:t xml:space="preserve">2. </w:t>
      </w:r>
      <w:hyperlink r:id="rId18">
        <w:r>
          <w:rPr>
            <w:color w:val="0B5A52"/>
            <w:u w:val="single"/>
          </w:rPr>
          <w:t>osapiens伙伴生态</w:t>
        </w:r>
      </w:hyperlink>
    </w:p>
    <w:p>
      <w:pPr>
        <w:spacing w:before="0" w:after="100" w:line="276" w:lineRule="auto"/>
        <w:jc w:val="left"/>
      </w:pPr>
      <w:r>
        <w:rPr>
          <w:rFonts w:ascii="Calibri" w:hAnsi="Calibri" w:eastAsia="Hiragino Sans GB"/>
          <w:b/>
          <w:color w:val="1F4D78"/>
          <w:sz w:val="18"/>
        </w:rPr>
        <w:t xml:space="preserve">3. </w:t>
      </w:r>
      <w:hyperlink r:id="rId19">
        <w:r>
          <w:rPr>
            <w:color w:val="0B5A52"/>
            <w:u w:val="single"/>
          </w:rPr>
          <w:t>CarbonChain产品</w:t>
        </w:r>
      </w:hyperlink>
    </w:p>
    <w:p>
      <w:pPr>
        <w:spacing w:before="0" w:after="100" w:line="276" w:lineRule="auto"/>
        <w:jc w:val="left"/>
      </w:pPr>
      <w:r>
        <w:rPr>
          <w:rFonts w:ascii="Calibri" w:hAnsi="Calibri" w:eastAsia="Hiragino Sans GB"/>
          <w:b/>
          <w:color w:val="1F4D78"/>
          <w:sz w:val="18"/>
        </w:rPr>
        <w:t xml:space="preserve">4. </w:t>
      </w:r>
      <w:hyperlink r:id="rId20">
        <w:r>
          <w:rPr>
            <w:color w:val="0B5A52"/>
            <w:u w:val="single"/>
          </w:rPr>
          <w:t>CarbonChain伙伴计划</w:t>
        </w:r>
      </w:hyperlink>
    </w:p>
    <w:p>
      <w:pPr>
        <w:spacing w:before="0" w:after="100" w:line="276" w:lineRule="auto"/>
        <w:jc w:val="left"/>
      </w:pPr>
      <w:r>
        <w:rPr>
          <w:rFonts w:ascii="Calibri" w:hAnsi="Calibri" w:eastAsia="Hiragino Sans GB"/>
          <w:b/>
          <w:color w:val="1F4D78"/>
          <w:sz w:val="18"/>
        </w:rPr>
        <w:t xml:space="preserve">5. </w:t>
      </w:r>
      <w:hyperlink r:id="rId21">
        <w:r>
          <w:rPr>
            <w:color w:val="0B5A52"/>
            <w:u w:val="single"/>
          </w:rPr>
          <w:t>SAP + PwC Carbon Border Manager</w:t>
        </w:r>
      </w:hyperlink>
    </w:p>
    <w:p>
      <w:pPr>
        <w:spacing w:before="0" w:after="100" w:line="276" w:lineRule="auto"/>
        <w:jc w:val="left"/>
      </w:pPr>
      <w:r>
        <w:rPr>
          <w:rFonts w:ascii="Calibri" w:hAnsi="Calibri" w:eastAsia="Hiragino Sans GB"/>
          <w:b/>
          <w:color w:val="1F4D78"/>
          <w:sz w:val="18"/>
        </w:rPr>
        <w:t xml:space="preserve">6. </w:t>
      </w:r>
      <w:hyperlink r:id="rId22">
        <w:r>
          <w:rPr>
            <w:color w:val="0B5A52"/>
            <w:u w:val="single"/>
          </w:rPr>
          <w:t>Dubrink CBAM平台</w:t>
        </w:r>
      </w:hyperlink>
    </w:p>
    <w:p>
      <w:pPr>
        <w:spacing w:before="0" w:after="100" w:line="276" w:lineRule="auto"/>
        <w:jc w:val="left"/>
      </w:pPr>
      <w:r>
        <w:rPr>
          <w:rFonts w:ascii="Calibri" w:hAnsi="Calibri" w:eastAsia="Hiragino Sans GB"/>
          <w:b/>
          <w:color w:val="1F4D78"/>
          <w:sz w:val="18"/>
        </w:rPr>
        <w:t xml:space="preserve">7. </w:t>
      </w:r>
      <w:hyperlink r:id="rId23">
        <w:r>
          <w:rPr>
            <w:color w:val="0B5A52"/>
            <w:u w:val="single"/>
          </w:rPr>
          <w:t>SGS与Dubrink合作</w:t>
        </w:r>
      </w:hyperlink>
    </w:p>
    <w:p>
      <w:pPr>
        <w:spacing w:before="0" w:after="100" w:line="276" w:lineRule="auto"/>
        <w:jc w:val="left"/>
      </w:pPr>
      <w:r>
        <w:rPr>
          <w:rFonts w:ascii="Calibri" w:hAnsi="Calibri" w:eastAsia="Hiragino Sans GB"/>
          <w:b/>
          <w:color w:val="1F4D78"/>
          <w:sz w:val="18"/>
        </w:rPr>
        <w:t xml:space="preserve">8. </w:t>
      </w:r>
      <w:hyperlink r:id="rId24">
        <w:r>
          <w:rPr>
            <w:color w:val="0B5A52"/>
            <w:u w:val="single"/>
          </w:rPr>
          <w:t>CBAMBOO</w:t>
        </w:r>
      </w:hyperlink>
    </w:p>
    <w:p>
      <w:pPr>
        <w:spacing w:before="0" w:after="100" w:line="276" w:lineRule="auto"/>
        <w:jc w:val="left"/>
      </w:pPr>
      <w:r>
        <w:rPr>
          <w:rFonts w:ascii="Calibri" w:hAnsi="Calibri" w:eastAsia="Hiragino Sans GB"/>
          <w:b/>
          <w:color w:val="1F4D78"/>
          <w:sz w:val="18"/>
        </w:rPr>
        <w:t xml:space="preserve">9. </w:t>
      </w:r>
      <w:hyperlink r:id="rId25">
        <w:r>
          <w:rPr>
            <w:color w:val="0B5A52"/>
            <w:u w:val="single"/>
          </w:rPr>
          <w:t>AEB贸易合规</w:t>
        </w:r>
      </w:hyperlink>
    </w:p>
    <w:p>
      <w:pPr>
        <w:spacing w:before="0" w:after="100" w:line="276" w:lineRule="auto"/>
        <w:jc w:val="left"/>
      </w:pPr>
      <w:r>
        <w:rPr>
          <w:rFonts w:ascii="Calibri" w:hAnsi="Calibri" w:eastAsia="Hiragino Sans GB"/>
          <w:b/>
          <w:color w:val="1F4D78"/>
          <w:sz w:val="18"/>
        </w:rPr>
        <w:t xml:space="preserve">10. </w:t>
      </w:r>
      <w:hyperlink r:id="rId26">
        <w:r>
          <w:rPr>
            <w:color w:val="0B5A52"/>
            <w:u w:val="single"/>
          </w:rPr>
          <w:t>碳阻迹公司介绍</w:t>
        </w:r>
      </w:hyperlink>
    </w:p>
    <w:p>
      <w:pPr>
        <w:spacing w:before="0" w:after="100" w:line="276" w:lineRule="auto"/>
        <w:jc w:val="left"/>
      </w:pPr>
      <w:r>
        <w:rPr>
          <w:rFonts w:ascii="Calibri" w:hAnsi="Calibri" w:eastAsia="Hiragino Sans GB"/>
          <w:b/>
          <w:color w:val="1F4D78"/>
          <w:sz w:val="18"/>
        </w:rPr>
        <w:t xml:space="preserve">11. </w:t>
      </w:r>
      <w:hyperlink r:id="rId27">
        <w:r>
          <w:rPr>
            <w:color w:val="0B5A52"/>
            <w:u w:val="single"/>
          </w:rPr>
          <w:t>中创碳投公司介绍</w:t>
        </w:r>
      </w:hyperlink>
    </w:p>
    <w:p>
      <w:pPr>
        <w:spacing w:before="0" w:after="100" w:line="276" w:lineRule="auto"/>
        <w:jc w:val="left"/>
      </w:pPr>
      <w:r>
        <w:rPr>
          <w:rFonts w:ascii="Calibri" w:hAnsi="Calibri" w:eastAsia="Hiragino Sans GB"/>
          <w:b/>
          <w:color w:val="1F4D78"/>
          <w:sz w:val="18"/>
        </w:rPr>
        <w:t xml:space="preserve">12. </w:t>
      </w:r>
      <w:hyperlink r:id="rId28">
        <w:r>
          <w:rPr>
            <w:color w:val="0B5A52"/>
            <w:u w:val="single"/>
          </w:rPr>
          <w:t>碳衡科技公司介绍</w:t>
        </w:r>
      </w:hyperlink>
    </w:p>
    <w:p>
      <w:pPr>
        <w:spacing w:before="0" w:after="100" w:line="276" w:lineRule="auto"/>
        <w:jc w:val="left"/>
      </w:pPr>
      <w:r>
        <w:rPr>
          <w:rFonts w:ascii="Calibri" w:hAnsi="Calibri" w:eastAsia="Hiragino Sans GB"/>
          <w:b/>
          <w:color w:val="1F4D78"/>
          <w:sz w:val="18"/>
        </w:rPr>
        <w:t xml:space="preserve">13. </w:t>
      </w:r>
      <w:hyperlink r:id="rId29">
        <w:r>
          <w:rPr>
            <w:color w:val="0B5A52"/>
            <w:u w:val="single"/>
          </w:rPr>
          <w:t>碳衡科技CBAM案例</w:t>
        </w:r>
      </w:hyperlink>
    </w:p>
    <w:p>
      <w:pPr>
        <w:spacing w:before="0" w:after="100" w:line="276" w:lineRule="auto"/>
        <w:jc w:val="left"/>
      </w:pPr>
      <w:r>
        <w:rPr>
          <w:rFonts w:ascii="Calibri" w:hAnsi="Calibri" w:eastAsia="Hiragino Sans GB"/>
          <w:b/>
          <w:color w:val="1F4D78"/>
          <w:sz w:val="18"/>
        </w:rPr>
        <w:t xml:space="preserve">14. </w:t>
      </w:r>
      <w:hyperlink r:id="rId30">
        <w:r>
          <w:rPr>
            <w:color w:val="0B5A52"/>
            <w:u w:val="single"/>
          </w:rPr>
          <w:t>易碳数科公司介绍</w:t>
        </w:r>
      </w:hyperlink>
    </w:p>
    <w:sectPr w:rsidR="00FC693F" w:rsidRPr="0006063C" w:rsidSect="00034616">
      <w:headerReference w:type="default" r:id="rId9"/>
      <w:footerReference w:type="default" r:id="rId10"/>
      <w:headerReference w:type="first" r:id="rId31"/>
      <w:footerReference w:type="first" r:id="rId3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200"/>
      <w:gridCol w:w="2160"/>
    </w:tblGrid>
    <w:tr>
      <w:trPr>
        <w:cantSplit/>
      </w:trPr>
      <w:tc>
        <w:tcPr>
          <w:tcW w:type="dxa" w:w="7200"/>
          <w:tcMar>
            <w:top w:w="90" w:type="dxa"/>
            <w:start w:w="120" w:type="dxa"/>
            <w:bottom w:w="90" w:type="dxa"/>
            <w:end w:w="120" w:type="dxa"/>
          </w:tcMar>
          <w:vAlign w:val="center"/>
        </w:tcPr>
        <w:p>
          <w:pPr>
            <w:spacing w:before="0" w:after="0" w:line="240" w:lineRule="auto"/>
            <w:jc w:val="left"/>
          </w:pPr>
          <w:r>
            <w:rPr>
              <w:rFonts w:ascii="Calibri" w:hAnsi="Calibri" w:eastAsia="Hiragino Sans GB"/>
              <w:color w:val="5B6670"/>
              <w:sz w:val="14"/>
            </w:rPr>
            <w:t>融资商业计划书  |  2026.08.07  |  投资验证期</w:t>
          </w:r>
        </w:p>
      </w:tc>
      <w:tc>
        <w:tcPr>
          <w:tcW w:type="dxa" w:w="2160"/>
          <w:tcMar>
            <w:top w:w="90" w:type="dxa"/>
            <w:start w:w="120" w:type="dxa"/>
            <w:bottom w:w="90" w:type="dxa"/>
            <w:end w:w="120" w:type="dxa"/>
          </w:tcMar>
          <w:vAlign w:val="center"/>
        </w:tcPr>
        <w:p>
          <w:pPr>
            <w:spacing w:before="0" w:after="0" w:line="240" w:lineRule="auto"/>
            <w:jc w:val="right"/>
          </w:pPr>
          <w:r>
            <w:rPr>
              <w:rFonts w:ascii="Calibri" w:hAnsi="Calibri" w:eastAsia="Hiragino Sans GB"/>
              <w:color w:val="5B6670"/>
              <w:sz w:val="14"/>
            </w:rPr>
            <w:t xml:space="preserve">PAGE </w:t>
          </w:r>
          <w:r>
            <w:rPr>
              <w:rFonts w:ascii="Calibri" w:hAnsi="Calibri" w:eastAsia="Hiragino Sans GB"/>
              <w:color w:val="5B6670"/>
              <w:sz w:val="14"/>
            </w:rPr>
            <w:fldChar w:fldCharType="begin"/>
            <w:instrText xml:space="preserve">PAGE</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768"/>
      <w:gridCol w:w="2592"/>
    </w:tblGrid>
    <w:tr>
      <w:trPr>
        <w:cantSplit/>
      </w:trPr>
      <w:tc>
        <w:tcPr>
          <w:tcW w:type="dxa" w:w="6768"/>
          <w:tcMar>
            <w:top w:w="90" w:type="dxa"/>
            <w:start w:w="120" w:type="dxa"/>
            <w:bottom w:w="90" w:type="dxa"/>
            <w:end w:w="120" w:type="dxa"/>
          </w:tcMar>
          <w:vAlign w:val="center"/>
        </w:tcPr>
        <w:p>
          <w:pPr>
            <w:spacing w:before="0" w:after="0" w:line="240" w:lineRule="auto"/>
            <w:jc w:val="left"/>
          </w:pPr>
          <w:r>
            <w:rPr>
              <w:rFonts w:ascii="Calibri" w:hAnsi="Calibri" w:eastAsia="Hiragino Sans GB"/>
              <w:b/>
              <w:color w:val="0B5A52"/>
              <w:sz w:val="15"/>
            </w:rPr>
            <w:t>GREENING TRADE  |  绿色贸易服务平台</w:t>
          </w:r>
        </w:p>
      </w:tc>
      <w:tc>
        <w:tcPr>
          <w:tcW w:type="dxa" w:w="2592"/>
          <w:tcMar>
            <w:top w:w="90" w:type="dxa"/>
            <w:start w:w="120" w:type="dxa"/>
            <w:bottom w:w="90" w:type="dxa"/>
            <w:end w:w="120" w:type="dxa"/>
          </w:tcMar>
          <w:vAlign w:val="center"/>
        </w:tcPr>
        <w:p>
          <w:pPr>
            <w:spacing w:before="0" w:after="0" w:line="240" w:lineRule="auto"/>
            <w:jc w:val="right"/>
          </w:pPr>
          <w:r>
            <w:rPr>
              <w:rFonts w:ascii="Calibri" w:hAnsi="Calibri" w:eastAsia="Hiragino Sans GB"/>
              <w:b/>
              <w:color w:val="5B6670"/>
              <w:sz w:val="15"/>
            </w:rPr>
            <w:t>CONFIDENTIAL · V5.0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Hiragino Sans GB"/>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Hiragino Sans GB"/>
      <w:sz w:val="22"/>
    </w:rPr>
  </w:style>
  <w:style w:type="paragraph" w:styleId="ListBullet2">
    <w:name w:val="List Bullet 2"/>
    <w:basedOn w:val="Normal"/>
    <w:uiPriority w:val="99"/>
    <w:unhideWhenUsed/>
    <w:rsid w:val="00326F90"/>
    <w:pPr>
      <w:numPr>
        <w:numId w:val="2"/>
      </w:numPr>
      <w:spacing w:after="80" w:line="290" w:lineRule="auto"/>
      <w:ind w:left="540" w:hanging="279"/>
      <w:contextualSpacing/>
    </w:pPr>
    <w:rPr>
      <w:rFonts w:ascii="Calibri" w:hAnsi="Calibri" w:eastAsia="Hiragino Sans GB"/>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Hiragino Sans G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axation-customs.ec.europa.eu/carbon-border-adjustment-mechanism/cbam-definitive-regime_en" TargetMode="External"/><Relationship Id="rId12" Type="http://schemas.openxmlformats.org/officeDocument/2006/relationships/hyperlink" Target="https://eur-lex.europa.eu/legal-content/EN/TXT/?uri=CELEX:32025R2083" TargetMode="External"/><Relationship Id="rId13" Type="http://schemas.openxmlformats.org/officeDocument/2006/relationships/hyperlink" Target="https://taxation-customs.ec.europa.eu/carbon-border-adjustment-mechanism/price-cbam-certificates_en" TargetMode="External"/><Relationship Id="rId14" Type="http://schemas.openxmlformats.org/officeDocument/2006/relationships/hyperlink" Target="https://taxation-customs.ec.europa.eu/carbon-border-adjustment-mechanism/cbam-legislation-and-guidance_en" TargetMode="External"/><Relationship Id="rId15" Type="http://schemas.openxmlformats.org/officeDocument/2006/relationships/hyperlink" Target="https://ec.europa.eu/commission/presscorner/detail/en/ip_25_3088" TargetMode="External"/><Relationship Id="rId16" Type="http://schemas.openxmlformats.org/officeDocument/2006/relationships/hyperlink" Target="https://taxation-customs.ec.europa.eu/news/commission-welcomes-council-agreement-strengthening-cbam-2026-06-12_en" TargetMode="External"/><Relationship Id="rId17" Type="http://schemas.openxmlformats.org/officeDocument/2006/relationships/hyperlink" Target="https://osapiens.com/idc-marketscape-carbon-2026/" TargetMode="External"/><Relationship Id="rId18" Type="http://schemas.openxmlformats.org/officeDocument/2006/relationships/hyperlink" Target="https://osapiens.com/partner/" TargetMode="External"/><Relationship Id="rId19" Type="http://schemas.openxmlformats.org/officeDocument/2006/relationships/hyperlink" Target="https://www.carbonchain.com/" TargetMode="External"/><Relationship Id="rId20" Type="http://schemas.openxmlformats.org/officeDocument/2006/relationships/hyperlink" Target="https://www.carbonchain.com/partners" TargetMode="External"/><Relationship Id="rId21" Type="http://schemas.openxmlformats.org/officeDocument/2006/relationships/hyperlink" Target="https://www.sap.com/estonia/products/scm/partners/pwc-solutions-gmbh-carbon-border-manager-check-your-value-chains-cbam-module.html" TargetMode="External"/><Relationship Id="rId22" Type="http://schemas.openxmlformats.org/officeDocument/2006/relationships/hyperlink" Target="https://www.dubrink.com/" TargetMode="External"/><Relationship Id="rId23" Type="http://schemas.openxmlformats.org/officeDocument/2006/relationships/hyperlink" Target="https://www.sgs.com/en-us/news/2026/06/sgs-and-dubrink-collaborate-to-advance-cbam-readiness" TargetMode="External"/><Relationship Id="rId24" Type="http://schemas.openxmlformats.org/officeDocument/2006/relationships/hyperlink" Target="https://www.cbamboo.com/" TargetMode="External"/><Relationship Id="rId25" Type="http://schemas.openxmlformats.org/officeDocument/2006/relationships/hyperlink" Target="https://www.aeb.com/en/index.php" TargetMode="External"/><Relationship Id="rId26" Type="http://schemas.openxmlformats.org/officeDocument/2006/relationships/hyperlink" Target="https://www.carbonstop.com/about" TargetMode="External"/><Relationship Id="rId27" Type="http://schemas.openxmlformats.org/officeDocument/2006/relationships/hyperlink" Target="https://www.sinocarbon.cn/6" TargetMode="External"/><Relationship Id="rId28" Type="http://schemas.openxmlformats.org/officeDocument/2006/relationships/hyperlink" Target="https://www.carbonnt.com/our-story" TargetMode="External"/><Relationship Id="rId29" Type="http://schemas.openxmlformats.org/officeDocument/2006/relationships/hyperlink" Target="https://www.carbonnt.com/customers/e100df92-25e3-4682-aec6-9b25a58024a8" TargetMode="External"/><Relationship Id="rId30" Type="http://schemas.openxmlformats.org/officeDocument/2006/relationships/hyperlink" Target="https://ecdigit.com/about/" TargetMode="External"/><Relationship Id="rId31" Type="http://schemas.openxmlformats.org/officeDocument/2006/relationships/header" Target="header2.xml"/><Relationship Id="rId3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欧盟CBAM绿色贸易服务平台融资商业计划书 V5.0</dc:title>
  <dc:subject>投资人完整版：愿景、团队基础、产品、商业模式、增值服务、案例、竞争、财务与融资计划</dc:subject>
  <dc:creator>绿色贸易服务平台</dc:creator>
  <cp:keywords/>
  <dc:description>整合001、顾问诊断、进口商v1.0与CBAM专题进口商v2.0；事实、管理层口径与财务假设分层呈现。</dc:description>
  <cp:lastModifiedBy/>
  <cp:revision>1</cp:revision>
  <dcterms:created xsi:type="dcterms:W3CDTF">2013-12-23T23:15:00Z</dcterms:created>
  <dcterms:modified xsi:type="dcterms:W3CDTF">2013-12-23T23:15:00Z</dcterms:modified>
  <cp:category/>
</cp:coreProperties>
</file>