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  <w:r>
        <w:rPr>
          <w:rStyle w:val="FootnoteReference"/>
        </w:rPr>
        <w:footnoteReference w:id="1"/>
      </w:r>
    </w:p>
    <w:p>
      <w:r>
        <w:t xml:space="preserve">Every morning the monks walked to the village in silence to receive their daily alms food.</w:t>
      </w:r>
      <w:r>
        <w:rPr>
          <w:rStyle w:val="FootnoteReference"/>
        </w:rPr>
        <w:footnoteReference w:id="2"/>
      </w:r>
    </w:p>
    <w:p>
      <w:r>
        <w:t xml:space="preserve">In the afternoon they swept the paths, drew water from the well and repaired their robes.</w:t>
      </w:r>
    </w:p>
    <w:sectPr>
      <w:pgSz w:w="11906" w:h="16838"/>
      <w:pgMar w:top="1134" w:right="1134" w:bottom="1134" w:left="1134" w:header="709" w:footer="709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 road was paved only in the nineteen-eighties.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Alms food is offered by lay supporters.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