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Syllabus for BIOL-1: General Biology</w:t>
      </w:r>
    </w:p>
    <w:p>
      <w:pPr>
        <w:pStyle w:val="Heading2"/>
      </w:pPr>
      <w:r>
        <w:t>College of the Redwoods</w:t>
      </w:r>
    </w:p>
    <w:p>
      <w:pPr>
        <w:pStyle w:val="Heading2"/>
      </w:pPr>
      <w:r>
        <w:t>Course Information</w:t>
      </w:r>
    </w:p>
    <w:p>
      <w:r>
        <w:t xml:space="preserve">• </w:t>
      </w:r>
      <w:r>
        <w:rPr>
          <w:b/>
        </w:rPr>
        <w:t>Semester &amp; Year</w:t>
      </w:r>
      <w:r>
        <w:t>: Fall 2026</w:t>
      </w:r>
    </w:p>
    <w:p>
      <w:r>
        <w:t xml:space="preserve">• </w:t>
      </w:r>
      <w:r>
        <w:rPr>
          <w:b/>
        </w:rPr>
        <w:t>Course ID and Section number</w:t>
      </w:r>
      <w:r>
        <w:t>: C1000</w:t>
      </w:r>
    </w:p>
    <w:p>
      <w:r>
        <w:t xml:space="preserve">• </w:t>
      </w:r>
      <w:r>
        <w:rPr>
          <w:b/>
        </w:rPr>
        <w:t>Instructor's name</w:t>
      </w:r>
      <w:r>
        <w:t>: Daniel Friedman</w:t>
      </w:r>
    </w:p>
    <w:p>
      <w:r>
        <w:t xml:space="preserve">• </w:t>
      </w:r>
      <w:r>
        <w:rPr>
          <w:b/>
        </w:rPr>
        <w:t>Contact</w:t>
      </w:r>
      <w:r>
        <w:t xml:space="preserve">: </w:t>
      </w:r>
      <w:r>
        <w:t>Daniel Friedman</w:t>
      </w:r>
      <w:r>
        <w:t xml:space="preserve"> · </w:t>
      </w:r>
      <w:r>
        <w:t>Canvas course</w:t>
      </w:r>
    </w:p>
    <w:p>
      <w:r>
        <w:t xml:space="preserve">• </w:t>
      </w:r>
      <w:r>
        <w:rPr>
          <w:b/>
        </w:rPr>
        <w:t>Day and time of required meetings</w:t>
      </w:r>
      <w:r>
        <w:t>:</w:t>
      </w:r>
    </w:p>
    <w:p>
      <w:r>
        <w:t xml:space="preserve">• </w:t>
      </w:r>
      <w:r>
        <w:br/>
      </w:r>
      <w:r>
        <w:br/>
      </w:r>
      <w:r>
        <w:t>Tuesday and Thursday, 05:30PM - 08:40PM</w:t>
      </w:r>
    </w:p>
    <w:p>
      <w:r>
        <w:t xml:space="preserve">• </w:t>
      </w:r>
      <w:r>
        <w:rPr>
          <w:b/>
        </w:rPr>
        <w:t>Location</w:t>
      </w:r>
      <w:r>
        <w:t>: D Yard Education room</w:t>
      </w:r>
    </w:p>
    <w:p>
      <w:r>
        <w:t xml:space="preserve">• </w:t>
      </w:r>
      <w:r>
        <w:rPr>
          <w:b/>
        </w:rPr>
        <w:t>Major exams</w:t>
      </w:r>
      <w:r>
        <w:t>: 3 unit exams plus 1 comprehensive final</w:t>
      </w:r>
    </w:p>
    <w:p>
      <w:r>
        <w:t xml:space="preserve">• </w:t>
      </w:r>
      <w:r>
        <w:rPr>
          <w:b/>
        </w:rPr>
        <w:t>Course units</w:t>
      </w:r>
      <w:r>
        <w:t>: 4</w:t>
      </w:r>
    </w:p>
    <w:p>
      <w:pPr>
        <w:pStyle w:val="Heading2"/>
      </w:pPr>
      <w:r>
        <w:t>Catalog Description</w:t>
      </w:r>
    </w:p>
    <w:p>
      <w:r>
        <w:t xml:space="preserve">An introductory course in life science dealing with basic biological concepts including molecular and cell biology, metabolism, heredity, evolution, ecology, natural history, and biodiversity. </w:t>
      </w:r>
    </w:p>
    <w:p>
      <w:pPr>
        <w:pStyle w:val="Heading2"/>
      </w:pPr>
      <w:r>
        <w:t>Course Student Learning Outcomes</w:t>
      </w:r>
    </w:p>
    <w:p>
      <w:r>
        <w:t xml:space="preserve">1. </w:t>
      </w:r>
      <w:r>
        <w:t>Apply the process of science to critically evaluate observable biological phenomena.</w:t>
      </w:r>
    </w:p>
    <w:p>
      <w:r>
        <w:t xml:space="preserve">2. </w:t>
      </w:r>
      <w:r>
        <w:t>Describe attributes of life and explain how cells fulfill these characteristics.</w:t>
      </w:r>
    </w:p>
    <w:p>
      <w:r>
        <w:t xml:space="preserve">3. </w:t>
      </w:r>
      <w:r>
        <w:t>Relate the mechanisms of evolutionary change to the production of biological diversity.</w:t>
      </w:r>
    </w:p>
    <w:p>
      <w:pPr>
        <w:pStyle w:val="Heading2"/>
      </w:pPr>
      <w:r>
        <w:t>Course Organization and Numbering</w:t>
      </w:r>
    </w:p>
    <w:p>
      <w:r>
        <w:t>This Fall 2026 Pelican Bay offering uses one active, continuous BIOL-1 sequence:</w:t>
      </w:r>
    </w:p>
    <w:p>
      <w:r>
        <w:t xml:space="preserve">• </w:t>
      </w:r>
      <w:r>
        <w:rPr>
          <w:b/>
        </w:rPr>
        <w:t>Modules 01-16</w:t>
      </w:r>
      <w:r>
        <w:t>: module study guides and practice questions.</w:t>
      </w:r>
    </w:p>
    <w:p>
      <w:r>
        <w:t xml:space="preserve">• </w:t>
      </w:r>
      <w:r>
        <w:rPr>
          <w:b/>
        </w:rPr>
        <w:t>Labs 01-16</w:t>
      </w:r>
      <w:r>
        <w:t>: one hands-on or paper-based lab per content module. Exam-review worksheets are separate non-primary review materials.</w:t>
      </w:r>
    </w:p>
    <w:p>
      <w:r>
        <w:t xml:space="preserve">• </w:t>
      </w:r>
      <w:r>
        <w:rPr>
          <w:b/>
        </w:rPr>
        <w:t>Practice Tests 01-04</w:t>
      </w:r>
      <w:r>
        <w:t>: Practice Test 01 covers Modules 1-6; Practice Test 02 covers Modules 7-11; Practice Test 03 covers Modules 12-16; Practice Test 04 is comprehensive review for Modules 1-16. All practice tests use a tear-off first-page answer sheet with free response beginning on the reverse.</w:t>
      </w:r>
    </w:p>
    <w:p>
      <w:r>
        <w:t xml:space="preserve">• </w:t>
      </w:r>
      <w:r>
        <w:rPr>
          <w:b/>
        </w:rPr>
        <w:t>Assessments</w:t>
      </w:r>
      <w:r>
        <w:t>: Exam 01 covers Modules 1-6; Exam 02 covers Modules 7-11; Exam 03 covers Modules 12-16; the comprehensive final is cumulative.</w:t>
      </w:r>
    </w:p>
    <w:p>
      <w:pPr>
        <w:pStyle w:val="Heading2"/>
      </w:pPr>
      <w:r>
        <w:t>Textbook</w:t>
      </w:r>
    </w:p>
    <w:p>
      <w:r>
        <w:t xml:space="preserve">The recommended textbook is </w:t>
      </w:r>
      <w:r>
        <w:rPr>
          <w:i/>
        </w:rPr>
        <w:t>Biology</w:t>
      </w:r>
      <w:r>
        <w:t>, 14th edition, by Sylvia S. Mader and</w:t>
        <w:br/>
        <w:t xml:space="preserve">Michael Windelspecht, loose-leaf edition, ISBN </w:t>
      </w:r>
      <w:r>
        <w:rPr>
          <w:b/>
        </w:rPr>
        <w:t>978-1-266-24172-7</w:t>
      </w:r>
      <w:r>
        <w:t>. The</w:t>
        <w:br/>
        <w:t>complete course text is available in the course materials at</w:t>
        <w:br/>
      </w:r>
      <w:r>
        <w:rPr>
          <w:rFonts w:ascii="Courier New" w:hAnsi="Courier New"/>
        </w:rPr>
        <w:t>resources/textbook/Complete_Combined_Textbook_S2026.pdf</w:t>
      </w:r>
      <w:r>
        <w:t>. Weekly chapter</w:t>
        <w:br/>
        <w:t xml:space="preserve">recommendations are listed in the </w:t>
      </w:r>
      <w:r>
        <w:t>course schedule</w:t>
      </w:r>
      <w:r>
        <w:t>; they are</w:t>
        <w:br/>
        <w:t>associated readings rather than additional graded assignments.</w:t>
      </w:r>
    </w:p>
    <w:p>
      <w:pPr>
        <w:pStyle w:val="Heading2"/>
      </w:pPr>
      <w:r>
        <w:t>Course Contents and Reading Map</w:t>
      </w:r>
    </w:p>
    <w:p>
      <w:r>
        <w:t>The links below point to the maintained source records for each module and lab;</w:t>
        <w:br/>
        <w:t>the schedule is the dated source of truth for when each item is used. The</w:t>
        <w:br/>
        <w:t>chapter numbers are the textbook's chapter numbers, not module numbers.</w:t>
      </w:r>
    </w:p>
    <w:tbl>
      <w:tblPr>
        <w:tblW w:type="auto" w:w="0"/>
        <w:tblLook w:firstColumn="1" w:firstRow="1" w:lastColumn="0" w:lastRow="0" w:noHBand="0" w:noVBand="1" w:val="04A0"/>
      </w:tblPr>
      <w:tblGrid>
        <w:gridCol w:w="2160"/>
        <w:gridCol w:w="2160"/>
        <w:gridCol w:w="2160"/>
        <w:gridCol w:w="2160"/>
      </w:tblGrid>
      <w:tr>
        <w:tc>
          <w:tcPr>
            <w:tcW w:type="dxa" w:w="2160"/>
          </w:tcPr>
          <w:p>
            <w:r>
              <w:t>Module</w:t>
            </w:r>
          </w:p>
        </w:tc>
        <w:tc>
          <w:tcPr>
            <w:tcW w:type="dxa" w:w="2160"/>
          </w:tcPr>
          <w:p>
            <w:r>
              <w:t>Course module</w:t>
            </w:r>
          </w:p>
        </w:tc>
        <w:tc>
          <w:tcPr>
            <w:tcW w:type="dxa" w:w="2160"/>
          </w:tcPr>
          <w:p>
            <w:r>
              <w:t>Lab</w:t>
            </w:r>
          </w:p>
        </w:tc>
        <w:tc>
          <w:tcPr>
            <w:tcW w:type="dxa" w:w="2160"/>
          </w:tcPr>
          <w:p>
            <w:r>
              <w:t>Mader &amp; Windelspecht chapter(s)</w:t>
            </w:r>
          </w:p>
        </w:tc>
      </w:tr>
      <w:tr>
        <w:tc>
          <w:tcPr>
            <w:tcW w:type="dxa" w:w="2160"/>
          </w:tcPr>
          <w:p>
            <w:r>
              <w:t>01</w:t>
            </w:r>
          </w:p>
        </w:tc>
        <w:tc>
          <w:tcPr>
            <w:tcW w:type="dxa" w:w="2160"/>
          </w:tcPr>
          <w:p>
            <w:r>
              <w:t>Study of Life</w:t>
            </w:r>
          </w:p>
        </w:tc>
        <w:tc>
          <w:tcPr>
            <w:tcW w:type="dxa" w:w="2160"/>
          </w:tcPr>
          <w:p>
            <w:r>
              <w:t>Lab 01</w:t>
            </w:r>
          </w:p>
        </w:tc>
        <w:tc>
          <w:tcPr>
            <w:tcW w:type="dxa" w:w="2160"/>
          </w:tcPr>
          <w:p>
            <w:r>
              <w:t>Ch. 1</w:t>
            </w:r>
          </w:p>
        </w:tc>
      </w:tr>
      <w:tr>
        <w:tc>
          <w:tcPr>
            <w:tcW w:type="dxa" w:w="2160"/>
          </w:tcPr>
          <w:p>
            <w:r>
              <w:t>02</w:t>
            </w:r>
          </w:p>
        </w:tc>
        <w:tc>
          <w:tcPr>
            <w:tcW w:type="dxa" w:w="2160"/>
          </w:tcPr>
          <w:p>
            <w:r>
              <w:t>Basic Chemistry</w:t>
            </w:r>
          </w:p>
        </w:tc>
        <w:tc>
          <w:tcPr>
            <w:tcW w:type="dxa" w:w="2160"/>
          </w:tcPr>
          <w:p>
            <w:r>
              <w:t>Lab 02</w:t>
            </w:r>
          </w:p>
        </w:tc>
        <w:tc>
          <w:tcPr>
            <w:tcW w:type="dxa" w:w="2160"/>
          </w:tcPr>
          <w:p>
            <w:r>
              <w:t>Ch. 2</w:t>
            </w:r>
          </w:p>
        </w:tc>
      </w:tr>
      <w:tr>
        <w:tc>
          <w:tcPr>
            <w:tcW w:type="dxa" w:w="2160"/>
          </w:tcPr>
          <w:p>
            <w:r>
              <w:t>03</w:t>
            </w:r>
          </w:p>
        </w:tc>
        <w:tc>
          <w:tcPr>
            <w:tcW w:type="dxa" w:w="2160"/>
          </w:tcPr>
          <w:p>
            <w:r>
              <w:t>Organic Molecules</w:t>
            </w:r>
          </w:p>
        </w:tc>
        <w:tc>
          <w:tcPr>
            <w:tcW w:type="dxa" w:w="2160"/>
          </w:tcPr>
          <w:p>
            <w:r>
              <w:t>Lab 03</w:t>
            </w:r>
          </w:p>
        </w:tc>
        <w:tc>
          <w:tcPr>
            <w:tcW w:type="dxa" w:w="2160"/>
          </w:tcPr>
          <w:p>
            <w:r>
              <w:t>Ch. 3</w:t>
            </w:r>
          </w:p>
        </w:tc>
      </w:tr>
      <w:tr>
        <w:tc>
          <w:tcPr>
            <w:tcW w:type="dxa" w:w="2160"/>
          </w:tcPr>
          <w:p>
            <w:r>
              <w:t>04</w:t>
            </w:r>
          </w:p>
        </w:tc>
        <w:tc>
          <w:tcPr>
            <w:tcW w:type="dxa" w:w="2160"/>
          </w:tcPr>
          <w:p>
            <w:r>
              <w:t>Cells</w:t>
            </w:r>
          </w:p>
        </w:tc>
        <w:tc>
          <w:tcPr>
            <w:tcW w:type="dxa" w:w="2160"/>
          </w:tcPr>
          <w:p>
            <w:r>
              <w:t>Lab 04</w:t>
            </w:r>
          </w:p>
        </w:tc>
        <w:tc>
          <w:tcPr>
            <w:tcW w:type="dxa" w:w="2160"/>
          </w:tcPr>
          <w:p>
            <w:r>
              <w:t>Ch. 4</w:t>
            </w:r>
          </w:p>
        </w:tc>
      </w:tr>
      <w:tr>
        <w:tc>
          <w:tcPr>
            <w:tcW w:type="dxa" w:w="2160"/>
          </w:tcPr>
          <w:p>
            <w:r>
              <w:t>05</w:t>
            </w:r>
          </w:p>
        </w:tc>
        <w:tc>
          <w:tcPr>
            <w:tcW w:type="dxa" w:w="2160"/>
          </w:tcPr>
          <w:p>
            <w:r>
              <w:t>Membranes</w:t>
            </w:r>
          </w:p>
        </w:tc>
        <w:tc>
          <w:tcPr>
            <w:tcW w:type="dxa" w:w="2160"/>
          </w:tcPr>
          <w:p>
            <w:r>
              <w:t>Lab 05</w:t>
            </w:r>
          </w:p>
        </w:tc>
        <w:tc>
          <w:tcPr>
            <w:tcW w:type="dxa" w:w="2160"/>
          </w:tcPr>
          <w:p>
            <w:r>
              <w:t>Ch. 5</w:t>
            </w:r>
          </w:p>
        </w:tc>
      </w:tr>
      <w:tr>
        <w:tc>
          <w:tcPr>
            <w:tcW w:type="dxa" w:w="2160"/>
          </w:tcPr>
          <w:p>
            <w:r>
              <w:t>06</w:t>
            </w:r>
          </w:p>
        </w:tc>
        <w:tc>
          <w:tcPr>
            <w:tcW w:type="dxa" w:w="2160"/>
          </w:tcPr>
          <w:p>
            <w:r>
              <w:t>Metabolism</w:t>
            </w:r>
          </w:p>
        </w:tc>
        <w:tc>
          <w:tcPr>
            <w:tcW w:type="dxa" w:w="2160"/>
          </w:tcPr>
          <w:p>
            <w:r>
              <w:t>Lab 06</w:t>
            </w:r>
          </w:p>
        </w:tc>
        <w:tc>
          <w:tcPr>
            <w:tcW w:type="dxa" w:w="2160"/>
          </w:tcPr>
          <w:p>
            <w:r>
              <w:t>Chs. 6–8</w:t>
            </w:r>
          </w:p>
        </w:tc>
      </w:tr>
      <w:tr>
        <w:tc>
          <w:tcPr>
            <w:tcW w:type="dxa" w:w="2160"/>
          </w:tcPr>
          <w:p>
            <w:r>
              <w:t>07</w:t>
            </w:r>
          </w:p>
        </w:tc>
        <w:tc>
          <w:tcPr>
            <w:tcW w:type="dxa" w:w="2160"/>
          </w:tcPr>
          <w:p>
            <w:r>
              <w:t>Molecular Genetics</w:t>
            </w:r>
          </w:p>
        </w:tc>
        <w:tc>
          <w:tcPr>
            <w:tcW w:type="dxa" w:w="2160"/>
          </w:tcPr>
          <w:p>
            <w:r>
              <w:t>Lab 07</w:t>
            </w:r>
          </w:p>
        </w:tc>
        <w:tc>
          <w:tcPr>
            <w:tcW w:type="dxa" w:w="2160"/>
          </w:tcPr>
          <w:p>
            <w:r>
              <w:t>Ch. 12</w:t>
            </w:r>
          </w:p>
        </w:tc>
      </w:tr>
      <w:tr>
        <w:tc>
          <w:tcPr>
            <w:tcW w:type="dxa" w:w="2160"/>
          </w:tcPr>
          <w:p>
            <w:r>
              <w:t>08</w:t>
            </w:r>
          </w:p>
        </w:tc>
        <w:tc>
          <w:tcPr>
            <w:tcW w:type="dxa" w:w="2160"/>
          </w:tcPr>
          <w:p>
            <w:r>
              <w:t>Cellular Genetics</w:t>
            </w:r>
          </w:p>
        </w:tc>
        <w:tc>
          <w:tcPr>
            <w:tcW w:type="dxa" w:w="2160"/>
          </w:tcPr>
          <w:p>
            <w:r>
              <w:t>Lab 08</w:t>
            </w:r>
          </w:p>
        </w:tc>
        <w:tc>
          <w:tcPr>
            <w:tcW w:type="dxa" w:w="2160"/>
          </w:tcPr>
          <w:p>
            <w:r>
              <w:t>Chs. 9–10</w:t>
            </w:r>
          </w:p>
        </w:tc>
      </w:tr>
      <w:tr>
        <w:tc>
          <w:tcPr>
            <w:tcW w:type="dxa" w:w="2160"/>
          </w:tcPr>
          <w:p>
            <w:r>
              <w:t>09</w:t>
            </w:r>
          </w:p>
        </w:tc>
        <w:tc>
          <w:tcPr>
            <w:tcW w:type="dxa" w:w="2160"/>
          </w:tcPr>
          <w:p>
            <w:r>
              <w:t>Inheritance Genetics</w:t>
            </w:r>
          </w:p>
        </w:tc>
        <w:tc>
          <w:tcPr>
            <w:tcW w:type="dxa" w:w="2160"/>
          </w:tcPr>
          <w:p>
            <w:r>
              <w:t>Lab 09</w:t>
            </w:r>
          </w:p>
        </w:tc>
        <w:tc>
          <w:tcPr>
            <w:tcW w:type="dxa" w:w="2160"/>
          </w:tcPr>
          <w:p>
            <w:r>
              <w:t>Ch. 11</w:t>
            </w:r>
          </w:p>
        </w:tc>
      </w:tr>
      <w:tr>
        <w:tc>
          <w:tcPr>
            <w:tcW w:type="dxa" w:w="2160"/>
          </w:tcPr>
          <w:p>
            <w:r>
              <w:t>10</w:t>
            </w:r>
          </w:p>
        </w:tc>
        <w:tc>
          <w:tcPr>
            <w:tcW w:type="dxa" w:w="2160"/>
          </w:tcPr>
          <w:p>
            <w:r>
              <w:t>Epigenetics</w:t>
            </w:r>
          </w:p>
        </w:tc>
        <w:tc>
          <w:tcPr>
            <w:tcW w:type="dxa" w:w="2160"/>
          </w:tcPr>
          <w:p>
            <w:r>
              <w:t>Lab 10</w:t>
            </w:r>
          </w:p>
        </w:tc>
        <w:tc>
          <w:tcPr>
            <w:tcW w:type="dxa" w:w="2160"/>
          </w:tcPr>
          <w:p>
            <w:r>
              <w:t>Ch. 13</w:t>
            </w:r>
          </w:p>
        </w:tc>
      </w:tr>
      <w:tr>
        <w:tc>
          <w:tcPr>
            <w:tcW w:type="dxa" w:w="2160"/>
          </w:tcPr>
          <w:p>
            <w:r>
              <w:t>11</w:t>
            </w:r>
          </w:p>
        </w:tc>
        <w:tc>
          <w:tcPr>
            <w:tcW w:type="dxa" w:w="2160"/>
          </w:tcPr>
          <w:p>
            <w:r>
              <w:t>Genomics &amp; Biotechnology</w:t>
            </w:r>
          </w:p>
        </w:tc>
        <w:tc>
          <w:tcPr>
            <w:tcW w:type="dxa" w:w="2160"/>
          </w:tcPr>
          <w:p>
            <w:r>
              <w:t>Lab 11</w:t>
            </w:r>
          </w:p>
        </w:tc>
        <w:tc>
          <w:tcPr>
            <w:tcW w:type="dxa" w:w="2160"/>
          </w:tcPr>
          <w:p>
            <w:r>
              <w:t>Ch. 14</w:t>
            </w:r>
          </w:p>
        </w:tc>
      </w:tr>
      <w:tr>
        <w:tc>
          <w:tcPr>
            <w:tcW w:type="dxa" w:w="2160"/>
          </w:tcPr>
          <w:p>
            <w:r>
              <w:t>12</w:t>
            </w:r>
          </w:p>
        </w:tc>
        <w:tc>
          <w:tcPr>
            <w:tcW w:type="dxa" w:w="2160"/>
          </w:tcPr>
          <w:p>
            <w:r>
              <w:t>Darwin &amp; Evolution</w:t>
            </w:r>
          </w:p>
        </w:tc>
        <w:tc>
          <w:tcPr>
            <w:tcW w:type="dxa" w:w="2160"/>
          </w:tcPr>
          <w:p>
            <w:r>
              <w:t>Lab 12</w:t>
            </w:r>
          </w:p>
        </w:tc>
        <w:tc>
          <w:tcPr>
            <w:tcW w:type="dxa" w:w="2160"/>
          </w:tcPr>
          <w:p>
            <w:r>
              <w:t>Ch. 15</w:t>
            </w:r>
          </w:p>
        </w:tc>
      </w:tr>
      <w:tr>
        <w:tc>
          <w:tcPr>
            <w:tcW w:type="dxa" w:w="2160"/>
          </w:tcPr>
          <w:p>
            <w:r>
              <w:t>13</w:t>
            </w:r>
          </w:p>
        </w:tc>
        <w:tc>
          <w:tcPr>
            <w:tcW w:type="dxa" w:w="2160"/>
          </w:tcPr>
          <w:p>
            <w:r>
              <w:t>How Populations Evolve</w:t>
            </w:r>
          </w:p>
        </w:tc>
        <w:tc>
          <w:tcPr>
            <w:tcW w:type="dxa" w:w="2160"/>
          </w:tcPr>
          <w:p>
            <w:r>
              <w:t>Lab 13</w:t>
            </w:r>
          </w:p>
        </w:tc>
        <w:tc>
          <w:tcPr>
            <w:tcW w:type="dxa" w:w="2160"/>
          </w:tcPr>
          <w:p>
            <w:r>
              <w:t>Ch. 16</w:t>
            </w:r>
          </w:p>
        </w:tc>
      </w:tr>
      <w:tr>
        <w:tc>
          <w:tcPr>
            <w:tcW w:type="dxa" w:w="2160"/>
          </w:tcPr>
          <w:p>
            <w:r>
              <w:t>14</w:t>
            </w:r>
          </w:p>
        </w:tc>
        <w:tc>
          <w:tcPr>
            <w:tcW w:type="dxa" w:w="2160"/>
          </w:tcPr>
          <w:p>
            <w:r>
              <w:t>Macroevolution</w:t>
            </w:r>
          </w:p>
        </w:tc>
        <w:tc>
          <w:tcPr>
            <w:tcW w:type="dxa" w:w="2160"/>
          </w:tcPr>
          <w:p>
            <w:r>
              <w:t>Lab 14</w:t>
            </w:r>
          </w:p>
        </w:tc>
        <w:tc>
          <w:tcPr>
            <w:tcW w:type="dxa" w:w="2160"/>
          </w:tcPr>
          <w:p>
            <w:r>
              <w:t>Chs. 17, 19</w:t>
            </w:r>
          </w:p>
        </w:tc>
      </w:tr>
      <w:tr>
        <w:tc>
          <w:tcPr>
            <w:tcW w:type="dxa" w:w="2160"/>
          </w:tcPr>
          <w:p>
            <w:r>
              <w:t>15</w:t>
            </w:r>
          </w:p>
        </w:tc>
        <w:tc>
          <w:tcPr>
            <w:tcW w:type="dxa" w:w="2160"/>
          </w:tcPr>
          <w:p>
            <w:r>
              <w:t>Population &amp; Systems Ecology</w:t>
            </w:r>
          </w:p>
        </w:tc>
        <w:tc>
          <w:tcPr>
            <w:tcW w:type="dxa" w:w="2160"/>
          </w:tcPr>
          <w:p>
            <w:r>
              <w:t>Lab 15</w:t>
            </w:r>
          </w:p>
        </w:tc>
        <w:tc>
          <w:tcPr>
            <w:tcW w:type="dxa" w:w="2160"/>
          </w:tcPr>
          <w:p>
            <w:r>
              <w:t>Chs. 44–45</w:t>
            </w:r>
          </w:p>
        </w:tc>
      </w:tr>
      <w:tr>
        <w:tc>
          <w:tcPr>
            <w:tcW w:type="dxa" w:w="2160"/>
          </w:tcPr>
          <w:p>
            <w:r>
              <w:t>16</w:t>
            </w:r>
          </w:p>
        </w:tc>
        <w:tc>
          <w:tcPr>
            <w:tcW w:type="dxa" w:w="2160"/>
          </w:tcPr>
          <w:p>
            <w:r>
              <w:t>Capstone Systems Synthesis</w:t>
            </w:r>
          </w:p>
        </w:tc>
        <w:tc>
          <w:tcPr>
            <w:tcW w:type="dxa" w:w="2160"/>
          </w:tcPr>
          <w:p>
            <w:r>
              <w:t>Lab 16</w:t>
            </w:r>
          </w:p>
        </w:tc>
        <w:tc>
          <w:tcPr>
            <w:tcW w:type="dxa" w:w="2160"/>
          </w:tcPr>
          <w:p>
            <w:r>
              <w:t>Cumulative selected readings</w:t>
            </w:r>
          </w:p>
        </w:tc>
      </w:tr>
    </w:tbl>
    <w:p>
      <w:r>
        <w:t>Four additional laboratory sessions are reserved for later development. Their</w:t>
        <w:br/>
        <w:t>topics, protocols, and final reading associations are intentionally TBD:</w:t>
      </w:r>
    </w:p>
    <w:tbl>
      <w:tblPr>
        <w:tblW w:type="auto" w:w="0"/>
        <w:tblLook w:firstColumn="1" w:firstRow="1" w:lastColumn="0" w:lastRow="0" w:noHBand="0" w:noVBand="1" w:val="04A0"/>
      </w:tblPr>
      <w:tblGrid>
        <w:gridCol w:w="2880"/>
        <w:gridCol w:w="2880"/>
        <w:gridCol w:w="2880"/>
      </w:tblGrid>
      <w:tr>
        <w:tc>
          <w:tcPr>
            <w:tcW w:type="dxa" w:w="2880"/>
          </w:tcPr>
          <w:p>
            <w:r>
              <w:t>Session</w:t>
            </w:r>
          </w:p>
        </w:tc>
        <w:tc>
          <w:tcPr>
            <w:tcW w:type="dxa" w:w="2880"/>
          </w:tcPr>
          <w:p>
            <w:r>
              <w:t>Date</w:t>
            </w:r>
          </w:p>
        </w:tc>
        <w:tc>
          <w:tcPr>
            <w:tcW w:type="dxa" w:w="2880"/>
          </w:tcPr>
          <w:p>
            <w:r>
              <w:t>Laboratory record</w:t>
            </w:r>
          </w:p>
        </w:tc>
      </w:tr>
      <w:tr>
        <w:tc>
          <w:tcPr>
            <w:tcW w:type="dxa" w:w="2880"/>
          </w:tcPr>
          <w:p>
            <w:r>
              <w:t>23</w:t>
            </w:r>
          </w:p>
        </w:tc>
        <w:tc>
          <w:tcPr>
            <w:tcW w:type="dxa" w:w="2880"/>
          </w:tcPr>
          <w:p>
            <w:r>
              <w:t>November 10</w:t>
            </w:r>
          </w:p>
        </w:tc>
        <w:tc>
          <w:tcPr>
            <w:tcW w:type="dxa" w:w="2880"/>
          </w:tcPr>
          <w:p>
            <w:r>
              <w:t>Lab 17 (TBD)</w:t>
            </w:r>
          </w:p>
        </w:tc>
      </w:tr>
      <w:tr>
        <w:tc>
          <w:tcPr>
            <w:tcW w:type="dxa" w:w="2880"/>
          </w:tcPr>
          <w:p>
            <w:r>
              <w:t>24</w:t>
            </w:r>
          </w:p>
        </w:tc>
        <w:tc>
          <w:tcPr>
            <w:tcW w:type="dxa" w:w="2880"/>
          </w:tcPr>
          <w:p>
            <w:r>
              <w:t>November 12</w:t>
            </w:r>
          </w:p>
        </w:tc>
        <w:tc>
          <w:tcPr>
            <w:tcW w:type="dxa" w:w="2880"/>
          </w:tcPr>
          <w:p>
            <w:r>
              <w:t>Lab 18 (TBD)</w:t>
            </w:r>
          </w:p>
        </w:tc>
      </w:tr>
      <w:tr>
        <w:tc>
          <w:tcPr>
            <w:tcW w:type="dxa" w:w="2880"/>
          </w:tcPr>
          <w:p>
            <w:r>
              <w:t>25</w:t>
            </w:r>
          </w:p>
        </w:tc>
        <w:tc>
          <w:tcPr>
            <w:tcW w:type="dxa" w:w="2880"/>
          </w:tcPr>
          <w:p>
            <w:r>
              <w:t>November 17</w:t>
            </w:r>
          </w:p>
        </w:tc>
        <w:tc>
          <w:tcPr>
            <w:tcW w:type="dxa" w:w="2880"/>
          </w:tcPr>
          <w:p>
            <w:r>
              <w:t>Lab 19 (TBD)</w:t>
            </w:r>
          </w:p>
        </w:tc>
      </w:tr>
      <w:tr>
        <w:tc>
          <w:tcPr>
            <w:tcW w:type="dxa" w:w="2880"/>
          </w:tcPr>
          <w:p>
            <w:r>
              <w:t>26</w:t>
            </w:r>
          </w:p>
        </w:tc>
        <w:tc>
          <w:tcPr>
            <w:tcW w:type="dxa" w:w="2880"/>
          </w:tcPr>
          <w:p>
            <w:r>
              <w:t>November 19</w:t>
            </w:r>
          </w:p>
        </w:tc>
        <w:tc>
          <w:tcPr>
            <w:tcW w:type="dxa" w:w="2880"/>
          </w:tcPr>
          <w:p>
            <w:r>
              <w:t>Comprehensive final preparation</w:t>
            </w:r>
          </w:p>
        </w:tc>
      </w:tr>
    </w:tbl>
    <w:p>
      <w:r>
        <w:t xml:space="preserve">Unit exams and review materials are maintained in the </w:t>
      </w:r>
      <w:r>
        <w:t>course assessment</w:t>
        <w:br/>
        <w:t>directory</w:t>
      </w:r>
      <w:r>
        <w:t>. Exam 01 covers Modules 01–06, Exam 02 covers</w:t>
        <w:br/>
        <w:t>Modules 07–11, Exam 03 covers Modules 12–16, and the final is comprehensive</w:t>
        <w:br/>
        <w:t>across Modules 01–16.</w:t>
      </w:r>
    </w:p>
    <w:p>
      <w:pPr>
        <w:pStyle w:val="Heading2"/>
      </w:pPr>
      <w:r>
        <w:t>Grading</w:t>
      </w:r>
    </w:p>
    <w:p>
      <w:r>
        <w:t xml:space="preserve">• </w:t>
      </w:r>
      <w:r>
        <w:rPr>
          <w:b/>
        </w:rPr>
        <w:t>Tests and examinations</w:t>
      </w:r>
      <w:r>
        <w:t>: 50%</w:t>
      </w:r>
    </w:p>
    <w:p>
      <w:r>
        <w:t xml:space="preserve">• </w:t>
      </w:r>
      <w:r>
        <w:rPr>
          <w:b/>
        </w:rPr>
        <w:t>Laboratory work</w:t>
      </w:r>
      <w:r>
        <w:t>: 20%</w:t>
      </w:r>
    </w:p>
    <w:p>
      <w:r>
        <w:t xml:space="preserve">• </w:t>
      </w:r>
      <w:r>
        <w:rPr>
          <w:b/>
        </w:rPr>
        <w:t>Homework</w:t>
      </w:r>
      <w:r>
        <w:t>: 30%</w:t>
      </w:r>
    </w:p>
    <w:p>
      <w:pPr>
        <w:pStyle w:val="Heading2"/>
      </w:pPr>
      <w:r>
        <w:t>Fall 2026 Calendar Anchors</w:t>
      </w:r>
    </w:p>
    <w:p>
      <w:r>
        <w:t>The College of the Redwoods 2026-2027 academic calendar lists August 22 as the</w:t>
        <w:br/>
        <w:t>term start and December 12-18 as the final-examination period. This section's</w:t>
        <w:br/>
        <w:t>first class meeting is Thursday, August 27 (the originally scheduled August 25</w:t>
        <w:br/>
        <w:t>meeting is cancelled); its planned final examination is Thursday, December 10.</w:t>
        <w:br/>
        <w:t>Tuesday, December 15 is reserved for feedback and post-final discussions.</w:t>
        <w:br/>
        <w:t>The section plans no holidays or Pelican Bay program closures</w:t>
        <w:br/>
        <w:t>other than fall break on November 24 and 26.</w:t>
      </w:r>
    </w:p>
    <w:p>
      <w:pPr>
        <w:pStyle w:val="Heading2"/>
      </w:pPr>
      <w:r>
        <w:t>Prerequisites/Corequisites/Recommended Preparation</w:t>
      </w:r>
    </w:p>
    <w:p>
      <w:r>
        <w:t>None</w:t>
      </w:r>
    </w:p>
    <w:p>
      <w:pPr>
        <w:pStyle w:val="Heading2"/>
      </w:pPr>
      <w:r>
        <w:t>Educational Accessibility &amp; Support</w:t>
      </w:r>
    </w:p>
    <w:p>
      <w:r>
        <w:t>College of the Redwoods is committed to providing reasonable accommodations for qualified students who could benefit from additional educational support and services. You may qualify if you have a physical, mental, sensory, or intellectual condition which causes you to struggle academically, including but not limited to:</w:t>
      </w:r>
    </w:p>
    <w:p>
      <w:r>
        <w:t xml:space="preserve">• </w:t>
      </w:r>
      <w:r>
        <w:t>Mental health conditions such as depression, anxiety, PTSD, bipolar disorder, and ADHD</w:t>
      </w:r>
    </w:p>
    <w:p>
      <w:r>
        <w:t xml:space="preserve">• </w:t>
      </w:r>
      <w:r>
        <w:t>Common ailments such as arthritis, asthma, diabetes, autoimmune disorders, and diseases</w:t>
      </w:r>
    </w:p>
    <w:p>
      <w:r>
        <w:t xml:space="preserve">• </w:t>
      </w:r>
      <w:r>
        <w:t>Temporary impairments such as a broken bone, recovery from significant surgery, or a pregnancy-related disability</w:t>
      </w:r>
    </w:p>
    <w:p>
      <w:r>
        <w:t xml:space="preserve">• </w:t>
      </w:r>
      <w:r>
        <w:t>A learning disability (such as dyslexia, reading comprehension), intellectual disability, autism, or acquired brain injury</w:t>
      </w:r>
    </w:p>
    <w:p>
      <w:r>
        <w:t xml:space="preserve">• </w:t>
      </w:r>
      <w:r>
        <w:t>Vision, hearing, or mobility challenges</w:t>
      </w:r>
    </w:p>
    <w:p>
      <w:r>
        <w:t xml:space="preserve">Available services include extended test time, quiet testing environments, tutoring, counseling and advising, alternate formats of materials (such as audio books or E-texts), assistive technology, on-campus transportation, and more. If you believe you might benefit from disability- or health-related services and accommodations, please contact Disability Services and Programs for Students (DSPS). If you are unsure whether you qualify, please contact DSPS for a consultation: </w:t>
      </w:r>
      <w:r>
        <w:t>dsps@redwoods.edu</w:t>
      </w:r>
      <w:r>
        <w:t>.</w:t>
      </w:r>
    </w:p>
    <w:p>
      <w:pPr>
        <w:pStyle w:val="Heading2"/>
      </w:pPr>
      <w:r>
        <w:t>Student Support Services</w:t>
      </w:r>
    </w:p>
    <w:p>
      <w:r>
        <w:t>Good information and clear communication about your needs will help you be successful. Please let your instructor know about any specific challenges or technology limitations that might affect your participation in class. College of the Redwoods wants every student to be successful.</w:t>
      </w:r>
    </w:p>
    <w:p>
      <w:pPr>
        <w:pStyle w:val="Heading2"/>
      </w:pPr>
      <w:r>
        <w:t>Academic Dishonesty</w:t>
      </w:r>
    </w:p>
    <w:p>
      <w:r>
        <w:t>In the academic community, the high value placed on truth implies a corresponding intolerance of scholastic dishonesty. In cases involving academic dishonesty, determination of the grade and of the student's status in the course is left primarily to the discretion of the faculty member. In such cases, where the instructor determines that a student has demonstrated academic dishonesty, the student may receive a failing grade for the assignment and/or exam and may be reported to the Chief Student Services Officer or designee.</w:t>
      </w:r>
    </w:p>
    <w:p>
      <w:pPr>
        <w:pStyle w:val="Heading2"/>
      </w:pPr>
      <w:r>
        <w:t>Respect and Disruptive Behavior</w:t>
      </w:r>
    </w:p>
    <w:p>
      <w:r>
        <w:t>We expect a respectful and inclusive learning environment. Student behavior or speech that disrupts the instructional setting will not be tolerated. Disruptive conduct may include, but is not limited to: unwarranted interruptions; failure to adhere to instructor's directions; vulgar or obscene language; slurs or other forms of intimidation; and physically or verbally abusive behavior. The student may be reported to the Chief Student Services Officer or designee. Additional information about the rights and responsibilities of students, Board policies, and administrative procedures is located in the 2023-2024 College Catalog and CR Board and Administrative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