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7.png" ContentType="image/png"/>
  <Override PartName="/word/media/rId55.png" ContentType="image/png"/>
  <Override PartName="/word/media/rId69.png" ContentType="image/png"/>
  <Override PartName="/word/media/rId92.png" ContentType="image/png"/>
  <Override PartName="/word/media/rId97.png" ContentType="image/png"/>
  <Override PartName="/word/media/rId60.png" ContentType="image/png"/>
  <Override PartName="/word/media/rId1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Convergence Analysis of Gradient Descent Optimization</w:t>
      </w:r>
    </w:p>
    <w:p>
      <w:pPr>
        <w:pStyle w:val="Subtitle"/>
      </w:pPr>
      <w:r>
        <w:t xml:space="preserve">Theoretical Bounds and Empirical Performance in Quadratic Minimization</w:t>
      </w:r>
    </w:p>
    <w:p>
      <w:pPr>
        <w:pStyle w:val="Author"/>
      </w:pPr>
      <w:r>
        <w:t xml:space="preserve">Daniel Ari Friedman</w:t>
      </w:r>
    </w:p>
    <w:p>
      <w:pPr>
        <w:pStyle w:val="Date"/>
      </w:pPr>
      <w:r>
        <w:t xml:space="preserve">2026-06-26</w:t>
      </w:r>
    </w:p>
    <w:p>
      <w:pPr>
        <w:pStyle w:val="Heading1"/>
      </w:pPr>
      <w:bookmarkStart w:id="9" w:name="_2bf3fe69ade7ebe238cdfef671c17236f8b9615"/>
      <w:r>
        <w:t xml:space="preserve">BEGINNING OF TRANSMISSION</w:t>
      </w:r>
      <w:bookmarkEnd w:id="9"/>
    </w:p>
    <w:p>
      <w:pPr>
        <w:pStyle w:val="TemplateTransmission"/>
      </w:pPr>
      <w:r>
        <w:rPr>
          <w:b/>
          <w:bCs/>
        </w:rPr>
        <w:t xml:space="preserve">State:</w:t>
      </w:r>
      <w:r>
        <w:t xml:space="preserve"> </w:t>
      </w:r>
      <w:r>
        <w:t xml:space="preserve">unpublished / pending pairing</w:t>
      </w:r>
    </w:p>
    <w:p>
      <w:pPr>
        <w:pStyle w:val="TemplateTransmission"/>
      </w:pPr>
      <w:r>
        <w:rPr>
          <w:b/>
          <w:bCs/>
        </w:rPr>
        <w:t xml:space="preserve">Pairing:</w:t>
      </w:r>
      <w:r>
        <w:t xml:space="preserve"> </w:t>
      </w:r>
      <w:r>
        <w:t xml:space="preserve">pending — unresolved:</w:t>
      </w:r>
      <w:r>
        <w:t xml:space="preserve"> </w:t>
      </w:r>
      <w:r>
        <w:t xml:space="preserve">- ✗ GitHub release URL:</w:t>
      </w:r>
      <w:r>
        <w:t xml:space="preserve"> </w:t>
      </w:r>
      <w:r>
        <w:rPr>
          <w:rStyle w:val="VerbatimChar"/>
        </w:rPr>
        <w:t xml:space="preserve">pending</w:t>
      </w:r>
      <w:r>
        <w:t xml:space="preserve"> </w:t>
      </w:r>
      <w:r>
        <w:t xml:space="preserve">- ✗ PDF SHA-256:</w:t>
      </w:r>
      <w:r>
        <w:t xml:space="preserve"> </w:t>
      </w:r>
      <w:r>
        <w:rPr>
          <w:rStyle w:val="VerbatimChar"/>
        </w:rPr>
        <w:t xml:space="preserve">pending</w:t>
      </w:r>
    </w:p>
    <w:p>
      <w:pPr>
        <w:pStyle w:val="Heading3"/>
      </w:pPr>
      <w:r>
        <w:t xml:space="preserve">Release metadata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Title</w:t>
            </w:r>
          </w:p>
        </w:tc>
        <w:tc>
          <w:tcPr/>
          <w:p>
            <w:pPr>
              <w:pStyle w:val="Compact"/>
            </w:pPr>
            <w:r>
              <w:t xml:space="preserve">Convergence Analysis of Gradient Descent Optimization</w:t>
            </w:r>
          </w:p>
        </w:tc>
      </w:tr>
      <w:tr>
        <w:tc>
          <w:tcPr/>
          <w:p>
            <w:pPr>
              <w:pStyle w:val="Compact"/>
            </w:pPr>
            <w:r>
              <w:t xml:space="preserve">Version</w:t>
            </w:r>
          </w:p>
        </w:tc>
        <w:tc>
          <w:tcPr/>
          <w:p>
            <w:pPr>
              <w:pStyle w:val="Compact"/>
            </w:pPr>
            <w:r>
              <w:t xml:space="preserve">3.0.0</w:t>
            </w:r>
          </w:p>
        </w:tc>
      </w:tr>
      <w:tr>
        <w:tc>
          <w:tcPr/>
          <w:p>
            <w:pPr>
              <w:pStyle w:val="Compact"/>
            </w:pPr>
            <w:r>
              <w:t xml:space="preserve">Concept DOI</w:t>
            </w:r>
          </w:p>
        </w:tc>
        <w:tc>
          <w:tcPr/>
          <w:p>
            <w:pPr>
              <w:pStyle w:val="Compact"/>
            </w:pPr>
            <w:r>
              <w:t xml:space="preserve">10.5281/zenodo.20417136</w:t>
            </w:r>
          </w:p>
        </w:tc>
      </w:tr>
      <w:tr>
        <w:tc>
          <w:tcPr/>
          <w:p>
            <w:pPr>
              <w:pStyle w:val="Compact"/>
            </w:pPr>
            <w:r>
              <w:t xml:space="preserve">GitHub</w:t>
            </w:r>
          </w:p>
        </w:tc>
        <w:tc>
          <w:tcPr/>
          <w:p>
            <w:pPr>
              <w:pStyle w:val="Compact"/>
            </w:pPr>
            <w:r>
              <w:t xml:space="preserve">docxology/template_code_project</w:t>
            </w:r>
          </w:p>
        </w:tc>
      </w:tr>
      <w:tr>
        <w:tc>
          <w:tcPr/>
          <w:p>
            <w:pPr>
              <w:pStyle w:val="Compact"/>
            </w:pPr>
            <w:r>
              <w:t xml:space="preserve">Zenodo</w:t>
            </w:r>
          </w:p>
        </w:tc>
        <w:tc>
          <w:tcPr/>
          <w:p>
            <w:pPr>
              <w:pStyle w:val="Compact"/>
            </w:pPr>
            <w:hyperlink r:id="rId10">
              <w:r>
                <w:rPr>
                  <w:rStyle w:val="Hyperlink"/>
                </w:rPr>
                <w:t xml:space="preserve">https://zenodo.org/records/20417136</w:t>
              </w:r>
            </w:hyperlink>
          </w:p>
        </w:tc>
      </w:tr>
      <w:tr>
        <w:tc>
          <w:tcPr/>
          <w:p>
            <w:pPr>
              <w:pStyle w:val="Compact"/>
            </w:pPr>
            <w:r>
              <w:t xml:space="preserve">SHA-256</w:t>
            </w:r>
          </w:p>
        </w:tc>
        <w:tc>
          <w:tcPr/>
          <w:p>
            <w:pPr>
              <w:pStyle w:val="Compact"/>
            </w:pPr>
            <w:r>
              <w:t xml:space="preserve">pending</w:t>
            </w:r>
          </w:p>
        </w:tc>
      </w:tr>
      <w:tr>
        <w:tc>
          <w:tcPr/>
          <w:p>
            <w:pPr>
              <w:pStyle w:val="Compact"/>
            </w:pPr>
            <w:r>
              <w:t xml:space="preserve">SHA-512</w:t>
            </w:r>
          </w:p>
        </w:tc>
        <w:tc>
          <w:tcPr/>
          <w:p>
            <w:pPr>
              <w:pStyle w:val="Compact"/>
            </w:pPr>
            <w:r>
              <w:t xml:space="preserve">pending</w:t>
            </w:r>
          </w:p>
        </w:tc>
      </w:tr>
    </w:tbl>
    <w:p>
      <w:pPr>
        <w:pStyle w:val="Heading3"/>
      </w:pPr>
      <w:r>
        <w:t xml:space="preserve">How to verify</w:t>
      </w:r>
    </w:p>
    <w:p>
      <w:pPr>
        <w:pStyle w:val="Compact"/>
        <w:numPr>
          <w:ilvl w:val="0"/>
          <w:numId w:val="1001"/>
        </w:numPr>
      </w:pPr>
      <w:r>
        <w:t xml:space="preserve">Scan</w:t>
      </w:r>
      <w:r>
        <w:t xml:space="preserve"> </w:t>
      </w:r>
      <w:r>
        <w:rPr>
          <w:b/>
          <w:bCs/>
        </w:rPr>
        <w:t xml:space="preserve">Integrity</w:t>
      </w:r>
      <w:r>
        <w:t xml:space="preserve"> </w:t>
      </w:r>
      <w:r>
        <w:t xml:space="preserve">QR and compare the embedded SHA-256 prefix to the table above.</w:t>
      </w:r>
    </w:p>
    <w:p>
      <w:pPr>
        <w:pStyle w:val="Compact"/>
        <w:numPr>
          <w:ilvl w:val="0"/>
          <w:numId w:val="1001"/>
        </w:numPr>
      </w:pPr>
      <w:r>
        <w:t xml:space="preserve">Scan</w:t>
      </w:r>
      <w:r>
        <w:t xml:space="preserve"> </w:t>
      </w:r>
      <w:r>
        <w:rPr>
          <w:b/>
          <w:bCs/>
        </w:rPr>
        <w:t xml:space="preserve">Zenodo</w:t>
      </w:r>
      <w:r>
        <w:t xml:space="preserve"> </w:t>
      </w:r>
      <w:r>
        <w:t xml:space="preserve">/</w:t>
      </w:r>
      <w:r>
        <w:t xml:space="preserve"> </w:t>
      </w:r>
      <w:r>
        <w:rPr>
          <w:b/>
          <w:bCs/>
        </w:rPr>
        <w:t xml:space="preserve">GitHub</w:t>
      </w:r>
      <w:r>
        <w:t xml:space="preserve"> </w:t>
      </w:r>
      <w:r>
        <w:t xml:space="preserve">QR codes and confirm they resolve to this release pairing.</w:t>
      </w:r>
    </w:p>
    <w:p>
      <w:pPr>
        <w:pStyle w:val="Compact"/>
        <w:numPr>
          <w:ilvl w:val="0"/>
          <w:numId w:val="1001"/>
        </w:numPr>
      </w:pPr>
      <w:r>
        <w:t xml:space="preserve">Full hashes and structured fields:</w:t>
      </w:r>
      <w:r>
        <w:t xml:space="preserve"> </w:t>
      </w:r>
      <w:r>
        <w:rPr>
          <w:rStyle w:val="VerbatimChar"/>
        </w:rPr>
        <w:t xml:space="preserve">../data/transmission_manifest.json</w:t>
      </w:r>
      <w:r>
        <w:t xml:space="preserve">.</w:t>
      </w:r>
    </w:p>
    <w:p>
      <w:pPr>
        <w:pStyle w:val="CaptionedFigure"/>
      </w:pPr>
      <w:r>
        <w:drawing>
          <wp:inline>
            <wp:extent cx="5227320" cy="1979653"/>
            <wp:effectExtent b="0" l="0" r="0" t="0"/>
            <wp:docPr descr="Integrity QR strip" title="" id="12" name="Picture"/>
            <a:graphic>
              <a:graphicData uri="http://schemas.openxmlformats.org/drawingml/2006/picture">
                <pic:pic>
                  <pic:nvPicPr>
                    <pic:cNvPr descr="../figures/transmission_integrity_strip.png" id="13" name="Picture"/>
                    <pic:cNvPicPr>
                      <a:picLocks noChangeArrowheads="1" noChangeAspect="1"/>
                    </pic:cNvPicPr>
                  </pic:nvPicPr>
                  <pic:blipFill>
                    <a:blip r:embed="rId11"/>
                    <a:stretch>
                      <a:fillRect/>
                    </a:stretch>
                  </pic:blipFill>
                  <pic:spPr bwMode="auto">
                    <a:xfrm>
                      <a:off x="0" y="0"/>
                      <a:ext cx="5227320" cy="1979653"/>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t xml:space="preserve">Structured manifest:</w:t>
      </w:r>
      <w:r>
        <w:t xml:space="preserve"> </w:t>
      </w:r>
      <w:r>
        <w:rPr>
          <w:rStyle w:val="VerbatimChar"/>
        </w:rPr>
        <w:t xml:space="preserve">../data/transmission_manifest.json</w:t>
      </w:r>
    </w:p>
    <w:p>
      <w:pPr>
        <w:pStyle w:val="CaptionedFigure"/>
      </w:pPr>
      <w:r>
        <w:drawing>
          <wp:inline>
            <wp:extent cx="1866900" cy="1066800"/>
            <wp:effectExtent b="0" l="0" r="0" t="0"/>
            <wp:docPr descr="Publication pairing flow" title="" id="15" name="Picture"/>
            <a:graphic>
              <a:graphicData uri="http://schemas.openxmlformats.org/drawingml/2006/picture">
                <pic:pic>
                  <pic:nvPicPr>
                    <pic:cNvPr descr="../figures/transmission_pairing.png" id="16" name="Picture"/>
                    <pic:cNvPicPr>
                      <a:picLocks noChangeArrowheads="1" noChangeAspect="1"/>
                    </pic:cNvPicPr>
                  </pic:nvPicPr>
                  <pic:blipFill>
                    <a:blip r:embed="rId14"/>
                    <a:stretch>
                      <a:fillRect/>
                    </a:stretch>
                  </pic:blipFill>
                  <pic:spPr bwMode="auto">
                    <a:xfrm>
                      <a:off x="0" y="0"/>
                      <a:ext cx="1866900" cy="1066800"/>
                    </a:xfrm>
                    <a:prstGeom prst="rect">
                      <a:avLst/>
                    </a:prstGeom>
                    <a:noFill/>
                    <a:ln w="9525">
                      <a:noFill/>
                      <a:headEnd/>
                      <a:tailEnd/>
                    </a:ln>
                  </pic:spPr>
                </pic:pic>
              </a:graphicData>
            </a:graphic>
          </wp:inline>
        </w:drawing>
      </w:r>
    </w:p>
    <w:p>
      <w:pPr>
        <w:pStyle w:val="ImageCaption"/>
      </w:pPr>
      <w:r>
        <w:t xml:space="preserve">Publication pairing flow</w:t>
      </w:r>
    </w:p>
    <w:p>
      <w:pPr>
        <w:pStyle w:val="TemplateTransmission"/>
      </w:pPr>
      <w:r>
        <w:rPr>
          <w:b/>
          <w:bCs/>
        </w:rPr>
        <w:t xml:space="preserve">Stego:</w:t>
      </w:r>
      <w:r>
        <w:t xml:space="preserve"> </w:t>
      </w:r>
      <w:r>
        <w:t xml:space="preserve">on | overlays text | barcodes on | XMP on | manifest on →</w:t>
      </w:r>
      <w:r>
        <w:t xml:space="preserve"> </w:t>
      </w:r>
      <w:r>
        <w:rPr>
          <w:rStyle w:val="VerbatimChar"/>
        </w:rPr>
        <w:t xml:space="preserve">./secure_run.sh</w:t>
      </w:r>
    </w:p>
    <w:p>
      <w:r>
        <w:br w:type="page"/>
      </w:r>
    </w:p>
    <w:p>
      <w:r>
        <w:br w:type="page"/>
      </w:r>
    </w:p>
    <w:p>
      <w:pPr>
        <w:pStyle w:val="Heading1"/>
      </w:pPr>
      <w:bookmarkStart w:id="17" w:name="_042b3c159b31d95ca6546400e44fd0eb298b596"/>
      <w:r>
        <w:t xml:space="preserve">Abstract</w:t>
      </w:r>
      <w:bookmarkEnd w:id="17"/>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18">
        <w:r>
          <w:rPr>
            <w:rStyle w:val="Hyperlink"/>
          </w:rPr>
          <w:t xml:space="preserve">Research Project Template</w:t>
        </w:r>
      </w:hyperlink>
      <w:r>
        <w:t xml:space="preserve">. The implementation lives in</w:t>
      </w:r>
      <w:r>
        <w:t xml:space="preserve"> </w:t>
      </w:r>
      <w:r>
        <w:rPr>
          <w:rStyle w:val="VerbatimChar"/>
        </w:rPr>
        <w:t xml:space="preserve">projects/templates/template_code_project/src/template_code_project/core/optimizer.py</w:t>
      </w:r>
      <w:r>
        <w:t xml:space="preserve">; experiments and figures are orchestrated by</w:t>
      </w:r>
      <w:r>
        <w:t xml:space="preserve"> </w:t>
      </w:r>
      <w:r>
        <w:rPr>
          <w:rStyle w:val="VerbatimChar"/>
        </w:rPr>
        <w:t xml:space="preserve">projects/templates/template_code_project/scripts/optimization_analysis.py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src/template_code_project/figures/</w:t>
      </w:r>
      <w:r>
        <w:t xml:space="preserve"> </w:t>
      </w:r>
      <w:r>
        <w:t xml:space="preserve">and</w:t>
      </w:r>
      <w:r>
        <w:t xml:space="preserve"> </w:t>
      </w:r>
      <w:r>
        <w:rPr>
          <w:rStyle w:val="VerbatimChar"/>
        </w:rPr>
        <w:t xml:space="preserve">src/template_code_project/analysis/</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9">
        <w:r>
          <w:rPr>
            <w:rStyle w:val="Hyperlink"/>
          </w:rPr>
          <w:t xml:space="preserve">test_optimizer.py</w:t>
        </w:r>
      </w:hyperlink>
      <w:r>
        <w:t xml:space="preserve">), automated six-figure analysis, and reproducibility metadata (configuration hash, artifact counts) injected into sec. 7.</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optimization algorithms, gradient descent, convergence analysis, numerical methods, mathematical programming, reproducible research, infrastructure automation</w:t>
      </w:r>
    </w:p>
    <w:p>
      <w:r>
        <w:br w:type="page"/>
      </w:r>
    </w:p>
    <w:p>
      <w:pPr>
        <w:pStyle w:val="Heading1"/>
      </w:pPr>
      <w:bookmarkStart w:id="20" w:name="_cebaa1f6ada0c89507e61caf930b3b1c7b5b035"/>
      <w:r>
        <w:t xml:space="preserve">Introduction</w:t>
      </w:r>
      <w:bookmarkEnd w:id="20"/>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18">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p>
      <w:pPr>
        <w:pStyle w:val="Heading2"/>
      </w:pPr>
      <w:bookmarkStart w:id="21" w:name="_1157cfe42ee28f5aa834c7491abd920907bd74e"/>
      <w:r>
        <w:t xml:space="preserve">Template Architecture Context</w:t>
      </w:r>
      <w:bookmarkEnd w:id="21"/>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2"/>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2"/>
        </w:numPr>
      </w:pPr>
      <w:r>
        <w:rPr>
          <w:rStyle w:val="VerbatimChar"/>
          <w:b/>
          <w:bCs/>
        </w:rPr>
        <w:t xml:space="preserve">tests/</w:t>
      </w:r>
      <w:r>
        <w:rPr>
          <w:b/>
          <w:bCs/>
        </w:rPr>
        <w:t xml:space="preserve"> </w:t>
      </w:r>
      <w:r>
        <w:rPr>
          <w:b/>
          <w:bCs/>
        </w:rPr>
        <w:t xml:space="preserve">Framework (</w:t>
      </w:r>
      <w:r>
        <w:rPr>
          <w:rStyle w:val="VerbatimChar"/>
          <w:b/>
          <w:bCs/>
        </w:rPr>
        <w:t xml:space="preserve">projects/templates/template_code_project/tests/</w:t>
      </w:r>
      <w:r>
        <w:rPr>
          <w:b/>
          <w:bCs/>
        </w:rPr>
        <w:t xml:space="preserve">)</w:t>
      </w:r>
      <w:r>
        <w:t xml:space="preserve">: An uncompromising validation layer maintaining a zero-mock testing policy. This is enforced automatically via the</w:t>
      </w:r>
      <w:r>
        <w:t xml:space="preserve"> </w:t>
      </w:r>
      <w:hyperlink r:id="rId22">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2"/>
        </w:numPr>
      </w:pPr>
      <w:r>
        <w:rPr>
          <w:rStyle w:val="VerbatimChar"/>
          <w:b/>
          <w:bCs/>
        </w:rPr>
        <w:t xml:space="preserve">docs/</w:t>
      </w:r>
      <w:r>
        <w:rPr>
          <w:b/>
          <w:bCs/>
        </w:rPr>
        <w:t xml:space="preserve"> </w:t>
      </w:r>
      <w:r>
        <w:rPr>
          <w:b/>
          <w:bCs/>
        </w:rPr>
        <w:t xml:space="preserve">Knowledge Base (</w:t>
      </w:r>
      <w:r>
        <w:rPr>
          <w:rStyle w:val="VerbatimChar"/>
          <w:b/>
          <w:bCs/>
        </w:rPr>
        <w:t xml:space="preserve">projects/templates/template_code_project/docs/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 eq. 1 is mapped programmatically inside the</w:t>
      </w:r>
      <w:r>
        <w:t xml:space="preserve"> </w:t>
      </w:r>
      <w:hyperlink r:id="rId23">
        <w:r>
          <w:rPr>
            <w:rStyle w:val="Hyperlink"/>
          </w:rPr>
          <w:t xml:space="preserve">optimizer module</w:t>
        </w:r>
      </w:hyperlink>
      <w:r>
        <w:t xml:space="preserve">:</w:t>
      </w:r>
    </w:p>
    <w:p>
      <w:pPr>
        <w:pStyle w:val="BodyText"/>
      </w:pPr>
      <w:bookmarkStart w:id="24" w:name="_28d56e4f8b72c1ac0bf7ed6545f31fdc5c6789d"/>
      <m:oMathPara>
        <m:oMathParaPr>
          <m:jc m:val="center"/>
        </m:oMathParaPr>
        <m:oMath>
          <m:limLow>
            <m:e>
              <m:r>
                <m:rPr>
                  <m:sty m:val="p"/>
                </m:rPr>
                <m:t>min</m:t>
              </m:r>
            </m:e>
            <m:lim>
              <m:r>
                <m:t>x</m:t>
              </m:r>
              <m:r>
                <m:rPr>
                  <m:sty m:val="p"/>
                </m:rPr>
                <m:t>∈</m:t>
              </m:r>
              <m:sSup>
                <m:e>
                  <m:r>
                    <m:rPr>
                      <m:scr m:val="double-struck"/>
                      <m:sty m:val="p"/>
                    </m:rPr>
                    <m:t>R</m:t>
                  </m:r>
                </m:e>
                <m:sup>
                  <m:r>
                    <m:t>n</m:t>
                  </m:r>
                </m:sup>
              </m:sSup>
            </m:lim>
          </m:limLow>
          <m:r>
            <m:t>f</m:t>
          </m:r>
          <m:r>
            <m:rPr>
              <m:sty m:val="p"/>
            </m:rPr>
            <m:t>(</m:t>
          </m:r>
          <m:r>
            <m:t>x</m:t>
          </m:r>
          <m:r>
            <m:rPr>
              <m:sty m:val="p"/>
            </m:rPr>
            <m:t>)</m:t>
          </m:r>
          <m:r>
            <m:t>  </m:t>
          </m:r>
          <m:r>
            <m:rPr>
              <m:sty m:val="p"/>
            </m:rPr>
            <m:t>(</m:t>
          </m:r>
          <m:r>
            <m:t>1</m:t>
          </m:r>
          <m:r>
            <m:rPr>
              <m:sty m:val="p"/>
            </m:rPr>
            <m:t>)</m:t>
          </m:r>
        </m:oMath>
      </m:oMathPara>
      <w:bookmarkEnd w:id="24"/>
    </w:p>
    <w:p>
      <w:pPr>
        <w:pStyle w:val="FirstParagraph"/>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p>
      <w:pPr>
        <w:pStyle w:val="Heading2"/>
      </w:pPr>
      <w:bookmarkStart w:id="25" w:name="_51972e87a5b3dc448bdbc86f50fa97263192bed"/>
      <w:r>
        <w:t xml:space="preserve">Infrastructure Integration</w:t>
      </w:r>
      <w:bookmarkEnd w:id="25"/>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3"/>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check numerical boundaries and exercise runtime performance diagnostics without pinning host-dependent timings.</w:t>
      </w:r>
    </w:p>
    <w:p>
      <w:pPr>
        <w:pStyle w:val="Compact"/>
        <w:numPr>
          <w:ilvl w:val="0"/>
          <w:numId w:val="1003"/>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3"/>
        </w:numPr>
      </w:pPr>
      <w:r>
        <w:rPr>
          <w:b/>
          <w:bCs/>
        </w:rPr>
        <w:t xml:space="preserve">Reporting &amp; Rendering</w:t>
      </w:r>
      <w:r>
        <w:t xml:space="preserve">: The project hydrates manuscript variables from its analysis outputs, then</w:t>
      </w:r>
      <w:r>
        <w:t xml:space="preserve"> </w:t>
      </w:r>
      <w:r>
        <w:rPr>
          <w:rStyle w:val="VerbatimChar"/>
        </w:rPr>
        <w:t xml:space="preserve">infrastructure.rendering.pdf_renderer</w:t>
      </w:r>
      <w:r>
        <w:t xml:space="preserve"> </w:t>
      </w:r>
      <w:r>
        <w:t xml:space="preserve">compiles the manuscript. The supported</w:t>
      </w:r>
      <w:r>
        <w:t xml:space="preserve"> </w:t>
      </w:r>
      <w:r>
        <w:rPr>
          <w:rStyle w:val="VerbatimChar"/>
        </w:rPr>
        <w:t xml:space="preserve">infrastructure.reporting</w:t>
      </w:r>
      <w:r>
        <w:t xml:space="preserve"> </w:t>
      </w:r>
      <w:r>
        <w:t xml:space="preserve">API produces separate pipeline and cross-project summaries.</w:t>
      </w:r>
    </w:p>
    <w:p>
      <w:pPr>
        <w:pStyle w:val="Heading2"/>
      </w:pPr>
      <w:bookmarkStart w:id="26" w:name="_f65c1617d6535f63e66dfe376acaee06767616a"/>
      <w:r>
        <w:t xml:space="preserve">Algorithm Overview</w:t>
      </w:r>
      <w:bookmarkEnd w:id="26"/>
    </w:p>
    <w:p>
      <w:pPr>
        <w:pStyle w:val="FirstParagraph"/>
      </w:pPr>
      <w:r>
        <w:t xml:space="preserve">The reference gradient descent algorithm iteratively updates the solution using the rule shown in eq. 2:</w:t>
      </w:r>
    </w:p>
    <w:p>
      <w:pPr>
        <w:pStyle w:val="BodyText"/>
      </w:pPr>
      <w:bookmarkStart w:id="27" w:name="_f749dcbb3e78e1453e8d39d0d029865938ba71b"/>
      <m:oMathPara>
        <m:oMathParaPr>
          <m:jc m:val="center"/>
        </m:oMathParaP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r>
            <m:t>  </m:t>
          </m:r>
          <m:r>
            <m:rPr>
              <m:sty m:val="p"/>
            </m:rPr>
            <m:t>(</m:t>
          </m:r>
          <m:r>
            <m:t>2</m:t>
          </m:r>
          <m:r>
            <m:rPr>
              <m:sty m:val="p"/>
            </m:rPr>
            <m:t>)</m:t>
          </m:r>
        </m:oMath>
      </m:oMathPara>
      <w:bookmarkEnd w:id="27"/>
    </w:p>
    <w:p>
      <w:pPr>
        <w:pStyle w:val="FirstParagraph"/>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p>
      <w:pPr>
        <w:pStyle w:val="Heading2"/>
      </w:pPr>
      <w:bookmarkStart w:id="28" w:name="_14fa05e69cefd0e7f360ec25469d456e033c6a1"/>
      <w:r>
        <w:t xml:space="preserve">Exemplar Implementation Goals</w:t>
      </w:r>
      <w:bookmarkEnd w:id="28"/>
    </w:p>
    <w:p>
      <w:pPr>
        <w:pStyle w:val="FirstParagraph"/>
      </w:pPr>
      <w:r>
        <w:t xml:space="preserve">As the representative project for the repository, this implementation explicitly demonstrates:</w:t>
      </w:r>
    </w:p>
    <w:p>
      <w:pPr>
        <w:pStyle w:val="Compact"/>
        <w:numPr>
          <w:ilvl w:val="0"/>
          <w:numId w:val="1004"/>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4"/>
        </w:numPr>
      </w:pPr>
      <w:r>
        <w:rPr>
          <w:b/>
          <w:bCs/>
        </w:rPr>
        <w:t xml:space="preserve">Zero-Mock Verification</w:t>
      </w:r>
      <w:r>
        <w:t xml:space="preserve">: A strict comprehensive validation suite proving numerical accuracy without artificial test boundaries.</w:t>
      </w:r>
    </w:p>
    <w:p>
      <w:pPr>
        <w:pStyle w:val="Compact"/>
        <w:numPr>
          <w:ilvl w:val="0"/>
          <w:numId w:val="1004"/>
        </w:numPr>
      </w:pPr>
      <w:r>
        <w:rPr>
          <w:b/>
          <w:bCs/>
        </w:rPr>
        <w:t xml:space="preserve">Automated Research Pipelines</w:t>
      </w:r>
      <w:r>
        <w:t xml:space="preserve">: High-precision analyses that generate publication-quality, accessible visualizations automatically.</w:t>
      </w:r>
    </w:p>
    <w:p>
      <w:pPr>
        <w:pStyle w:val="Compact"/>
        <w:numPr>
          <w:ilvl w:val="0"/>
          <w:numId w:val="1004"/>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p>
      <w:pPr>
        <w:pStyle w:val="Heading2"/>
      </w:pPr>
      <w:bookmarkStart w:id="29" w:name="_7999850b20309b8a8a79ab808144956501b71d4"/>
      <w:r>
        <w:t xml:space="preserve">Reader’s guide to the manuscript</w:t>
      </w:r>
      <w:bookmarkEnd w:id="29"/>
    </w:p>
    <w:p>
      <w:pPr>
        <w:pStyle w:val="Compact"/>
        <w:numPr>
          <w:ilvl w:val="0"/>
          <w:numId w:val="1005"/>
        </w:numPr>
      </w:pPr>
      <w:r>
        <w:rPr>
          <w:b/>
          <w:bCs/>
        </w:rPr>
        <w:t xml:space="preserve">sec. 3</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5"/>
        </w:numPr>
      </w:pPr>
      <w:r>
        <w:rPr>
          <w:b/>
          <w:bCs/>
        </w:rPr>
        <w:t xml:space="preserve">sec. 4</w:t>
      </w:r>
      <w:r>
        <w:t xml:space="preserve"> </w:t>
      </w:r>
      <w:r>
        <w:t xml:space="preserve">is figure-centric: every panel references a generator in</w:t>
      </w:r>
      <w:r>
        <w:t xml:space="preserve"> </w:t>
      </w:r>
      <w:r>
        <w:rPr>
          <w:rStyle w:val="VerbatimChar"/>
        </w:rPr>
        <w:t xml:space="preserve">src/template_code_project/figures/</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template tokens for numeric values.</w:t>
      </w:r>
    </w:p>
    <w:p>
      <w:pPr>
        <w:pStyle w:val="Compact"/>
        <w:numPr>
          <w:ilvl w:val="0"/>
          <w:numId w:val="1005"/>
        </w:numPr>
      </w:pPr>
      <w:r>
        <w:rPr>
          <w:b/>
          <w:bCs/>
        </w:rPr>
        <w:t xml:space="preserve">sec. 6</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5"/>
        </w:numPr>
      </w:pPr>
      <w:r>
        <w:rPr>
          <w:b/>
          <w:bCs/>
        </w:rPr>
        <w:t xml:space="preserve">sec. 7</w:t>
      </w:r>
      <w:r>
        <w:t xml:space="preserve"> </w:t>
      </w:r>
      <w:r>
        <w:t xml:space="preserve">records the configuration hash and artifact inventory produced alongside the PDF.</w:t>
      </w:r>
    </w:p>
    <w:p>
      <w:pPr>
        <w:pStyle w:val="Compact"/>
        <w:numPr>
          <w:ilvl w:val="0"/>
          <w:numId w:val="1005"/>
        </w:numPr>
      </w:pPr>
      <w:r>
        <w:rPr>
          <w:b/>
          <w:bCs/>
        </w:rPr>
        <w:t xml:space="preserve">sec. 8</w:t>
      </w:r>
      <w:r>
        <w:t xml:space="preserve"> </w:t>
      </w:r>
      <w:r>
        <w:t xml:space="preserve">states scope and related literature so the exemplar is not mistaken for a general-purpose optimizer benchmark suite.</w:t>
      </w:r>
    </w:p>
    <w:p>
      <w:pPr>
        <w:pStyle w:val="Heading2"/>
      </w:pPr>
      <w:bookmarkStart w:id="30" w:name="_e9fe06c039d875358e1dfbd4880e2e9c1cdd183"/>
      <w:r>
        <w:t xml:space="preserve">Why a quadratic model</w:t>
      </w:r>
      <w:bookmarkEnd w:id="30"/>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 eq. 4 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(sec. 8).</w:t>
      </w:r>
    </w:p>
    <w:p>
      <w:r>
        <w:br w:type="page"/>
      </w:r>
    </w:p>
    <w:p>
      <w:pPr>
        <w:pStyle w:val="Heading1"/>
      </w:pPr>
      <w:bookmarkStart w:id="31" w:name="_4c4468e175e68d6161b2735436bacaf8d023e63"/>
      <w:r>
        <w:t xml:space="preserve">Methodology</w:t>
      </w:r>
      <w:bookmarkEnd w:id="31"/>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p>
      <w:pPr>
        <w:pStyle w:val="Heading2"/>
      </w:pPr>
      <w:bookmarkStart w:id="32" w:name="_c52ffc1cc16432ed894cbe16918367bc2e9de86"/>
      <w:r>
        <w:t xml:space="preserve">Algorithm Implementation</w:t>
      </w:r>
      <w:bookmarkEnd w:id="32"/>
    </w:p>
    <w:p>
      <w:pPr>
        <w:pStyle w:val="Heading3"/>
      </w:pPr>
      <w:bookmarkStart w:id="33" w:name="_68c473f1be40b9744679d33fcf6007cd47fd204"/>
      <w:r>
        <w:t xml:space="preserve">Gradient Descent Algorithm</w:t>
      </w:r>
      <w:bookmarkEnd w:id="33"/>
    </w:p>
    <w:p>
      <w:pPr>
        <w:pStyle w:val="FirstParagraph"/>
      </w:pPr>
      <w:r>
        <w:t xml:space="preserve">The core algorithm implements the iterative procedure for unconstrained optimization. The</w:t>
      </w:r>
      <w:r>
        <w:t xml:space="preserve"> </w:t>
      </w:r>
      <w:hyperlink r:id="rId23">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34">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35">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36">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6"/>
        </w:numPr>
      </w:pPr>
      <w:r>
        <w:t xml:space="preserve">Initialize</w:t>
      </w:r>
      <w:r>
        <w:t xml:space="preserve"> </w:t>
      </w:r>
      <m:oMath>
        <m:r>
          <m:t>k</m:t>
        </m:r>
        <m:r>
          <m:rPr>
            <m:sty m:val="p"/>
          </m:rPr>
          <m:t>←</m:t>
        </m:r>
        <m:r>
          <m:t>0</m:t>
        </m:r>
      </m:oMath>
    </w:p>
    <w:p>
      <w:pPr>
        <w:pStyle w:val="Compact"/>
        <w:numPr>
          <w:ilvl w:val="0"/>
          <w:numId w:val="1006"/>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7"/>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7"/>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7"/>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7"/>
        </w:numPr>
      </w:pPr>
      <m:oMath>
        <m:r>
          <m:t>k</m:t>
        </m:r>
        <m:r>
          <m:rPr>
            <m:sty m:val="p"/>
          </m:rPr>
          <m:t>←</m:t>
        </m:r>
        <m:r>
          <m:t>k</m:t>
        </m:r>
        <m:r>
          <m:rPr>
            <m:sty m:val="p"/>
          </m:rPr>
          <m:t>+</m:t>
        </m:r>
        <m:r>
          <m:t>1</m:t>
        </m:r>
      </m:oMath>
      <w:r>
        <w:t xml:space="preserve">​</w:t>
      </w:r>
    </w:p>
    <w:p>
      <w:pPr>
        <w:pStyle w:val="Compact"/>
        <w:numPr>
          <w:ilvl w:val="0"/>
          <w:numId w:val="1006"/>
        </w:numPr>
      </w:pPr>
      <w:r>
        <w:rPr>
          <w:b/>
          <w:bCs/>
        </w:rPr>
        <w:t xml:space="preserve">Return</w:t>
      </w:r>
      <w:r>
        <w:t xml:space="preserve"> </w:t>
      </w:r>
      <m:oMath>
        <m:sSub>
          <m:e>
            <m:r>
              <m:t>x</m:t>
            </m:r>
          </m:e>
          <m:sub>
            <m:r>
              <m:t>k</m:t>
            </m:r>
          </m:sub>
        </m:sSub>
      </m:oMath>
      <w:r>
        <w:t xml:space="preserve"> </w:t>
      </w:r>
      <w:r>
        <w:rPr>
          <w:i/>
          <w:iCs/>
        </w:rPr>
        <w:t xml:space="preserve">(max iterations reached)</w:t>
      </w:r>
    </w:p>
    <w:p>
      <w:pPr>
        <w:pStyle w:val="Heading2"/>
      </w:pPr>
      <w:bookmarkStart w:id="37" w:name="_4baef38b248fa37025613ed4968603f2480bc46"/>
      <w:r>
        <w:t xml:space="preserve">Infrastructure Integration</w:t>
      </w:r>
      <w:bookmarkEnd w:id="37"/>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p>
      <w:pPr>
        <w:pStyle w:val="Heading3"/>
      </w:pPr>
      <w:bookmarkStart w:id="38" w:name="_c153bff62ba30c0332abb439452ed632da6fb71"/>
      <w:r>
        <w:t xml:space="preserve">Numerical Stability Analysis</w:t>
      </w:r>
      <w:bookmarkEnd w:id="38"/>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39">
        <w:r>
          <w:rPr>
            <w:rStyle w:val="Hyperlink"/>
          </w:rPr>
          <w:t xml:space="preserve">analysis orchestrator</w:t>
        </w:r>
      </w:hyperlink>
      <w:r>
        <w:t xml:space="preserve"> </w:t>
      </w:r>
      <w:r>
        <w:t xml:space="preserve">execution deliberately aborts, ensuring the methodology cannot enter unrecoverable states.</w:t>
      </w:r>
    </w:p>
    <w:p>
      <w:pPr>
        <w:pStyle w:val="Heading3"/>
      </w:pPr>
      <w:bookmarkStart w:id="40" w:name="_8a9a47ee4fbeb1400481fc3d2f798782ac1dac1"/>
      <w:r>
        <w:t xml:space="preserve">Performance Benchmarking</w:t>
      </w:r>
      <w:bookmarkEnd w:id="40"/>
    </w:p>
    <w:p>
      <w:pPr>
        <w:pStyle w:val="FirstParagraph"/>
      </w:pPr>
      <w:r>
        <w:t xml:space="preserve">The analysis exercises</w:t>
      </w:r>
      <w:r>
        <w:t xml:space="preserve"> </w:t>
      </w:r>
      <w:hyperlink r:id="rId41">
        <w:r>
          <w:rPr>
            <w:rStyle w:val="VerbatimChar"/>
          </w:rPr>
          <w:t xml:space="preserve">infrastructure.scientific.benchmarking.benchmark_function</w:t>
        </w:r>
      </w:hyperlink>
      <w:r>
        <w:t xml:space="preserve"> </w:t>
      </w:r>
      <w:r>
        <w:t xml:space="preserve">as a runtime diagnostic. Host-dependent timing and memory observations are logged but excluded from tracked evidence. The canonical report records fixed inputs and exact objective values, while the dimensional figure reports deterministic convergence iterations and the proxy</w:t>
      </w:r>
      <w:r>
        <w:t xml:space="preserve"> </w:t>
      </w:r>
      <m:oMath>
        <m:r>
          <m:t>d</m:t>
        </m:r>
        <m:r>
          <m:rPr>
            <m:sty m:val="p"/>
          </m:rPr>
          <m:t>×</m:t>
        </m:r>
        <m:r>
          <m:rPr>
            <m:nor/>
          </m:rPr>
          <m:t>iterations</m:t>
        </m:r>
      </m:oMath>
      <w:r>
        <w:t xml:space="preserve">; neither surface claims that one host run proves an asymptotic bound.</w:t>
      </w:r>
    </w:p>
    <w:p>
      <w:pPr>
        <w:pStyle w:val="Heading2"/>
      </w:pPr>
      <w:bookmarkStart w:id="42" w:name="_2c0d1da179fe4d7ff820b27f45d3ae647011e77"/>
      <w:r>
        <w:t xml:space="preserve">Convergence Analysis</w:t>
      </w:r>
      <w:bookmarkEnd w:id="42"/>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bookmarkStart w:id="43" w:name="_859b80e59db9a06a66f234fe320a04690fa2cc7"/>
      <m:oMathPara>
        <m:oMathParaPr>
          <m:jc m:val="center"/>
        </m:oMathParaPr>
        <m:oMath>
          <m:r>
            <m:t>ρ</m:t>
          </m:r>
          <m:r>
            <m:rPr>
              <m:sty m:val="p"/>
            </m:rPr>
            <m:t>=</m:t>
          </m:r>
          <m:f>
            <m:fPr>
              <m:type m:val="bar"/>
            </m:fPr>
            <m:num>
              <m:r>
                <m:rPr>
                  <m:sty m:val="p"/>
                </m:rPr>
                <m:t>|</m:t>
              </m:r>
              <m:sSub>
                <m:e>
                  <m:r>
                    <m:t>λ</m:t>
                  </m:r>
                </m:e>
                <m:sub>
                  <m:r>
                    <m:rPr>
                      <m:sty m:val="p"/>
                    </m:rPr>
                    <m:t>max</m:t>
                  </m:r>
                </m:sub>
              </m:sSub>
              <m:r>
                <m:rPr>
                  <m:sty m:val="p"/>
                </m:rPr>
                <m:t>−</m:t>
              </m:r>
              <m:r>
                <m:t>α</m:t>
              </m:r>
              <m:sSub>
                <m:e>
                  <m:r>
                    <m:t>λ</m:t>
                  </m:r>
                </m:e>
                <m:sub>
                  <m:r>
                    <m:rPr>
                      <m:sty m:val="p"/>
                    </m:rPr>
                    <m:t>min</m:t>
                  </m:r>
                </m:sub>
              </m:sSub>
              <m:r>
                <m:rPr>
                  <m:sty m:val="p"/>
                </m:rPr>
                <m:t>|</m:t>
              </m:r>
            </m:num>
            <m:den>
              <m:r>
                <m:rPr>
                  <m:sty m:val="p"/>
                </m:rPr>
                <m:t>|</m:t>
              </m:r>
              <m:sSub>
                <m:e>
                  <m:r>
                    <m:t>λ</m:t>
                  </m:r>
                </m:e>
                <m:sub>
                  <m:r>
                    <m:rPr>
                      <m:sty m:val="p"/>
                    </m:rPr>
                    <m:t>min</m:t>
                  </m:r>
                </m:sub>
              </m:sSub>
              <m:r>
                <m:rPr>
                  <m:sty m:val="p"/>
                </m:rPr>
                <m:t>+</m:t>
              </m:r>
              <m:r>
                <m:t>α</m:t>
              </m:r>
              <m:sSub>
                <m:e>
                  <m:r>
                    <m:t>λ</m:t>
                  </m:r>
                </m:e>
                <m:sub>
                  <m:r>
                    <m:rPr>
                      <m:sty m:val="p"/>
                    </m:rPr>
                    <m:t>max</m:t>
                  </m:r>
                </m:sub>
              </m:sSub>
              <m:r>
                <m:rPr>
                  <m:sty m:val="p"/>
                </m:rPr>
                <m:t>|</m:t>
              </m:r>
            </m:den>
          </m:f>
          <m:r>
            <m:t>  </m:t>
          </m:r>
          <m:r>
            <m:rPr>
              <m:sty m:val="p"/>
            </m:rPr>
            <m:t>(</m:t>
          </m:r>
          <m:r>
            <m:t>3</m:t>
          </m:r>
          <m:r>
            <m:rPr>
              <m:sty m:val="p"/>
            </m:rPr>
            <m:t>)</m:t>
          </m:r>
        </m:oMath>
      </m:oMathPara>
      <w:bookmarkEnd w:id="43"/>
    </w:p>
    <w:p>
      <w:pPr>
        <w:pStyle w:val="FirstParagraph"/>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p>
      <w:pPr>
        <w:pStyle w:val="Heading2"/>
      </w:pPr>
      <w:bookmarkStart w:id="44" w:name="_927aaf54a6e3bb00d6ae747256ccca9fdbd5697"/>
      <w:r>
        <w:t xml:space="preserve">Experimental Setup</w:t>
      </w:r>
      <w:bookmarkEnd w:id="44"/>
    </w:p>
    <w:p>
      <w:pPr>
        <w:pStyle w:val="Heading3"/>
      </w:pPr>
      <w:bookmarkStart w:id="45" w:name="_70a5954fdcb3ede6750c33db307236bc492a23b"/>
      <w:r>
        <w:t xml:space="preserve">Step Size Analysis</w:t>
      </w:r>
      <w:bookmarkEnd w:id="45"/>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src/template_code_project/analysis/</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8"/>
        </w:numPr>
      </w:pPr>
      <m:oMath>
        <m:r>
          <m:t>α</m:t>
        </m:r>
        <m:r>
          <m:rPr>
            <m:sty m:val="p"/>
          </m:rPr>
          <m:t>=</m:t>
        </m:r>
        <m:r>
          <m:t>0.01</m:t>
        </m:r>
      </m:oMath>
      <w:r>
        <w:t xml:space="preserve"> </w:t>
      </w:r>
      <w:r>
        <w:t xml:space="preserve">(conservative)</w:t>
      </w:r>
    </w:p>
    <w:p>
      <w:pPr>
        <w:pStyle w:val="Compact"/>
        <w:numPr>
          <w:ilvl w:val="0"/>
          <w:numId w:val="1008"/>
        </w:numPr>
      </w:pPr>
      <m:oMath>
        <m:r>
          <m:t>α</m:t>
        </m:r>
        <m:r>
          <m:rPr>
            <m:sty m:val="p"/>
          </m:rPr>
          <m:t>=</m:t>
        </m:r>
        <m:r>
          <m:t>0.1</m:t>
        </m:r>
      </m:oMath>
      <w:r>
        <w:t xml:space="preserve"> </w:t>
      </w:r>
      <w:r>
        <w:t xml:space="preserve">(conservative)</w:t>
      </w:r>
    </w:p>
    <w:p>
      <w:pPr>
        <w:pStyle w:val="Compact"/>
        <w:numPr>
          <w:ilvl w:val="0"/>
          <w:numId w:val="1008"/>
        </w:numPr>
      </w:pPr>
      <m:oMath>
        <m:r>
          <m:t>α</m:t>
        </m:r>
        <m:r>
          <m:rPr>
            <m:sty m:val="p"/>
          </m:rPr>
          <m:t>=</m:t>
        </m:r>
        <m:r>
          <m:t>0.5</m:t>
        </m:r>
      </m:oMath>
      <w:r>
        <w:t xml:space="preserve"> </w:t>
      </w:r>
      <w:r>
        <w:t xml:space="preserve">(near-optimal)</w:t>
      </w:r>
    </w:p>
    <w:p>
      <w:pPr>
        <w:pStyle w:val="Compact"/>
        <w:numPr>
          <w:ilvl w:val="0"/>
          <w:numId w:val="1008"/>
        </w:numPr>
      </w:pPr>
      <m:oMath>
        <m:r>
          <m:t>α</m:t>
        </m:r>
        <m:r>
          <m:rPr>
            <m:sty m:val="p"/>
          </m:rPr>
          <m:t>=</m:t>
        </m:r>
        <m:r>
          <m:t>1.0</m:t>
        </m:r>
      </m:oMath>
      <w:r>
        <w:t xml:space="preserve"> </w:t>
      </w:r>
      <w:r>
        <w:t xml:space="preserve">(near-optimal)</w:t>
      </w:r>
    </w:p>
    <w:p>
      <w:pPr>
        <w:pStyle w:val="Compact"/>
        <w:numPr>
          <w:ilvl w:val="0"/>
          <w:numId w:val="1008"/>
        </w:numPr>
      </w:pPr>
      <m:oMath>
        <m:r>
          <m:t>α</m:t>
        </m:r>
        <m:r>
          <m:rPr>
            <m:sty m:val="p"/>
          </m:rPr>
          <m:t>=</m:t>
        </m:r>
        <m:r>
          <m:t>1.5</m:t>
        </m:r>
      </m:oMath>
      <w:r>
        <w:t xml:space="preserve"> </w:t>
      </w:r>
      <w:r>
        <w:t xml:space="preserve">(aggressive)</w:t>
      </w:r>
    </w:p>
    <w:p>
      <w:pPr>
        <w:pStyle w:val="Compact"/>
        <w:numPr>
          <w:ilvl w:val="0"/>
          <w:numId w:val="1008"/>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agency_category</w:t>
      </w:r>
      <w:r>
        <w:t xml:space="preserve"> </w:t>
      </w:r>
      <w:r>
        <w:t xml:space="preserve">in</w:t>
      </w:r>
      <w:r>
        <w:t xml:space="preserve"> </w:t>
      </w:r>
      <w:r>
        <w:rPr>
          <w:rStyle w:val="VerbatimChar"/>
        </w:rPr>
        <w:t xml:space="preserve">template_code_project.figures.viz_config</w:t>
      </w:r>
      <w:r>
        <w:t xml:space="preserve">):</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p>
      <w:pPr>
        <w:pStyle w:val="Heading3"/>
      </w:pPr>
      <w:bookmarkStart w:id="46" w:name="_acacbe1d7d571f2454829d3907c9d1c6a9b4e0a"/>
      <w:r>
        <w:t xml:space="preserve">Zero-Mock Testing Methodology</w:t>
      </w:r>
      <w:bookmarkEnd w:id="46"/>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projects/templates/template_code_project/tests/</w:t>
      </w:r>
      <w:r>
        <w:t xml:space="preserve"> </w:t>
      </w:r>
      <w:r>
        <w:t xml:space="preserve">during the infrastructure build phase (negative control: the repository lexical no-mock gate</w:t>
      </w:r>
      <w:r>
        <w:t xml:space="preserve"> </w:t>
      </w:r>
      <w:r>
        <w:rPr>
          <w:rStyle w:val="VerbatimChar"/>
        </w:rPr>
        <w:t xml:space="preserve">scripts/audit/verify_no_mocks.py --inventory</w:t>
      </w:r>
      <w:r>
        <w:t xml:space="preserve"> </w:t>
      </w:r>
      <w:r>
        <w:t xml:space="preserve">flags any prohibited mock import or call and fails on dependency-replacement debt).</w:t>
      </w:r>
    </w:p>
    <w:p>
      <w:pPr>
        <w:pStyle w:val="Compact"/>
        <w:numPr>
          <w:ilvl w:val="0"/>
          <w:numId w:val="1009"/>
        </w:numPr>
      </w:pPr>
      <w:r>
        <w:rPr>
          <w:b/>
          <w:bCs/>
        </w:rPr>
        <w:t xml:space="preserve">Project tests</w:t>
      </w:r>
      <w:r>
        <w:t xml:space="preserve">:</w:t>
      </w:r>
      <w:r>
        <w:t xml:space="preserve"> </w:t>
      </w:r>
      <w:hyperlink r:id="rId19">
        <w:r>
          <w:rPr>
            <w:rStyle w:val="Hyperlink"/>
          </w:rPr>
          <w:t xml:space="preserve">the project optimizer test suite</w:t>
        </w:r>
      </w:hyperlink>
      <w:r>
        <w:t xml:space="preserve"> </w:t>
      </w:r>
      <w:r>
        <w:t xml:space="preserve">exercises</w:t>
      </w:r>
      <w:r>
        <w:t xml:space="preserve"> </w:t>
      </w:r>
      <w:r>
        <w:rPr>
          <w:rStyle w:val="VerbatimChar"/>
        </w:rPr>
        <w:t xml:space="preserve">src/template_code_project/core/optimizer.py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47">
        <w:r>
          <w:rPr>
            <w:rStyle w:val="Hyperlink"/>
          </w:rPr>
          <w:t xml:space="preserve">the measured repository counts</w:t>
        </w:r>
      </w:hyperlink>
      <w:r>
        <w:t xml:space="preserve">.</w:t>
      </w:r>
    </w:p>
    <w:p>
      <w:pPr>
        <w:pStyle w:val="Compact"/>
        <w:numPr>
          <w:ilvl w:val="0"/>
          <w:numId w:val="1009"/>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9"/>
        </w:numPr>
      </w:pPr>
      <w:r>
        <w:rPr>
          <w:b/>
          <w:bCs/>
        </w:rPr>
        <w:t xml:space="preserve">Coverage Gates</w:t>
      </w:r>
      <w:r>
        <w:t xml:space="preserve">: The</w:t>
      </w:r>
      <w:r>
        <w:t xml:space="preserve"> </w:t>
      </w:r>
      <w:hyperlink r:id="rId22">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projects/templates/template_code_project/src/</w:t>
      </w:r>
      <w:r>
        <w:t xml:space="preserve"> </w:t>
      </w:r>
      <w:r>
        <w:t xml:space="preserve">prior to treating the project as build-green. Coverage below the floor fails the test process through</w:t>
      </w:r>
      <w:r>
        <w:t xml:space="preserve"> </w:t>
      </w:r>
      <w:r>
        <w:rPr>
          <w:rStyle w:val="VerbatimChar"/>
        </w:rPr>
        <w:t xml:space="preserve">--cov-fail-under</w:t>
      </w:r>
      <w:r>
        <w:t xml:space="preserve">, so build-green status cannot be reached while silently skipping weakened coverage.</w:t>
      </w:r>
      <w:r>
        <w:t xml:space="preserve"> </w:t>
      </w:r>
      <w:r>
        <w:t xml:space="preserve">Falling below that floor fails the gate outright (</w:t>
      </w:r>
      <w:r>
        <w:rPr>
          <w:rStyle w:val="VerbatimChar"/>
        </w:rPr>
        <w:t xml:space="preserve">--cov-fail-under</w:t>
      </w:r>
      <w:r>
        <w:t xml:space="preserve"> </w:t>
      </w:r>
      <w:r>
        <w:t xml:space="preserve">enforces it).</w:t>
      </w:r>
    </w:p>
    <w:p>
      <w:pPr>
        <w:pStyle w:val="Heading3"/>
      </w:pPr>
      <w:bookmarkStart w:id="48" w:name="_6d17a3750d69d3507ce1d3ef7a5808de467bd19"/>
      <w:r>
        <w:t xml:space="preserve">Stopping rule and reporting</w:t>
      </w:r>
      <w:bookmarkEnd w:id="48"/>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when</w:t>
      </w:r>
      <w:r>
        <w:t xml:space="preserve"> </w:t>
      </w:r>
      <m:oMath>
        <m:r>
          <m:t>k</m:t>
        </m:r>
      </m:oMath>
      <w:r>
        <w:t xml:space="preserve"> </w:t>
      </w:r>
      <w:r>
        <w:t xml:space="preserve">reaches</w:t>
      </w:r>
      <w:r>
        <w:t xml:space="preserve"> </w:t>
      </w:r>
      <w:r>
        <w:rPr>
          <w:rStyle w:val="VerbatimChar"/>
        </w:rPr>
        <w:t xml:space="preserve">experiment.max_iterations</w:t>
      </w:r>
      <w:r>
        <w:t xml:space="preserve">, or when an objective, gradient, or update becomes non-finite. The boolean</w:t>
      </w:r>
      <w:r>
        <w:t xml:space="preserve"> </w:t>
      </w:r>
      <w:r>
        <w:rPr>
          <w:rStyle w:val="VerbatimChar"/>
        </w:rPr>
        <w:t xml:space="preserve">converged</w:t>
      </w:r>
      <w:r>
        <w:t xml:space="preserve"> </w:t>
      </w:r>
      <w:r>
        <w:t xml:space="preserve">plus</w:t>
      </w:r>
      <w:r>
        <w:t xml:space="preserve"> </w:t>
      </w:r>
      <w:r>
        <w:rPr>
          <w:rStyle w:val="VerbatimChar"/>
        </w:rPr>
        <w:t xml:space="preserve">termination_reason</w:t>
      </w:r>
      <w:r>
        <w:t xml:space="preserve"> </w:t>
      </w:r>
      <w:r>
        <w:t xml:space="preserve">in exported CSV rows distinguish these outcomes. A non-finite candidate is rejected before it enters</w:t>
      </w:r>
      <w:r>
        <w:t xml:space="preserve"> </w:t>
      </w:r>
      <w:r>
        <w:rPr>
          <w:rStyle w:val="VerbatimChar"/>
        </w:rPr>
        <w:t xml:space="preserve">objective_history</w:t>
      </w:r>
      <w:r>
        <w:t xml:space="preserve">, preserving the last finite state for reproducible reporting.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p>
      <w:pPr>
        <w:pStyle w:val="Heading3"/>
      </w:pPr>
      <w:bookmarkStart w:id="49" w:name="_e0a17b6d7ae86f88574414e2554588e49c3dce8"/>
      <w:r>
        <w:t xml:space="preserve">Figure generation contract</w:t>
      </w:r>
      <w:bookmarkEnd w:id="49"/>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src/template_code_project/figures/</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src/template_code_project/analysis/</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p>
      <w:pPr>
        <w:pStyle w:val="BodyText"/>
      </w:pPr>
      <w:r>
        <w:t xml:space="preserve">The same generator writes explicit</w:t>
      </w:r>
      <w:r>
        <w:t xml:space="preserve"> </w:t>
      </w:r>
      <w:r>
        <w:rPr>
          <w:rStyle w:val="VerbatimChar"/>
        </w:rPr>
        <w:t xml:space="preserve">metadata.alt_text</w:t>
      </w:r>
      <w:r>
        <w:t xml:space="preserve"> </w:t>
      </w:r>
      <w:r>
        <w:t xml:space="preserve">for every registered</w:t>
      </w:r>
      <w:r>
        <w:t xml:space="preserve"> </w:t>
      </w:r>
      <w:r>
        <w:t xml:space="preserve">figure. The alt text states what the visual encodes and preserves the boundary</w:t>
      </w:r>
      <w:r>
        <w:t xml:space="preserve"> </w:t>
      </w:r>
      <w:r>
        <w:t xml:space="preserve">between deterministic observations and host-dependent diagnostics. Run the</w:t>
      </w:r>
      <w:r>
        <w:t xml:space="preserve"> </w:t>
      </w:r>
      <w:r>
        <w:t xml:space="preserve">opt-in publication migration gate with</w:t>
      </w:r>
      <w:r>
        <w:t xml:space="preserve"> </w:t>
      </w:r>
      <w:r>
        <w:rPr>
          <w:rStyle w:val="VerbatimChar"/>
        </w:rPr>
        <w:t xml:space="preserve">--require-figure-accessibility</w:t>
      </w:r>
      <w:r>
        <w:t xml:space="preserve"> </w:t>
      </w:r>
      <w:r>
        <w:t xml:space="preserve">to verify that every referenced figure has</w:t>
      </w:r>
      <w:r>
        <w:t xml:space="preserve"> </w:t>
      </w:r>
      <w:r>
        <w:t xml:space="preserve">this metadata before promotion.</w:t>
      </w:r>
    </w:p>
    <w:p>
      <w:pPr>
        <w:pStyle w:val="Heading2"/>
      </w:pPr>
      <w:bookmarkStart w:id="50" w:name="_e8c964fb28fc9d2308c090dd828cc810451fbf6"/>
      <w:r>
        <w:t xml:space="preserve">Analysis Pipeline &amp; LaTeX Integration</w:t>
      </w:r>
      <w:bookmarkEnd w:id="50"/>
    </w:p>
    <w:p>
      <w:pPr>
        <w:pStyle w:val="FirstParagraph"/>
      </w:pPr>
      <w:r>
        <w:t xml:space="preserve">The automated analysis script leverages</w:t>
      </w:r>
      <w:r>
        <w:t xml:space="preserve"> </w:t>
      </w:r>
      <w:hyperlink r:id="rId51">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p>
      <w:r>
        <w:br w:type="page"/>
      </w:r>
    </w:p>
    <w:p>
      <w:pPr>
        <w:pStyle w:val="Heading1"/>
      </w:pPr>
      <w:bookmarkStart w:id="52" w:name="_a28f169358a053f7b171a621bd02ee9ea3d1d28"/>
      <w:r>
        <w:t xml:space="preserve">Results</w:t>
      </w:r>
      <w:bookmarkEnd w:id="52"/>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34">
        <w:r>
          <w:rPr>
            <w:rStyle w:val="Hyperlink"/>
          </w:rPr>
          <w:t xml:space="preserve">optimization analysis script</w:t>
        </w:r>
      </w:hyperlink>
      <w:r>
        <w:t xml:space="preserve">. No manual transcription was permitted.</w:t>
      </w:r>
    </w:p>
    <w:p>
      <w:pPr>
        <w:pStyle w:val="Heading2"/>
      </w:pPr>
      <w:bookmarkStart w:id="53" w:name="_0907e43771bcd0e3100a094e71f3bf713cda7a3"/>
      <w:r>
        <w:t xml:space="preserve">Convergence Analysis</w:t>
      </w:r>
      <w:bookmarkEnd w:id="53"/>
    </w:p>
    <w:p>
      <w:pPr>
        <w:pStyle w:val="Heading3"/>
      </w:pPr>
      <w:bookmarkStart w:id="54" w:name="_f7545e405d3354c891c933805b3dffdef561a67"/>
      <w:r>
        <w:t xml:space="preserve">Convergence Trajectories</w:t>
      </w:r>
      <w:bookmarkEnd w:id="54"/>
    </w:p>
    <w:p>
      <w:pPr>
        <w:pStyle w:val="FirstParagraph"/>
      </w:pPr>
      <w:r>
        <w:t xml:space="preserve">fig. 1 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58" w:name="_e10875b5c60d7a9fe91d42e5e1e80d06a6fb0b4"/>
    <w:p>
      <w:pPr>
        <w:pStyle w:val="CaptionedFigure"/>
      </w:pPr>
      <w:r>
        <w:drawing>
          <wp:inline>
            <wp:extent cx="5334000" cy="3707780"/>
            <wp:effectExtent b="0" l="0" r="0" t="0"/>
            <wp:docPr descr="Figure 1: Objective value f(x_k)=\tfrac{1}{2}x_k^2 - x_k versus iteration k for gradient descent at six step sizes (legend colours follow the agency taxonomy in sec. 3: blue = conservative, green = near-optimal, orange = aggressive, red = divergent). Trajectories are produced by simulate_trajectory() in src/template_code_project/core/optimizer.py, which calls the same gradient_descent() used in tbl. 1; the upper bound on the y-axis clips the divergent \alpha=2.5 curve so that stable trajectories remain visible. Dashed grey reference line marks the analytic optimum f(x^\ast)=-0.5. Fastest configuration in this experiment: \alpha=1.0 converges in 1 iteration(s)." title="" id="56" name="Picture"/>
            <a:graphic>
              <a:graphicData uri="http://schemas.openxmlformats.org/drawingml/2006/picture">
                <pic:pic>
                  <pic:nvPicPr>
                    <pic:cNvPr descr="../figures/convergence_plot.png" id="57" name="Picture"/>
                    <pic:cNvPicPr>
                      <a:picLocks noChangeArrowheads="1" noChangeAspect="1"/>
                    </pic:cNvPicPr>
                  </pic:nvPicPr>
                  <pic:blipFill>
                    <a:blip r:embed="rId55"/>
                    <a:stretch>
                      <a:fillRect/>
                    </a:stretch>
                  </pic:blipFill>
                  <pic:spPr bwMode="auto">
                    <a:xfrm>
                      <a:off x="0" y="0"/>
                      <a:ext cx="5334000" cy="3707780"/>
                    </a:xfrm>
                    <a:prstGeom prst="rect">
                      <a:avLst/>
                    </a:prstGeom>
                    <a:noFill/>
                    <a:ln w="9525">
                      <a:noFill/>
                      <a:headEnd/>
                      <a:tailEnd/>
                    </a:ln>
                  </pic:spPr>
                </pic:pic>
              </a:graphicData>
            </a:graphic>
          </wp:inline>
        </w:drawing>
      </w:r>
    </w:p>
    <w:p>
      <w:pPr>
        <w:pStyle w:val="ImageCaption"/>
      </w:pPr>
      <w:r>
        <w:t xml:space="preserve">Figure 1: 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 sec. 3: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src/template_code_project/core/optimizer.py</w:t>
      </w:r>
      <w:r>
        <w:t xml:space="preserve">, which calls the same</w:t>
      </w:r>
      <w:r>
        <w:t xml:space="preserve"> </w:t>
      </w:r>
      <w:r>
        <w:rPr>
          <w:rStyle w:val="VerbatimChar"/>
        </w:rPr>
        <w:t xml:space="preserve">gradient_descent()</w:t>
      </w:r>
      <w:r>
        <w:t xml:space="preserve"> </w:t>
      </w:r>
      <w:r>
        <w:t xml:space="preserve">used in tbl. 1;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58"/>
    <w:p>
      <w:pPr>
        <w:pStyle w:val="FirstParagraph"/>
      </w:pPr>
      <w:r>
        <w:rPr>
          <w:b/>
          <w:bCs/>
        </w:rPr>
        <w:t xml:space="preserve">Key observations from fig. 1:</w:t>
      </w:r>
    </w:p>
    <w:p>
      <w:pPr>
        <w:pStyle w:val="Compact"/>
        <w:numPr>
          <w:ilvl w:val="0"/>
          <w:numId w:val="1010"/>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10"/>
        </w:numPr>
      </w:pPr>
      <w:r>
        <w:rPr>
          <w:b/>
          <w:bCs/>
        </w:rPr>
        <w:t xml:space="preserve">Agency categories</w:t>
      </w:r>
      <w:r>
        <w:t xml:space="preserve">: Conservative (</w:t>
      </w:r>
      <m:oMath>
        <m:r>
          <m:t>α</m:t>
        </m:r>
        <m:r>
          <m:rPr>
            <m:sty m:val="p"/>
          </m:rPr>
          <m:t>&lt;</m:t>
        </m:r>
        <m:r>
          <m:t>0.3</m:t>
        </m:r>
      </m:oMath>
      <w:r>
        <w:t xml:space="preserve">; in this grid</w:t>
      </w:r>
      <w:r>
        <w:t xml:space="preserve"> </w:t>
      </w:r>
      <m:oMath>
        <m:r>
          <m:t>α</m:t>
        </m:r>
        <m:r>
          <m:rPr>
            <m:sty m:val="p"/>
          </m:rPr>
          <m:t>=</m:t>
        </m:r>
        <m:r>
          <m:t>0.01</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10"/>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p>
      <w:pPr>
        <w:pStyle w:val="Heading3"/>
      </w:pPr>
      <w:bookmarkStart w:id="59" w:name="_1d2963bd9d23ebb24686071d37055976204854a"/>
      <w:r>
        <w:t xml:space="preserve">Step Size Sensitivity Analysis</w:t>
      </w:r>
      <w:bookmarkEnd w:id="59"/>
    </w:p>
    <w:p>
      <w:pPr>
        <w:pStyle w:val="FirstParagraph"/>
      </w:pPr>
      <w:r>
        <w:t xml:space="preserve">fig. 2 examines how the choice of step size affects the convergence path and solution quality. The analysis reveals the trade-off between convergence speed and numerical stability.</w:t>
      </w:r>
    </w:p>
    <w:bookmarkStart w:id="63" w:name="_9d376491a95989a043e47cabdcd323d4cf17767"/>
    <w:p>
      <w:pPr>
        <w:pStyle w:val="CaptionedFigure"/>
      </w:pPr>
      <w:r>
        <w:drawing>
          <wp:inline>
            <wp:extent cx="5334000" cy="2250763"/>
            <wp:effectExtent b="0" l="0" r="0" t="0"/>
            <wp:docPr descr="Figure 2: Sensitivity sweep produced by generate_step_size_sensitivity_plot() over an independent dense grid \alpha \in [0.005, 0.4] (10 points), distinct from the discrete experiment.step_sizes used elsewhere in this section. Left: iterations to convergence on log–log axes — the curve drops sharply from 500 iterations at the smallest \alpha (the max_iterations cap in this sub-experiment) to 37 iterations at \alpha=0.4, illustrating the geometric speedup as \rho(\alpha)=|1-\alpha| shrinks. Right: final f(x) versus \alpha with horizontal reference lines at f(x_0)=0 (initial) and f(x^\ast)=-0.5 (analytic optimum); every \alpha in this stable window lands on the optimum." title="" id="61" name="Picture"/>
            <a:graphic>
              <a:graphicData uri="http://schemas.openxmlformats.org/drawingml/2006/picture">
                <pic:pic>
                  <pic:nvPicPr>
                    <pic:cNvPr descr="../figures/step_size_sensitivity.png" id="62" name="Picture"/>
                    <pic:cNvPicPr>
                      <a:picLocks noChangeArrowheads="1" noChangeAspect="1"/>
                    </pic:cNvPicPr>
                  </pic:nvPicPr>
                  <pic:blipFill>
                    <a:blip r:embed="rId60"/>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2: 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(10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500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37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63"/>
    <w:p>
      <w:pPr>
        <w:pStyle w:val="Heading2"/>
      </w:pPr>
      <w:bookmarkStart w:id="64" w:name="_4670f17c296d1e3ce673bbc117b49c7743ff766"/>
      <w:r>
        <w:t xml:space="preserve">Quantitative Results</w:t>
      </w:r>
      <w:bookmarkEnd w:id="64"/>
    </w:p>
    <w:p>
      <w:pPr>
        <w:pStyle w:val="FirstParagraph"/>
      </w:pPr>
      <w:r>
        <w:t xml:space="preserve">The optimization analysis writes</w:t>
      </w:r>
      <w:r>
        <w:t xml:space="preserve"> </w:t>
      </w:r>
      <w:r>
        <w:rPr>
          <w:rStyle w:val="VerbatimChar"/>
        </w:rPr>
        <w:t xml:space="preserve">output/data/optimization_results.csv</w:t>
      </w:r>
      <w:r>
        <w:t xml:space="preserve"> </w:t>
      </w:r>
      <w:r>
        <w:t xml:space="preserve">through</w:t>
      </w:r>
      <w:r>
        <w:t xml:space="preserve"> </w:t>
      </w:r>
      <w:r>
        <w:rPr>
          <w:rStyle w:val="VerbatimChar"/>
        </w:rPr>
        <w:t xml:space="preserve">template_code_project.analysis.experiments.save_optimization_results</w:t>
      </w:r>
      <w:r>
        <w:t xml:space="preserve">, orchestrated by</w:t>
      </w:r>
      <w:r>
        <w:t xml:space="preserve"> </w:t>
      </w:r>
      <w:r>
        <w:rPr>
          <w:rStyle w:val="VerbatimChar"/>
        </w:rPr>
        <w:t xml:space="preserve">projects/templates/template_code_project/scripts/optimization_analysis.py</w:t>
      </w:r>
      <w:r>
        <w:t xml:space="preserve">. That CSV is the source of truth for tbl. 1; the supported</w:t>
      </w:r>
      <w:r>
        <w:t xml:space="preserve"> </w:t>
      </w:r>
      <w:hyperlink r:id="rId65">
        <w:r>
          <w:rPr>
            <w:rStyle w:val="VerbatimChar"/>
          </w:rPr>
          <w:t xml:space="preserve">infrastructure.reporting</w:t>
        </w:r>
      </w:hyperlink>
      <w:r>
        <w:t xml:space="preserve"> </w:t>
      </w:r>
      <w:r>
        <w:t xml:space="preserve">API supplies reusable pipeline and cross-project summaries.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66" w:name="_8a04e4e59be3d1d3235c1daf1f75f2dc51bc128"/>
    <w:p>
      <w:pPr>
        <w:pStyle w:val="TableCaption"/>
      </w:pPr>
      <w:r>
        <w:t xml:space="preserve">Table 1: 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and its structured termination reason. A</w:t>
      </w:r>
      <w:r>
        <w:t xml:space="preserve"> </w:t>
      </w:r>
      <w:r>
        <w:rPr>
          <w:rStyle w:val="VerbatimChar"/>
        </w:rPr>
        <w:t xml:space="preserve">non_finite</w:t>
      </w:r>
      <w:r>
        <w:t xml:space="preserve"> </w:t>
      </w:r>
      <w:r>
        <w:t xml:space="preserve">row stops before an overflowing update is serialized and retains the last finite iterate.</w:t>
      </w:r>
    </w:p>
    <w:tbl>
      <w:tblPr>
        <w:tblStyle w:val="Table"/>
        <w:tblW w:type="pct" w:w="5000"/>
        <w:tblLayout w:type="fixed"/>
        <w:tblLook w:firstRow="1" w:lastRow="0" w:firstColumn="0" w:lastColumn="0" w:noHBand="0" w:noVBand="0" w:val="0020"/>
        <w:tblCaption w:val="Table 1: Gradient descent outcomes per configured step size: state at termination, iteration count capped by N_{\max} = 1000, the converged flag from gradient_descent() using \|\nabla f\| &lt; 10^{-8}, and its structured termination reason. A non_finite row stops before an overflowing update is serialized and retains the last finite iterate."/>
      </w:tblPr>
      <w:tblGrid>
        <w:gridCol w:w="1414"/>
        <w:gridCol w:w="1508"/>
        <w:gridCol w:w="1602"/>
        <w:gridCol w:w="1131"/>
        <w:gridCol w:w="1037"/>
        <w:gridCol w:w="1225"/>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c>
          <w:tcPr/>
          <w:p>
            <w:pPr>
              <w:pStyle w:val="Compact"/>
            </w:pPr>
            <w:r>
              <w:t xml:space="preserve">Termination</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c>
          <w:tcPr/>
          <w:p>
            <w:pPr>
              <w:pStyle w:val="Compact"/>
            </w:pPr>
            <w:r>
              <w:t xml:space="preserve">max_iterations</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c>
          <w:tcPr/>
          <w:p>
            <w:pPr>
              <w:pStyle w:val="Compact"/>
            </w:pPr>
            <w:r>
              <w:t xml:space="preserve">converged</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c>
          <w:tcPr/>
          <w:p>
            <w:pPr>
              <w:pStyle w:val="Compact"/>
            </w:pPr>
            <w:r>
              <w:t xml:space="preserve">converged</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2.50</w:t>
            </w:r>
          </w:p>
        </w:tc>
        <w:tc>
          <w:tcPr/>
          <w:p>
            <w:pPr>
              <w:pStyle w:val="Compact"/>
            </w:pPr>
            <w:r>
              <w:t xml:space="preserve">-1.8028e+154</w:t>
            </w:r>
          </w:p>
        </w:tc>
        <w:tc>
          <w:tcPr/>
          <w:p>
            <w:pPr>
              <w:pStyle w:val="Compact"/>
            </w:pPr>
            <w:r>
              <w:t xml:space="preserve">1.6250e+308</w:t>
            </w:r>
          </w:p>
        </w:tc>
        <w:tc>
          <w:tcPr/>
          <w:p>
            <w:pPr>
              <w:pStyle w:val="Compact"/>
            </w:pPr>
            <w:r>
              <w:t xml:space="preserve">876</w:t>
            </w:r>
          </w:p>
        </w:tc>
        <w:tc>
          <w:tcPr/>
          <w:p>
            <w:pPr>
              <w:pStyle w:val="Compact"/>
            </w:pPr>
            <w:r>
              <w:t xml:space="preserve">No</w:t>
            </w:r>
          </w:p>
        </w:tc>
        <w:tc>
          <w:tcPr/>
          <w:p>
            <w:pPr>
              <w:pStyle w:val="Compact"/>
            </w:pPr>
            <w:r>
              <w:t xml:space="preserve">non_finite</w:t>
            </w:r>
          </w:p>
        </w:tc>
      </w:tr>
    </w:tbl>
    <w:bookmarkEnd w:id="66"/>
    <w:p>
      <w:pPr>
        <w:pStyle w:val="Heading2"/>
      </w:pPr>
      <w:bookmarkStart w:id="67" w:name="_d37908b18825479a675cb2be956d41efc6f0466"/>
      <w:r>
        <w:t xml:space="preserve">Convergence Rate Analysis</w:t>
      </w:r>
      <w:bookmarkEnd w:id="67"/>
    </w:p>
    <w:p>
      <w:pPr>
        <w:pStyle w:val="Heading3"/>
      </w:pPr>
      <w:bookmarkStart w:id="68" w:name="_9a10707767efc1f8a0db54ba1150fdc4971f04a"/>
      <w:r>
        <w:t xml:space="preserve">Theoretical vs Empirical Convergence</w:t>
      </w:r>
      <w:bookmarkEnd w:id="68"/>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fig. 3 provides a comparative analysis of convergence rates across different step sizes, validating theoretical predictions against empirical results.</w:t>
      </w:r>
    </w:p>
    <w:bookmarkStart w:id="72" w:name="_316d52f68827a3a8b9808da7083e6bf5fb2df8c"/>
    <w:p>
      <w:pPr>
        <w:pStyle w:val="CaptionedFigure"/>
      </w:pPr>
      <w:r>
        <w:drawing>
          <wp:inline>
            <wp:extent cx="5334000" cy="3754843"/>
            <wp:effectExtent b="0" l="0" r="0" t="0"/>
            <wp:docPr descr="Figure 3: Absolute objective error |f(x_k)-f(x^\ast)| versus iteration on a logarithmic y-axis, generated by generate_convergence_rate_plot(). Stable step sizes produce straight lines whose slopes equal 2\log_{10}\rho(\alpha) (per eq. 5); \alpha=1.0 (\rho=0) collapses to the optimum in one step (vertical green line at k=1); \alpha=1.5 (orange) descends fastest among the multi-step contractions because \rho=0.5; the divergent \alpha=2.5 curve (red) climbs upward at slope 2\log_{10}(1.5). Horizontal dashed line marks the gradient-norm tolerance \varepsilon = 10^{-8} read from experiment.convergence_tolerance." title="" id="70" name="Picture"/>
            <a:graphic>
              <a:graphicData uri="http://schemas.openxmlformats.org/drawingml/2006/picture">
                <pic:pic>
                  <pic:nvPicPr>
                    <pic:cNvPr descr="../figures/convergence_rate_comparison.png" id="71" name="Picture"/>
                    <pic:cNvPicPr>
                      <a:picLocks noChangeArrowheads="1" noChangeAspect="1"/>
                    </pic:cNvPicPr>
                  </pic:nvPicPr>
                  <pic:blipFill>
                    <a:blip r:embed="rId69"/>
                    <a:stretch>
                      <a:fillRect/>
                    </a:stretch>
                  </pic:blipFill>
                  <pic:spPr bwMode="auto">
                    <a:xfrm>
                      <a:off x="0" y="0"/>
                      <a:ext cx="5334000" cy="3754843"/>
                    </a:xfrm>
                    <a:prstGeom prst="rect">
                      <a:avLst/>
                    </a:prstGeom>
                    <a:noFill/>
                    <a:ln w="9525">
                      <a:noFill/>
                      <a:headEnd/>
                      <a:tailEnd/>
                    </a:ln>
                  </pic:spPr>
                </pic:pic>
              </a:graphicData>
            </a:graphic>
          </wp:inline>
        </w:drawing>
      </w:r>
    </w:p>
    <w:p>
      <w:pPr>
        <w:pStyle w:val="ImageCaption"/>
      </w:pPr>
      <w:r>
        <w:t xml:space="preserve">Figure 3: 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 eq. 5);</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72"/>
    <w:p>
      <w:pPr>
        <w:pStyle w:val="FirstParagraph"/>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p>
    <w:p>
      <w:pPr>
        <w:pStyle w:val="BodyText"/>
      </w:pPr>
      <w:bookmarkStart w:id="73" w:name="_bbf9c3c5748ecc77b996e65ee6c005482ac1470"/>
      <m:oMathPara>
        <m:oMathParaPr>
          <m:jc m:val="center"/>
        </m:oMathParaPr>
        <m:oMath>
          <m:sSub>
            <m:e>
              <m:r>
                <m:t>x</m:t>
              </m:r>
            </m:e>
            <m:sub>
              <m:r>
                <m:t>k</m:t>
              </m:r>
              <m:r>
                <m:rPr>
                  <m:sty m:val="p"/>
                </m:rPr>
                <m:t>+</m:t>
              </m:r>
              <m:r>
                <m:t>1</m:t>
              </m:r>
            </m:sub>
          </m:sSub>
          <m:r>
            <m:rPr>
              <m:sty m:val="p"/>
            </m:rPr>
            <m:t>−</m:t>
          </m:r>
          <m:sSup>
            <m:e>
              <m:r>
                <m:t>x</m:t>
              </m:r>
            </m:e>
            <m:sup>
              <m:r>
                <m:rPr>
                  <m:sty m:val="p"/>
                </m:rPr>
                <m:t>*</m:t>
              </m:r>
            </m:sup>
          </m:sSup>
          <m:r>
            <m:rPr>
              <m:sty m:val="p"/>
            </m:rPr>
            <m:t>=</m:t>
          </m:r>
          <m:r>
            <m:rPr>
              <m:sty m:val="p"/>
            </m:rPr>
            <m:t>(</m:t>
          </m:r>
          <m:r>
            <m:t>1</m:t>
          </m:r>
          <m:r>
            <m:rPr>
              <m:sty m:val="p"/>
            </m:rPr>
            <m:t>−</m:t>
          </m:r>
          <m:r>
            <m:t>α</m:t>
          </m:r>
          <m:r>
            <m:rPr>
              <m:sty m:val="p"/>
            </m:rPr>
            <m:t>)</m:t>
          </m:r>
          <m:r>
            <m:rPr>
              <m:sty m:val="p"/>
            </m:rPr>
            <m:t>(</m:t>
          </m:r>
          <m:sSub>
            <m:e>
              <m:r>
                <m:t>x</m:t>
              </m:r>
            </m:e>
            <m:sub>
              <m:r>
                <m:t>k</m:t>
              </m:r>
            </m:sub>
          </m:sSub>
          <m:r>
            <m:rPr>
              <m:sty m:val="p"/>
            </m:rPr>
            <m:t>−</m:t>
          </m:r>
          <m:sSup>
            <m:e>
              <m:r>
                <m:t>x</m:t>
              </m:r>
            </m:e>
            <m:sup>
              <m:r>
                <m:rPr>
                  <m:sty m:val="p"/>
                </m:rPr>
                <m:t>*</m:t>
              </m:r>
            </m:sup>
          </m:sSup>
          <m:r>
            <m:rPr>
              <m:sty m:val="p"/>
            </m:rPr>
            <m:t>)</m:t>
          </m:r>
          <m:r>
            <m:rPr>
              <m:sty m:val="p"/>
            </m:rPr>
            <m:t>,</m:t>
          </m:r>
          <m:r>
            <m:t>  </m:t>
          </m:r>
          <m:r>
            <m:rPr>
              <m:sty m:val="p"/>
            </m:rPr>
            <m:t>(</m:t>
          </m:r>
          <m:r>
            <m:t>4</m:t>
          </m:r>
          <m:r>
            <m:rPr>
              <m:sty m:val="p"/>
            </m:rPr>
            <m:t>)</m:t>
          </m:r>
        </m:oMath>
      </m:oMathPara>
      <w:bookmarkEnd w:id="73"/>
    </w:p>
    <w:p>
      <w:pPr>
        <w:pStyle w:val="FirstParagraph"/>
      </w:pP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p>
    <w:p>
      <w:pPr>
        <w:pStyle w:val="BodyText"/>
      </w:pPr>
      <w:bookmarkStart w:id="74" w:name="_3d9aaa09830521ee7444151aee0d5109053249c"/>
      <m:oMathPara>
        <m:oMathParaPr>
          <m:jc m:val="center"/>
        </m:oMathParaPr>
        <m:oMath>
          <m:r>
            <m:rPr>
              <m:sty m:val="p"/>
            </m:rPr>
            <m:t>|</m:t>
          </m:r>
          <m:r>
            <m:t>f</m:t>
          </m:r>
          <m:r>
            <m:rPr>
              <m:sty m:val="p"/>
            </m:rPr>
            <m:t>(</m:t>
          </m:r>
          <m:sSub>
            <m:e>
              <m:r>
                <m:t>x</m:t>
              </m:r>
            </m:e>
            <m:sub>
              <m:r>
                <m:t>k</m:t>
              </m:r>
              <m:r>
                <m:rPr>
                  <m:sty m:val="p"/>
                </m:rPr>
                <m:t>+</m:t>
              </m:r>
              <m:r>
                <m:t>1</m:t>
              </m:r>
            </m:sub>
          </m:sSub>
          <m:r>
            <m:rPr>
              <m:sty m:val="p"/>
            </m:rPr>
            <m:t>)</m:t>
          </m:r>
          <m:r>
            <m:rPr>
              <m:sty m:val="p"/>
            </m:rPr>
            <m:t>−</m:t>
          </m:r>
          <m:r>
            <m:t>f</m:t>
          </m:r>
          <m:r>
            <m:rPr>
              <m:sty m:val="p"/>
            </m:rPr>
            <m:t>(</m:t>
          </m:r>
          <m:sSup>
            <m:e>
              <m:r>
                <m:t>x</m:t>
              </m:r>
            </m:e>
            <m:sup>
              <m:r>
                <m:rPr>
                  <m:sty m:val="p"/>
                </m:rPr>
                <m:t>*</m:t>
              </m:r>
            </m:sup>
          </m:sSup>
          <m:r>
            <m:rPr>
              <m:sty m:val="p"/>
            </m:rPr>
            <m:t>)</m:t>
          </m:r>
          <m:r>
            <m:rPr>
              <m:sty m:val="p"/>
            </m:rPr>
            <m:t>|</m:t>
          </m:r>
          <m:r>
            <m:rPr>
              <m:sty m:val="p"/>
            </m:rPr>
            <m:t>≈</m:t>
          </m:r>
          <m:r>
            <m:t>ρ</m:t>
          </m:r>
          <m:r>
            <m:rPr>
              <m:sty m:val="p"/>
            </m:rPr>
            <m:t>(</m:t>
          </m:r>
          <m:r>
            <m:t>α</m:t>
          </m:r>
          <m:sSup>
            <m:e>
              <m:r>
                <m:rPr>
                  <m:sty m:val="p"/>
                </m:rPr>
                <m:t>)</m:t>
              </m:r>
            </m:e>
            <m:sup>
              <m:r>
                <m:t>2</m:t>
              </m:r>
            </m:sup>
          </m:sSup>
          <m:r>
            <m:t> </m:t>
          </m:r>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r>
            <m:t>  </m:t>
          </m:r>
          <m:r>
            <m:rPr>
              <m:sty m:val="p"/>
            </m:rPr>
            <m:t>(</m:t>
          </m:r>
          <m:r>
            <m:t>5</m:t>
          </m:r>
          <m:r>
            <m:rPr>
              <m:sty m:val="p"/>
            </m:rPr>
            <m:t>)</m:t>
          </m:r>
        </m:oMath>
      </m:oMathPara>
      <w:bookmarkEnd w:id="74"/>
    </w:p>
    <w:p>
      <w:pPr>
        <w:pStyle w:val="FirstParagraph"/>
      </w:pP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 eq. 5), which explains the straight-line segments on the log–error plot in fig. 3 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p>
      <w:pPr>
        <w:pStyle w:val="Heading3"/>
      </w:pPr>
      <w:bookmarkStart w:id="75" w:name="_a84a667b401263ddb2aec8cdb5b6d17c017fbee"/>
      <w:r>
        <w:t xml:space="preserve">Error Bounds</w:t>
      </w:r>
      <w:bookmarkEnd w:id="75"/>
    </w:p>
    <w:p>
      <w:pPr>
        <w:pStyle w:val="FirstParagraph"/>
      </w:pPr>
      <w:r>
        <w:t xml:space="preserve">The error after</w:t>
      </w:r>
      <w:r>
        <w:t xml:space="preserve"> </w:t>
      </w:r>
      <m:oMath>
        <m:r>
          <m:t>k</m:t>
        </m:r>
      </m:oMath>
      <w:r>
        <w:t xml:space="preserve"> </w:t>
      </w:r>
      <w:r>
        <w:t xml:space="preserve">iterations is bounded geometrically by eq. 6:</w:t>
      </w:r>
    </w:p>
    <w:p>
      <w:pPr>
        <w:pStyle w:val="BodyText"/>
      </w:pPr>
      <w:bookmarkStart w:id="76" w:name="_82160f85754198c623b2f2c6f663829b8de794d"/>
      <m:oMathPara>
        <m:oMathParaPr>
          <m:jc m:val="center"/>
        </m:oMathParaPr>
        <m:oMath>
          <m:r>
            <m:rPr>
              <m:sty m:val="p"/>
            </m:rPr>
            <m:t>∥</m:t>
          </m:r>
          <m:sSub>
            <m:e>
              <m:r>
                <m:t>x</m:t>
              </m:r>
            </m:e>
            <m:sub>
              <m:r>
                <m:t>k</m:t>
              </m:r>
            </m:sub>
          </m:sSub>
          <m:r>
            <m:rPr>
              <m:sty m:val="p"/>
            </m:rPr>
            <m:t>−</m:t>
          </m:r>
          <m:sSup>
            <m:e>
              <m:r>
                <m:t>x</m:t>
              </m:r>
            </m:e>
            <m:sup>
              <m:r>
                <m:rPr>
                  <m:sty m:val="p"/>
                </m:rPr>
                <m:t>*</m:t>
              </m:r>
            </m:sup>
          </m:sSup>
          <m:r>
            <m:rPr>
              <m:sty m:val="p"/>
            </m:rPr>
            <m:t>∥</m:t>
          </m:r>
          <m:r>
            <m:rPr>
              <m:sty m:val="p"/>
            </m:rPr>
            <m:t>≤</m:t>
          </m:r>
          <m:sSup>
            <m:e>
              <m:d>
                <m:dPr>
                  <m:begChr m:val="("/>
                  <m:sepChr m:val=""/>
                  <m:endChr m:val=")"/>
                  <m:grow/>
                </m:dPr>
                <m:e>
                  <m:f>
                    <m:fPr>
                      <m:type m:val="bar"/>
                    </m:fPr>
                    <m:num>
                      <m:r>
                        <m:t>κ</m:t>
                      </m:r>
                      <m:r>
                        <m:rPr>
                          <m:sty m:val="p"/>
                        </m:rPr>
                        <m:t>−</m:t>
                      </m:r>
                      <m:r>
                        <m:t>1</m:t>
                      </m:r>
                    </m:num>
                    <m:den>
                      <m:r>
                        <m:t>κ</m:t>
                      </m:r>
                      <m:r>
                        <m:rPr>
                          <m:sty m:val="p"/>
                        </m:rPr>
                        <m:t>+</m:t>
                      </m:r>
                      <m:r>
                        <m:t>1</m:t>
                      </m:r>
                    </m:den>
                  </m:f>
                </m:e>
              </m:d>
            </m:e>
            <m:sup>
              <m:r>
                <m:t>k</m:t>
              </m:r>
            </m:sup>
          </m:sSup>
          <m:r>
            <m:rPr>
              <m:sty m:val="p"/>
            </m:rPr>
            <m:t>∥</m:t>
          </m:r>
          <m:sSub>
            <m:e>
              <m:r>
                <m:t>x</m:t>
              </m:r>
            </m:e>
            <m:sub>
              <m:r>
                <m:t>0</m:t>
              </m:r>
            </m:sub>
          </m:sSub>
          <m:r>
            <m:rPr>
              <m:sty m:val="p"/>
            </m:rPr>
            <m:t>−</m:t>
          </m:r>
          <m:sSup>
            <m:e>
              <m:r>
                <m:t>x</m:t>
              </m:r>
            </m:e>
            <m:sup>
              <m:r>
                <m:rPr>
                  <m:sty m:val="p"/>
                </m:rPr>
                <m:t>*</m:t>
              </m:r>
            </m:sup>
          </m:sSup>
          <m:r>
            <m:rPr>
              <m:sty m:val="p"/>
            </m:rPr>
            <m:t>∥</m:t>
          </m:r>
          <m:r>
            <m:t>  </m:t>
          </m:r>
          <m:r>
            <m:rPr>
              <m:sty m:val="p"/>
            </m:rPr>
            <m:t>(</m:t>
          </m:r>
          <m:r>
            <m:t>6</m:t>
          </m:r>
          <m:r>
            <m:rPr>
              <m:sty m:val="p"/>
            </m:rPr>
            <m:t>)</m:t>
          </m:r>
        </m:oMath>
      </m:oMathPara>
      <w:bookmarkEnd w:id="76"/>
    </w:p>
    <w:p>
      <w:pPr>
        <w:pStyle w:val="FirstParagraph"/>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(eq. 4).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 tbl. 1 and figs. 1-3 ground these statements in the numbers produced by this repository run.</w:t>
      </w:r>
    </w:p>
    <w:p>
      <w:pPr>
        <w:pStyle w:val="Heading3"/>
      </w:pPr>
      <w:bookmarkStart w:id="77" w:name="_079b76defb5511074988513b898e5c599688463"/>
      <w:r>
        <w:t xml:space="preserve">Performance Metrics</w:t>
      </w:r>
      <w:bookmarkEnd w:id="77"/>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bookmarkStart w:id="78" w:name="_91e94250f41589342141317346a8c1c3268566f"/>
      <m:oMathPara>
        <m:oMathParaPr>
          <m:jc m:val="center"/>
        </m:oMathParaPr>
        <m:oMath>
          <m:r>
            <m:t>k</m:t>
          </m:r>
          <m:r>
            <m:rPr>
              <m:sty m:val="p"/>
            </m:rPr>
            <m:t>≥</m:t>
          </m:r>
          <m:f>
            <m:fPr>
              <m:type m:val="bar"/>
            </m:fPr>
            <m:num>
              <m:r>
                <m:rPr>
                  <m:sty m:val="p"/>
                </m:rPr>
                <m:t>log</m:t>
              </m:r>
              <m:r>
                <m:rPr>
                  <m:sty m:val="p"/>
                </m:rPr>
                <m:t>(</m:t>
              </m:r>
              <m:r>
                <m:t>ϵ</m:t>
              </m:r>
              <m:r>
                <m:rPr>
                  <m:sty m:val="p"/>
                </m:rPr>
                <m:t>)</m:t>
              </m:r>
            </m:num>
            <m:den>
              <m:r>
                <m:rPr>
                  <m:sty m:val="p"/>
                </m:rPr>
                <m:t>log</m:t>
              </m:r>
              <m:r>
                <m:rPr>
                  <m:sty m:val="p"/>
                </m:rPr>
                <m:t>(</m:t>
              </m:r>
              <m:r>
                <m:t>ρ</m:t>
              </m:r>
              <m:r>
                <m:rPr>
                  <m:sty m:val="p"/>
                </m:rPr>
                <m:t>)</m:t>
              </m:r>
            </m:den>
          </m:f>
          <m:r>
            <m:t>  </m:t>
          </m:r>
          <m:r>
            <m:rPr>
              <m:sty m:val="p"/>
            </m:rPr>
            <m:t>(</m:t>
          </m:r>
          <m:r>
            <m:t>7</m:t>
          </m:r>
          <m:r>
            <m:rPr>
              <m:sty m:val="p"/>
            </m:rPr>
            <m:t>)</m:t>
          </m:r>
        </m:oMath>
      </m:oMathPara>
      <w:bookmarkEnd w:id="78"/>
    </w:p>
    <w:p>
      <w:pPr>
        <w:pStyle w:val="FirstParagraph"/>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 eq. 7) are:</w:t>
      </w:r>
    </w:p>
    <w:p>
      <w:pPr>
        <w:pStyle w:val="Compact"/>
        <w:numPr>
          <w:ilvl w:val="0"/>
          <w:numId w:val="1011"/>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1"/>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p>
      <w:pPr>
        <w:pStyle w:val="Heading2"/>
      </w:pPr>
      <w:bookmarkStart w:id="79" w:name="_649b0a9787469806d8018d6432357d6d04ae02e"/>
      <w:r>
        <w:t xml:space="preserve">Performance Analysis</w:t>
      </w:r>
      <w:bookmarkEnd w:id="79"/>
    </w:p>
    <w:p>
      <w:pPr>
        <w:pStyle w:val="Heading3"/>
      </w:pPr>
      <w:bookmarkStart w:id="80" w:name="_914228c1ab7a2c2676f699ed3a78d9669f9cf25"/>
      <w:r>
        <w:t xml:space="preserve">Convergence Speed</w:t>
      </w:r>
      <w:bookmarkEnd w:id="80"/>
    </w:p>
    <w:p>
      <w:pPr>
        <w:pStyle w:val="FirstParagraph"/>
      </w:pPr>
      <w:r>
        <w:t xml:space="preserve">The results show a clear trade-off between step size and convergence speed:</w:t>
      </w:r>
    </w:p>
    <w:p>
      <w:pPr>
        <w:pStyle w:val="Compact"/>
        <w:numPr>
          <w:ilvl w:val="0"/>
          <w:numId w:val="1012"/>
        </w:numPr>
      </w:pPr>
      <w:r>
        <w:t xml:space="preserve">Small step sizes require more iterations but provide stable convergence</w:t>
      </w:r>
    </w:p>
    <w:p>
      <w:pPr>
        <w:pStyle w:val="Compact"/>
        <w:numPr>
          <w:ilvl w:val="0"/>
          <w:numId w:val="1012"/>
        </w:numPr>
      </w:pPr>
      <w:r>
        <w:t xml:space="preserve">Large step sizes converge faster but may be less stable in more complex problems</w:t>
      </w:r>
    </w:p>
    <w:p>
      <w:pPr>
        <w:pStyle w:val="Heading3"/>
      </w:pPr>
      <w:bookmarkStart w:id="81" w:name="_09acb01767a362c8113cbaab444f3ab984ce9c2"/>
      <w:r>
        <w:t xml:space="preserve">Solution Accuracy</w:t>
      </w:r>
      <w:bookmarkEnd w:id="81"/>
    </w:p>
    <w:p>
      <w:pPr>
        <w:pStyle w:val="FirstParagraph"/>
      </w:pPr>
      <w:r>
        <w:t xml:space="preserve">4 of 6 tested step sizes achieved the analytical optimum within numerical precision:</w:t>
      </w:r>
    </w:p>
    <w:p>
      <w:pPr>
        <w:pStyle w:val="Compact"/>
        <w:numPr>
          <w:ilvl w:val="0"/>
          <w:numId w:val="1013"/>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3"/>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For a positive-definite quadratic, contraction requires</w:t>
      </w:r>
      <w:r>
        <w:t xml:space="preserve"> </w:t>
      </w:r>
      <m:oMath>
        <m:r>
          <m:t>0</m:t>
        </m:r>
        <m:r>
          <m:rPr>
            <m:sty m:val="p"/>
          </m:rPr>
          <m:t>&lt;</m:t>
        </m:r>
        <m:r>
          <m:t>α</m:t>
        </m:r>
        <m:r>
          <m:rPr>
            <m:sty m:val="p"/>
          </m:rPr>
          <m:t>&lt;</m:t>
        </m:r>
        <m:r>
          <m:t>2</m:t>
        </m:r>
        <m:r>
          <m:rPr>
            <m:sty m:val="p"/>
          </m:rPr>
          <m:t>/</m:t>
        </m:r>
        <m:sSub>
          <m:e>
            <m:r>
              <m:t>λ</m:t>
            </m:r>
          </m:e>
          <m:sub>
            <m:r>
              <m:rPr>
                <m:sty m:val="p"/>
              </m:rPr>
              <m:t>max</m:t>
            </m:r>
          </m:sub>
        </m:sSub>
      </m:oMath>
      <w:r>
        <w:t xml:space="preserve">. At the unit-Hessian boundary</w:t>
      </w:r>
      <w:r>
        <w:t xml:space="preserve"> </w:t>
      </w:r>
      <m:oMath>
        <m:r>
          <m:t>α</m:t>
        </m:r>
        <m:r>
          <m:rPr>
            <m:sty m:val="p"/>
          </m:rPr>
          <m:t>=</m:t>
        </m:r>
        <m:r>
          <m:t>2</m:t>
        </m:r>
      </m:oMath>
      <w:r>
        <w:t xml:space="preserve">, the error alternates without contracting; for</w:t>
      </w:r>
      <w:r>
        <w:t xml:space="preserve"> </w:t>
      </w:r>
      <m:oMath>
        <m:r>
          <m:t>α</m:t>
        </m:r>
        <m:r>
          <m:rPr>
            <m:sty m:val="p"/>
          </m:rPr>
          <m:t>&gt;</m:t>
        </m:r>
        <m:r>
          <m:t>2</m:t>
        </m:r>
      </m:oMath>
      <w:r>
        <w:t xml:space="preserve">, it grows when the initial point is not already the optimum. The configured divergent runs therefore illustrate the instability region rather than uniform convergence.</w:t>
      </w:r>
    </w:p>
    <w:p>
      <w:pPr>
        <w:pStyle w:val="Heading2"/>
      </w:pPr>
      <w:bookmarkStart w:id="82" w:name="_0d06dd014b88d655f447d56dea7eb67bf9220da"/>
      <w:r>
        <w:t xml:space="preserve">Algorithm Characteristics</w:t>
      </w:r>
      <w:bookmarkEnd w:id="82"/>
    </w:p>
    <w:p>
      <w:pPr>
        <w:pStyle w:val="Heading3"/>
      </w:pPr>
      <w:bookmarkStart w:id="83" w:name="_strengths"/>
      <w:r>
        <w:t xml:space="preserve">Strengths</w:t>
      </w:r>
      <w:bookmarkEnd w:id="83"/>
    </w:p>
    <w:p>
      <w:pPr>
        <w:pStyle w:val="Compact"/>
        <w:numPr>
          <w:ilvl w:val="0"/>
          <w:numId w:val="1014"/>
        </w:numPr>
      </w:pPr>
      <w:r>
        <w:rPr>
          <w:b/>
          <w:bCs/>
        </w:rPr>
        <w:t xml:space="preserve">Simplicity</w:t>
      </w:r>
      <w:r>
        <w:t xml:space="preserve">: Easy to implement and understand</w:t>
      </w:r>
    </w:p>
    <w:p>
      <w:pPr>
        <w:pStyle w:val="Compact"/>
        <w:numPr>
          <w:ilvl w:val="0"/>
          <w:numId w:val="1014"/>
        </w:numPr>
      </w:pPr>
      <w:r>
        <w:rPr>
          <w:b/>
          <w:bCs/>
        </w:rPr>
        <w:t xml:space="preserve">Generality</w:t>
      </w:r>
      <w:r>
        <w:t xml:space="preserve">: Applicable to any differentiable objective function</w:t>
      </w:r>
    </w:p>
    <w:p>
      <w:pPr>
        <w:pStyle w:val="Compact"/>
        <w:numPr>
          <w:ilvl w:val="0"/>
          <w:numId w:val="1014"/>
        </w:numPr>
      </w:pPr>
      <w:r>
        <w:rPr>
          <w:b/>
          <w:bCs/>
        </w:rPr>
        <w:t xml:space="preserve">Reliability</w:t>
      </w:r>
      <w:r>
        <w:t xml:space="preserve">: Converges for convex functions under appropriate conditions</w:t>
      </w:r>
    </w:p>
    <w:p>
      <w:pPr>
        <w:pStyle w:val="Heading3"/>
      </w:pPr>
      <w:bookmarkStart w:id="84" w:name="_limitations"/>
      <w:r>
        <w:t xml:space="preserve">Limitations</w:t>
      </w:r>
      <w:bookmarkEnd w:id="84"/>
    </w:p>
    <w:p>
      <w:pPr>
        <w:pStyle w:val="Compact"/>
        <w:numPr>
          <w:ilvl w:val="0"/>
          <w:numId w:val="1015"/>
        </w:numPr>
      </w:pPr>
      <w:r>
        <w:rPr>
          <w:b/>
          <w:bCs/>
        </w:rPr>
        <w:t xml:space="preserve">Step size sensitivity</w:t>
      </w:r>
      <w:r>
        <w:t xml:space="preserve">: Performance depends critically on step size selection</w:t>
      </w:r>
    </w:p>
    <w:p>
      <w:pPr>
        <w:pStyle w:val="Compact"/>
        <w:numPr>
          <w:ilvl w:val="0"/>
          <w:numId w:val="1015"/>
        </w:numPr>
      </w:pPr>
      <w:r>
        <w:rPr>
          <w:b/>
          <w:bCs/>
        </w:rPr>
        <w:t xml:space="preserve">Local convergence</w:t>
      </w:r>
      <w:r>
        <w:t xml:space="preserve">: May converge to local minima in non-convex problems</w:t>
      </w:r>
    </w:p>
    <w:p>
      <w:pPr>
        <w:pStyle w:val="Compact"/>
        <w:numPr>
          <w:ilvl w:val="0"/>
          <w:numId w:val="1015"/>
        </w:numPr>
      </w:pPr>
      <w:r>
        <w:rPr>
          <w:b/>
          <w:bCs/>
        </w:rPr>
        <w:t xml:space="preserve">Fixed step size</w:t>
      </w:r>
      <w:r>
        <w:t xml:space="preserve">: No adaptation to problem characteristics</w:t>
      </w:r>
    </w:p>
    <w:p>
      <w:pPr>
        <w:pStyle w:val="Heading2"/>
      </w:pPr>
      <w:bookmarkStart w:id="85" w:name="_c400fa7ebec8d855325beae38e0b9fd17098ab1"/>
      <w:r>
        <w:t xml:space="preserve">Computational Performance</w:t>
      </w:r>
      <w:bookmarkEnd w:id="85"/>
    </w:p>
    <w:p>
      <w:pPr>
        <w:pStyle w:val="Heading3"/>
      </w:pPr>
      <w:bookmarkStart w:id="86" w:name="_3e91d5a46c6bc7c19128068fd1337e9ed3c04dd"/>
      <w:r>
        <w:t xml:space="preserve">Algorithm Complexity Visualization</w:t>
      </w:r>
      <w:bookmarkEnd w:id="86"/>
    </w:p>
    <w:p>
      <w:pPr>
        <w:pStyle w:val="FirstParagraph"/>
      </w:pPr>
      <w:r>
        <w:t xml:space="preserve">fig. 4 provides a visualization of the algorithm’s computational characteristics, including time and space complexity analysis across different problem scales.</w:t>
      </w:r>
    </w:p>
    <w:bookmarkStart w:id="90" w:name="_500fa7a7342fe2825036c4ce73b26abf18c3a68"/>
    <w:p>
      <w:pPr>
        <w:pStyle w:val="CaptionedFigure"/>
      </w:pPr>
      <w:r>
        <w:drawing>
          <wp:inline>
            <wp:extent cx="5334000" cy="6237349"/>
            <wp:effectExtent b="0" l="0" r="0" t="0"/>
            <wp:docPr descr="Figure 4: Six-panel diagnostic from generate_complexity_visualization() (3×2 grid)." title="" id="88" name="Picture"/>
            <a:graphic>
              <a:graphicData uri="http://schemas.openxmlformats.org/drawingml/2006/picture">
                <pic:pic>
                  <pic:nvPicPr>
                    <pic:cNvPr descr="../figures/algorithm_complexity.png" id="89" name="Picture"/>
                    <pic:cNvPicPr>
                      <a:picLocks noChangeArrowheads="1" noChangeAspect="1"/>
                    </pic:cNvPicPr>
                  </pic:nvPicPr>
                  <pic:blipFill>
                    <a:blip r:embed="rId87"/>
                    <a:stretch>
                      <a:fillRect/>
                    </a:stretch>
                  </pic:blipFill>
                  <pic:spPr bwMode="auto">
                    <a:xfrm>
                      <a:off x="0" y="0"/>
                      <a:ext cx="5334000" cy="6237349"/>
                    </a:xfrm>
                    <a:prstGeom prst="rect">
                      <a:avLst/>
                    </a:prstGeom>
                    <a:noFill/>
                    <a:ln w="9525">
                      <a:noFill/>
                      <a:headEnd/>
                      <a:tailEnd/>
                    </a:ln>
                  </pic:spPr>
                </pic:pic>
              </a:graphicData>
            </a:graphic>
          </wp:inline>
        </w:drawing>
      </w:r>
    </w:p>
    <w:p>
      <w:pPr>
        <w:pStyle w:val="ImageCaption"/>
      </w:pPr>
      <w:r>
        <w:t xml:space="preserve">Figure 4: Six-panel diagnostic from</w:t>
      </w:r>
      <w:r>
        <w:t xml:space="preserve"> </w:t>
      </w:r>
      <w:r>
        <w:rPr>
          <w:rStyle w:val="VerbatimChar"/>
        </w:rPr>
        <w:t xml:space="preserve">generate_complexity_visualization()</w:t>
      </w:r>
      <w:r>
        <w:t xml:space="preserve"> </w:t>
      </w:r>
      <w:r>
        <w:t xml:space="preserve">(3×2 grid).</w:t>
      </w:r>
    </w:p>
    <w:bookmarkEnd w:id="90"/>
    <w:p>
      <w:pPr>
        <w:pStyle w:val="FirstParagraph"/>
      </w:pPr>
      <w:r>
        <w:t xml:space="preserve">The panels in fig. 4 encode the following diagnostics:</w:t>
      </w:r>
    </w:p>
    <w:p>
      <w:pPr>
        <w:pStyle w:val="Compact"/>
        <w:numPr>
          <w:ilvl w:val="0"/>
          <w:numId w:val="1016"/>
        </w:numPr>
      </w:pP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saturates at the iteration cap</w:t>
      </w:r>
      <w:r>
        <w:t xml:space="preserve"> </w:t>
      </w:r>
      <m:oMath>
        <m:sSub>
          <m:e>
            <m:r>
              <m:t>N</m:t>
            </m:r>
          </m:e>
          <m:sub>
            <m:r>
              <m:rPr>
                <m:sty m:val="p"/>
              </m:rPr>
              <m:t>max</m:t>
            </m:r>
          </m:sub>
        </m:sSub>
        <m:r>
          <m:rPr>
            <m:sty m:val="p"/>
          </m:rPr>
          <m:t>=</m:t>
        </m:r>
        <m:r>
          <m:t>1000</m:t>
        </m:r>
      </m:oMath>
      <w:r>
        <w:t xml:space="preserve"> </w:t>
      </w:r>
      <w:r>
        <w:t xml:space="preserve">(slow convergence) and</w:t>
      </w:r>
      <w:r>
        <w:t xml:space="preserve"> </w:t>
      </w:r>
      <m:oMath>
        <m:r>
          <m:t>α</m:t>
        </m:r>
        <m:r>
          <m:rPr>
            <m:sty m:val="p"/>
          </m:rPr>
          <m:t>=</m:t>
        </m:r>
        <m:r>
          <m:t>2.5</m:t>
        </m:r>
      </m:oMath>
      <w:r>
        <w:t xml:space="preserve"> </w:t>
      </w:r>
      <w:r>
        <w:t xml:space="preserve">terminates early via a</w:t>
      </w:r>
      <w:r>
        <w:t xml:space="preserve"> </w:t>
      </w:r>
      <w:r>
        <w:rPr>
          <w:rStyle w:val="VerbatimChar"/>
        </w:rPr>
        <w:t xml:space="preserve">non_finite</w:t>
      </w:r>
      <w:r>
        <w:t xml:space="preserve"> </w:t>
      </w:r>
      <w:r>
        <w:t xml:space="preserve">update (divergence).</w:t>
      </w:r>
    </w:p>
    <w:p>
      <w:pPr>
        <w:pStyle w:val="Compact"/>
        <w:numPr>
          <w:ilvl w:val="0"/>
          <w:numId w:val="1016"/>
        </w:numPr>
      </w:pP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p>
    <w:p>
      <w:pPr>
        <w:pStyle w:val="Compact"/>
        <w:numPr>
          <w:ilvl w:val="0"/>
          <w:numId w:val="1016"/>
        </w:numPr>
      </w:pPr>
      <w:r>
        <w:rPr>
          <w:b/>
          <w:bCs/>
        </w:rPr>
        <w:t xml:space="preserve">Middle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p>
    <w:p>
      <w:pPr>
        <w:pStyle w:val="Compact"/>
        <w:numPr>
          <w:ilvl w:val="0"/>
          <w:numId w:val="1016"/>
        </w:numPr>
      </w:pPr>
      <w:r>
        <w:rPr>
          <w:b/>
          <w:bCs/>
        </w:rPr>
        <w:t xml:space="preserve">Middle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(eq. 4); the dashed reference at</w:t>
      </w:r>
      <w:r>
        <w:t xml:space="preserve"> </w:t>
      </w:r>
      <m:oMath>
        <m:r>
          <m:t>ρ</m:t>
        </m:r>
        <m:r>
          <m:rPr>
            <m:sty m:val="p"/>
          </m:rPr>
          <m:t>=</m:t>
        </m:r>
        <m:r>
          <m:t>1</m:t>
        </m:r>
      </m:oMath>
      <w:r>
        <w:t xml:space="preserve"> </w:t>
      </w:r>
      <w:r>
        <w:t xml:space="preserve">separates stable bars (left of it) from divergent ones (right).</w:t>
      </w:r>
    </w:p>
    <w:p>
      <w:pPr>
        <w:pStyle w:val="Compact"/>
        <w:numPr>
          <w:ilvl w:val="0"/>
          <w:numId w:val="1016"/>
        </w:numPr>
      </w:pPr>
      <w:r>
        <w:rPr>
          <w:b/>
          <w:bCs/>
        </w:rPr>
        <w:t xml:space="preserve">Bottom left</w:t>
      </w:r>
      <w:r>
        <w:t xml:space="preserve">: stable step-size region width</w:t>
      </w:r>
      <w:r>
        <w:t xml:space="preserve"> </w:t>
      </w:r>
      <m:oMath>
        <m:r>
          <m:t>2</m:t>
        </m:r>
        <m:r>
          <m:rPr>
            <m:sty m:val="p"/>
          </m:rPr>
          <m:t>/</m:t>
        </m:r>
        <m:r>
          <m:t>L</m:t>
        </m:r>
      </m:oMath>
      <w:r>
        <w:t xml:space="preserve"> </w:t>
      </w:r>
      <w:r>
        <w:t xml:space="preserve">per backend profile (</w:t>
      </w:r>
      <m:oMath>
        <m:r>
          <m:t>H</m:t>
        </m:r>
        <m:r>
          <m:rPr>
            <m:sty m:val="p"/>
          </m:rPr>
          <m:t>=</m:t>
        </m:r>
        <m:r>
          <m:t>I</m:t>
        </m:r>
        <m:r>
          <m:rPr>
            <m:sty m:val="p"/>
          </m:rPr>
          <m:t>,</m:t>
        </m:r>
        <m:r>
          <m:t>2</m:t>
        </m:r>
        <m:r>
          <m:t>I</m:t>
        </m:r>
        <m:r>
          <m:rPr>
            <m:sty m:val="p"/>
          </m:rPr>
          <m:t>,</m:t>
        </m:r>
        <m:r>
          <m:t>5</m:t>
        </m:r>
        <m:r>
          <m:t>I</m:t>
        </m:r>
        <m:r>
          <m:rPr>
            <m:sty m:val="p"/>
          </m:rPr>
          <m:t>,</m:t>
        </m:r>
        <m:r>
          <m:t>10</m:t>
        </m:r>
        <m:r>
          <m:t>I</m:t>
        </m:r>
      </m:oMath>
      <w:r>
        <w:t xml:space="preserve">) with the optimal</w:t>
      </w:r>
      <w:r>
        <w:t xml:space="preserve"> </w:t>
      </w:r>
      <m:oMath>
        <m:sSup>
          <m:e>
            <m:r>
              <m:t>α</m:t>
            </m:r>
          </m:e>
          <m:sup>
            <m:r>
              <m:rPr>
                <m:sty m:val="p"/>
              </m:rPr>
              <m:t>*</m:t>
            </m:r>
          </m:sup>
        </m:sSup>
        <m:r>
          <m:rPr>
            <m:sty m:val="p"/>
          </m:rPr>
          <m:t>=</m:t>
        </m:r>
        <m:r>
          <m:t>1</m:t>
        </m:r>
        <m:r>
          <m:rPr>
            <m:sty m:val="p"/>
          </m:rPr>
          <m:t>/</m:t>
        </m:r>
        <m:r>
          <m:t>L</m:t>
        </m:r>
      </m:oMath>
      <w:r>
        <w:t xml:space="preserve"> </w:t>
      </w:r>
      <w:r>
        <w:t xml:space="preserve">overlaid.</w:t>
      </w:r>
    </w:p>
    <w:p>
      <w:pPr>
        <w:pStyle w:val="Compact"/>
        <w:numPr>
          <w:ilvl w:val="0"/>
          <w:numId w:val="1016"/>
        </w:numPr>
      </w:pPr>
      <w:r>
        <w:rPr>
          <w:b/>
          <w:bCs/>
        </w:rPr>
        <w:t xml:space="preserve">Bottom right</w:t>
      </w:r>
      <w:r>
        <w:t xml:space="preserve">: cross-profile contraction curves</w:t>
      </w:r>
      <w:r>
        <w:t xml:space="preserve"> </w:t>
      </w:r>
      <m:oMath>
        <m:r>
          <m:t>ρ</m:t>
        </m:r>
        <m:r>
          <m:rPr>
            <m:sty m:val="p"/>
          </m:rPr>
          <m:t>(</m:t>
        </m:r>
        <m:r>
          <m:t>α</m:t>
        </m:r>
        <m:r>
          <m:rPr>
            <m:sty m:val="p"/>
          </m:rPr>
          <m:t>)</m:t>
        </m:r>
        <m:r>
          <m:rPr>
            <m:sty m:val="p"/>
          </m:rPr>
          <m:t>=</m:t>
        </m:r>
        <m:r>
          <m:rPr>
            <m:sty m:val="p"/>
          </m:rPr>
          <m:t>|</m:t>
        </m:r>
        <m:r>
          <m:t>1</m:t>
        </m:r>
        <m:r>
          <m:rPr>
            <m:sty m:val="p"/>
          </m:rPr>
          <m:t>−</m:t>
        </m:r>
        <m:r>
          <m:t>α</m:t>
        </m:r>
        <m:r>
          <m:t>L</m:t>
        </m:r>
        <m:r>
          <m:rPr>
            <m:sty m:val="p"/>
          </m:rPr>
          <m:t>|</m:t>
        </m:r>
      </m:oMath>
      <w:r>
        <w:t xml:space="preserve"> </w:t>
      </w:r>
      <w:r>
        <w:t xml:space="preserve">with dotted verticals at each</w:t>
      </w:r>
      <w:r>
        <w:t xml:space="preserve"> </w:t>
      </w:r>
      <m:oMath>
        <m:r>
          <m:t>2</m:t>
        </m:r>
        <m:r>
          <m:rPr>
            <m:sty m:val="p"/>
          </m:rPr>
          <m:t>/</m:t>
        </m:r>
        <m:r>
          <m:t>L</m:t>
        </m:r>
      </m:oMath>
      <w:r>
        <w:t xml:space="preserve"> </w:t>
      </w:r>
      <w:r>
        <w:t xml:space="preserve">stability boundary.</w:t>
      </w:r>
    </w:p>
    <w:p>
      <w:pPr>
        <w:pStyle w:val="FirstParagraph"/>
      </w:pPr>
      <w:r>
        <w:t xml:space="preserve">The algorithm demonstrates efficient performance for small-scale optimization problems:</w:t>
      </w:r>
    </w:p>
    <w:p>
      <w:pPr>
        <w:pStyle w:val="Compact"/>
        <w:numPr>
          <w:ilvl w:val="0"/>
          <w:numId w:val="1017"/>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7"/>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7"/>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351 iterations</w:t>
      </w:r>
    </w:p>
    <w:p>
      <w:pPr>
        <w:pStyle w:val="Compact"/>
        <w:numPr>
          <w:ilvl w:val="0"/>
          <w:numId w:val="1017"/>
        </w:numPr>
      </w:pPr>
      <w:r>
        <w:rPr>
          <w:b/>
          <w:bCs/>
        </w:rPr>
        <w:t xml:space="preserve">Scalability</w:t>
      </w:r>
      <w:r>
        <w:t xml:space="preserve">: Memory-efficient implementation suitable for high-dimensional problems</w:t>
      </w:r>
    </w:p>
    <w:p>
      <w:pPr>
        <w:pStyle w:val="Heading3"/>
      </w:pPr>
      <w:bookmarkStart w:id="91" w:name="_c234742d8bcf26a7a84bf5905061225bdeebff8"/>
      <w:r>
        <w:t xml:space="preserve">Performance Benchmarking</w:t>
      </w:r>
      <w:bookmarkEnd w:id="91"/>
    </w:p>
    <w:p>
      <w:pPr>
        <w:pStyle w:val="FirstParagraph"/>
      </w:pPr>
      <w:r>
        <w:t xml:space="preserve">fig. 5 shows deterministic computational work and convergence iterations for</w:t>
      </w:r>
      <w:r>
        <w:t xml:space="preserve"> </w:t>
      </w:r>
      <w:r>
        <w:rPr>
          <w:rStyle w:val="VerbatimChar"/>
        </w:rPr>
        <w:t xml:space="preserve">gradient_descent()</w:t>
      </w:r>
      <w:r>
        <w:t xml:space="preserve"> </w:t>
      </w:r>
      <w:r>
        <w:t xml:space="preserve">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95" w:name="_de429f8bef43ff56d09f642cec105172cb0547c"/>
    <w:p>
      <w:pPr>
        <w:pStyle w:val="CaptionedFigure"/>
      </w:pPr>
      <w:r>
        <w:drawing>
          <wp:inline>
            <wp:extent cx="5334000" cy="2251305"/>
            <wp:effectExtent b="0" l="0" r="0" t="0"/>
            <wp:docPr descr="Figure 5: Deterministic dimensional benchmark from generate_benchmark_visualization(). Dimensions d \in \{1, 2, 5, 10, 20, 50\} run on identity-Hessian quadratics with \alpha=0.1 and gradient tolerance 10^{-10}. Left: the implementation-independent work proxy d \times \text{iterations}, proportional to scalar elements processed by the dense matrix-vector update. Right: exact iterations to convergence. Wall-clock microseconds are intentionally excluded because they vary with hardware and host load. The similar iteration counts are expected because \kappa(I_d)=1 and the contraction factor \rho=|1-\alpha|=0.9 is dimension-independent." title="" id="93" name="Picture"/>
            <a:graphic>
              <a:graphicData uri="http://schemas.openxmlformats.org/drawingml/2006/picture">
                <pic:pic>
                  <pic:nvPicPr>
                    <pic:cNvPr descr="../figures/performance_benchmark.png" id="94" name="Picture"/>
                    <pic:cNvPicPr>
                      <a:picLocks noChangeArrowheads="1" noChangeAspect="1"/>
                    </pic:cNvPicPr>
                  </pic:nvPicPr>
                  <pic:blipFill>
                    <a:blip r:embed="rId92"/>
                    <a:stretch>
                      <a:fillRect/>
                    </a:stretch>
                  </pic:blipFill>
                  <pic:spPr bwMode="auto">
                    <a:xfrm>
                      <a:off x="0" y="0"/>
                      <a:ext cx="5334000" cy="2251305"/>
                    </a:xfrm>
                    <a:prstGeom prst="rect">
                      <a:avLst/>
                    </a:prstGeom>
                    <a:noFill/>
                    <a:ln w="9525">
                      <a:noFill/>
                      <a:headEnd/>
                      <a:tailEnd/>
                    </a:ln>
                  </pic:spPr>
                </pic:pic>
              </a:graphicData>
            </a:graphic>
          </wp:inline>
        </w:drawing>
      </w:r>
    </w:p>
    <w:p>
      <w:pPr>
        <w:pStyle w:val="ImageCaption"/>
      </w:pPr>
      <w:r>
        <w:t xml:space="preserve">Figure 5: Deterministic dimensional benchmark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w:t>
      </w:r>
      <w:r>
        <w:t xml:space="preserve"> </w:t>
      </w:r>
      <w:r>
        <w:rPr>
          <w:b/>
          <w:bCs/>
        </w:rPr>
        <w:t xml:space="preserve">Left</w:t>
      </w:r>
      <w:r>
        <w:t xml:space="preserve">: the implementation-independent work proxy</w:t>
      </w:r>
      <w:r>
        <w:t xml:space="preserve"> </w:t>
      </w:r>
      <m:oMath>
        <m:r>
          <m:t>d</m:t>
        </m:r>
        <m:r>
          <m:rPr>
            <m:sty m:val="p"/>
          </m:rPr>
          <m:t>×</m:t>
        </m:r>
        <m:r>
          <m:rPr>
            <m:nor/>
          </m:rPr>
          <m:t>iterations</m:t>
        </m:r>
      </m:oMath>
      <w:r>
        <w:t xml:space="preserve">, proportional to scalar elements processed by the dense matrix-vector update.</w:t>
      </w:r>
      <w:r>
        <w:t xml:space="preserve"> </w:t>
      </w:r>
      <w:r>
        <w:rPr>
          <w:b/>
          <w:bCs/>
        </w:rPr>
        <w:t xml:space="preserve">Right</w:t>
      </w:r>
      <w:r>
        <w:t xml:space="preserve">: exact iterations to convergence. Wall-clock microseconds are intentionally excluded because they vary with hardware and host load. The similar iteration counts are expected because</w:t>
      </w:r>
      <w:r>
        <w:t xml:space="preserve"> </w:t>
      </w:r>
      <m:oMath>
        <m:r>
          <m:t>κ</m:t>
        </m:r>
        <m:r>
          <m:rPr>
            <m:sty m:val="p"/>
          </m:rPr>
          <m:t>(</m:t>
        </m:r>
        <m:sSub>
          <m:e>
            <m:r>
              <m:t>I</m:t>
            </m:r>
          </m:e>
          <m:sub>
            <m:r>
              <m:t>d</m:t>
            </m:r>
          </m:sub>
        </m:sSub>
        <m:r>
          <m:rPr>
            <m:sty m:val="p"/>
          </m:rPr>
          <m:t>)</m:t>
        </m:r>
        <m:r>
          <m:rPr>
            <m:sty m:val="p"/>
          </m:rPr>
          <m:t>=</m:t>
        </m:r>
        <m:r>
          <m:t>1</m:t>
        </m:r>
      </m:oMath>
      <w:r>
        <w:t xml:space="preserve"> </w:t>
      </w:r>
      <w:r>
        <w:t xml:space="preserve">and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dimension-independent.</w:t>
      </w:r>
    </w:p>
    <w:bookmarkEnd w:id="95"/>
    <w:p>
      <w:pPr>
        <w:pStyle w:val="Heading3"/>
      </w:pPr>
      <w:bookmarkStart w:id="96" w:name="_7dee5a22d73884e52454b29fe795b3ba7b4f4fd"/>
      <w:r>
        <w:t xml:space="preserve">Numerical Stability Analysis</w:t>
      </w:r>
      <w:bookmarkEnd w:id="96"/>
    </w:p>
    <w:p>
      <w:pPr>
        <w:pStyle w:val="FirstParagraph"/>
      </w:pPr>
      <w:r>
        <w:t xml:space="preserve">fig. 6 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100" w:name="_86382d5e38aaced586060400e51cb98dfbc219c"/>
    <w:p>
      <w:pPr>
        <w:pStyle w:val="CaptionedFigure"/>
      </w:pPr>
      <w:r>
        <w:drawing>
          <wp:inline>
            <wp:extent cx="5334000" cy="2063527"/>
            <wp:effectExtent b="0" l="0" r="0" t="0"/>
            <wp:docPr descr="Figure 6: Numerical stability heatmap from generate_stability_visualization(). Each cell shows \log_{10}|f(x)-f(x^\ast)| at termination for one (starting point x_0, step size \alpha) combination, evaluated by gradient_descent() over the 8-by-6 grid (48 cells). The leftmost column (\alpha=0.01, conservative) reaches only 10^{-6} to 10^{-9} within the iteration cap, while every other column saturates at machine precision (10^{-16}) regardless of how far x_0 starts from the optimum (range [-50, 50]). The right panel reports the separate numerical-stability score of 1.00/1.00 from infrastructure.scientific.stability.check_numerical_stability(): it evaluates the scalar quadratic objective at the first four configured starting points and scores finite values for magnitude and near-underflow. This objective-evaluation check is distinct from the heatmap’s gradient-descent sweep." title="" id="98" name="Picture"/>
            <a:graphic>
              <a:graphicData uri="http://schemas.openxmlformats.org/drawingml/2006/picture">
                <pic:pic>
                  <pic:nvPicPr>
                    <pic:cNvPr descr="../figures/stability_analysis.png" id="99" name="Picture"/>
                    <pic:cNvPicPr>
                      <a:picLocks noChangeArrowheads="1" noChangeAspect="1"/>
                    </pic:cNvPicPr>
                  </pic:nvPicPr>
                  <pic:blipFill>
                    <a:blip r:embed="rId97"/>
                    <a:stretch>
                      <a:fillRect/>
                    </a:stretch>
                  </pic:blipFill>
                  <pic:spPr bwMode="auto">
                    <a:xfrm>
                      <a:off x="0" y="0"/>
                      <a:ext cx="5334000" cy="2063527"/>
                    </a:xfrm>
                    <a:prstGeom prst="rect">
                      <a:avLst/>
                    </a:prstGeom>
                    <a:noFill/>
                    <a:ln w="9525">
                      <a:noFill/>
                      <a:headEnd/>
                      <a:tailEnd/>
                    </a:ln>
                  </pic:spPr>
                </pic:pic>
              </a:graphicData>
            </a:graphic>
          </wp:inline>
        </w:drawing>
      </w:r>
    </w:p>
    <w:p>
      <w:pPr>
        <w:pStyle w:val="ImageCaption"/>
      </w:pPr>
      <w:r>
        <w:t xml:space="preserve">Figure 6: 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reports the separate numerical-stability score of 1.00/1.00 from</w:t>
      </w:r>
      <w:r>
        <w:t xml:space="preserve"> </w:t>
      </w:r>
      <w:r>
        <w:rPr>
          <w:rStyle w:val="VerbatimChar"/>
        </w:rPr>
        <w:t xml:space="preserve">infrastructure.scientific.stability.check_numerical_stability()</w:t>
      </w:r>
      <w:r>
        <w:t xml:space="preserve">: it evaluates the scalar quadratic objective at the first four configured starting points and scores finite values for magnitude and near-underflow. This objective-evaluation check is distinct from the heatmap’s gradient-descent sweep.</w:t>
      </w:r>
    </w:p>
    <w:bookmarkEnd w:id="100"/>
    <w:p>
      <w:pPr>
        <w:pStyle w:val="Heading3"/>
      </w:pPr>
      <w:bookmarkStart w:id="101" w:name="_cdf94e34babfc4cdcea44661ff8b98a83b29b3e"/>
      <w:r>
        <w:t xml:space="preserve">Performance Metrics Summary</w:t>
      </w:r>
      <w:bookmarkEnd w:id="101"/>
    </w:p>
    <w:p>
      <w:pPr>
        <w:pStyle w:val="FirstParagraph"/>
      </w:pPr>
      <w:r>
        <w:rPr>
          <w:b/>
          <w:bCs/>
        </w:rPr>
        <w:t xml:space="preserve">Iteration statistics (configured grid, including non-converged runs):</w:t>
      </w:r>
    </w:p>
    <w:p>
      <w:pPr>
        <w:pStyle w:val="Compact"/>
        <w:numPr>
          <w:ilvl w:val="0"/>
          <w:numId w:val="1018"/>
        </w:numPr>
      </w:pPr>
      <w:r>
        <w:t xml:space="preserve">Smallest iteration count recorded: 1</w:t>
      </w:r>
    </w:p>
    <w:p>
      <w:pPr>
        <w:pStyle w:val="Compact"/>
        <w:numPr>
          <w:ilvl w:val="0"/>
          <w:numId w:val="1018"/>
        </w:numPr>
      </w:pPr>
      <w:r>
        <w:t xml:space="preserve">Largest iteration count recorded: 1000</w:t>
      </w:r>
    </w:p>
    <w:p>
      <w:pPr>
        <w:pStyle w:val="Compact"/>
        <w:numPr>
          <w:ilvl w:val="0"/>
          <w:numId w:val="1018"/>
        </w:numPr>
      </w:pPr>
      <w:r>
        <w:t xml:space="preserve">Mean iterations across rows in tbl. 1: 351</w:t>
      </w:r>
    </w:p>
    <w:p>
      <w:pPr>
        <w:pStyle w:val="FirstParagraph"/>
      </w:pPr>
      <w:r>
        <w:rPr>
          <w:b/>
          <w:bCs/>
        </w:rPr>
        <w:t xml:space="preserve">Numerical Accuracy:</w:t>
      </w:r>
    </w:p>
    <w:p>
      <w:pPr>
        <w:pStyle w:val="Compact"/>
        <w:numPr>
          <w:ilvl w:val="0"/>
          <w:numId w:val="1019"/>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9"/>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9"/>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p>
      <w:pPr>
        <w:pStyle w:val="Heading2"/>
      </w:pPr>
      <w:bookmarkStart w:id="102" w:name="_validation"/>
      <w:r>
        <w:t xml:space="preserve">Validation</w:t>
      </w:r>
      <w:bookmarkEnd w:id="102"/>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20"/>
        </w:numPr>
      </w:pPr>
      <w:r>
        <w:rPr>
          <w:b/>
          <w:bCs/>
        </w:rPr>
        <w:t xml:space="preserve">Integration tests</w:t>
      </w:r>
      <w:r>
        <w:t xml:space="preserve"> </w:t>
      </w:r>
      <w:r>
        <w:t xml:space="preserve">verifying algorithm convergence and visualization pipelines.</w:t>
      </w:r>
    </w:p>
    <w:p>
      <w:pPr>
        <w:pStyle w:val="Compact"/>
        <w:numPr>
          <w:ilvl w:val="0"/>
          <w:numId w:val="1020"/>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20"/>
        </w:numPr>
      </w:pPr>
      <w:r>
        <w:rPr>
          <w:b/>
          <w:bCs/>
        </w:rPr>
        <w:t xml:space="preserve">Numerical accuracy</w:t>
      </w:r>
      <w:r>
        <w:t xml:space="preserve"> </w:t>
      </w:r>
      <w:r>
        <w:t xml:space="preserve">checks verified systematically using PyTest.</w:t>
      </w:r>
    </w:p>
    <w:p>
      <w:pPr>
        <w:pStyle w:val="FirstParagraph"/>
      </w:pPr>
      <w:r>
        <w:t xml:space="preserve">Passing the declared suite and its 90% coverage floor provides evidence for the tested core logic, convergence detection, and logging pathways. It does not prove correctness for every input or replace scientific validation.</w:t>
      </w:r>
    </w:p>
    <w:p>
      <w:pPr>
        <w:pStyle w:val="Heading2"/>
      </w:pPr>
      <w:bookmarkStart w:id="103" w:name="_discussion"/>
      <w:r>
        <w:t xml:space="preserve">Discussion</w:t>
      </w:r>
      <w:bookmarkEnd w:id="103"/>
    </w:p>
    <w:p>
      <w:pPr>
        <w:pStyle w:val="FirstParagraph"/>
      </w:pPr>
      <w:r>
        <w:t xml:space="preserve">The configured results distinguish convergence, iteration-cap termination, and non-finite updates. Iteration counts are not monotonic in step size: the unit-Hessian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decreases toward</w:t>
      </w:r>
      <w:r>
        <w:t xml:space="preserve"> </w:t>
      </w:r>
      <m:oMath>
        <m:r>
          <m:t>α</m:t>
        </m:r>
        <m:r>
          <m:rPr>
            <m:sty m:val="p"/>
          </m:rPr>
          <m:t>=</m:t>
        </m:r>
        <m:r>
          <m:t>1</m:t>
        </m:r>
      </m:oMath>
      <w:r>
        <w:t xml:space="preserve"> </w:t>
      </w:r>
      <w:r>
        <w:t xml:space="preserve">and increases afterward. Accuracy claims apply to converged rows; capped and unstable runs must retain their termination status. The generated table and figures document this finite sweep, not all possible objectives or parameter choices. The analysis pipeline integrates those results into manuscript outputs through the declared configuration and variable injection.</w:t>
      </w:r>
    </w:p>
    <w:p>
      <w:pPr>
        <w:pStyle w:val="BodyText"/>
      </w:pPr>
      <w:r>
        <w:t xml:space="preserve">Successful generation and reference resolution establish this artifact path for the tested candidate; they do not establish absolute renderer reliability or replace visual inspection of its output.</w:t>
      </w:r>
    </w:p>
    <w:p>
      <w:r>
        <w:br w:type="page"/>
      </w:r>
    </w:p>
    <w:p>
      <w:pPr>
        <w:pStyle w:val="Heading1"/>
      </w:pPr>
      <w:bookmarkStart w:id="104" w:name="_0cf7f8e9027f9f9352f3019b4ede1d43d537ff7"/>
      <w:r>
        <w:t xml:space="preserve">Conclusion</w:t>
      </w:r>
      <w:bookmarkEnd w:id="104"/>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p>
      <w:pPr>
        <w:pStyle w:val="Heading2"/>
      </w:pPr>
      <w:bookmarkStart w:id="105" w:name="_b1ac82cf59849a44edffc3601842544aa7feb2e"/>
      <w:r>
        <w:t xml:space="preserve">Exemplar Project Achievements</w:t>
      </w:r>
      <w:bookmarkEnd w:id="105"/>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21"/>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21"/>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21"/>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p>
      <w:pPr>
        <w:pStyle w:val="Heading2"/>
      </w:pPr>
      <w:bookmarkStart w:id="106" w:name="_6e8c175903d8fdfc52dfc5aa44bbf84dacbc7d8"/>
      <w:r>
        <w:t xml:space="preserve">Technical Contributions</w:t>
      </w:r>
      <w:bookmarkEnd w:id="106"/>
    </w:p>
    <w:p>
      <w:pPr>
        <w:pStyle w:val="Heading3"/>
      </w:pPr>
      <w:bookmarkStart w:id="107" w:name="_a7ffebd7cded9137539a0d5590a90e816a99ac0"/>
      <w:r>
        <w:t xml:space="preserve">Test Coverage Strategy</w:t>
      </w:r>
      <w:bookmarkEnd w:id="107"/>
    </w:p>
    <w:p>
      <w:pPr>
        <w:pStyle w:val="FirstParagraph"/>
      </w:pPr>
      <w:r>
        <w:t xml:space="preserve">The hallmark of this implementation is the test matrix:</w:t>
      </w:r>
    </w:p>
    <w:p>
      <w:pPr>
        <w:pStyle w:val="Compact"/>
        <w:numPr>
          <w:ilvl w:val="0"/>
          <w:numId w:val="1022"/>
        </w:numPr>
      </w:pPr>
      <w:r>
        <w:t xml:space="preserve">Comprehensive tests traversing execution pipelines, integration flows, and algorithmic bounds.</w:t>
      </w:r>
    </w:p>
    <w:p>
      <w:pPr>
        <w:pStyle w:val="Compact"/>
        <w:numPr>
          <w:ilvl w:val="0"/>
          <w:numId w:val="1022"/>
        </w:numPr>
      </w:pPr>
      <w:r>
        <w:t xml:space="preserve">Strict enforcement of zero-mock policies guaranteeing real execution dynamics.</w:t>
      </w:r>
    </w:p>
    <w:p>
      <w:pPr>
        <w:pStyle w:val="Compact"/>
        <w:numPr>
          <w:ilvl w:val="0"/>
          <w:numId w:val="1022"/>
        </w:numPr>
      </w:pPr>
      <w:r>
        <w:t xml:space="preserve">CI/CD validation gates requiring ≥90% statement coverage before progression.</w:t>
      </w:r>
    </w:p>
    <w:p>
      <w:pPr>
        <w:pStyle w:val="Heading3"/>
      </w:pPr>
      <w:bookmarkStart w:id="108" w:name="_be3792b637ffab5a42ace99b1a582939cfda35a"/>
      <w:r>
        <w:t xml:space="preserve">Infrastructure-Backed Capabilities</w:t>
      </w:r>
      <w:bookmarkEnd w:id="108"/>
    </w:p>
    <w:p>
      <w:pPr>
        <w:pStyle w:val="Compact"/>
        <w:numPr>
          <w:ilvl w:val="0"/>
          <w:numId w:val="1023"/>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3"/>
        </w:numPr>
      </w:pPr>
      <w:r>
        <w:rPr>
          <w:b/>
          <w:bCs/>
        </w:rPr>
        <w:t xml:space="preserve">Reporting &amp; Integrity</w:t>
      </w:r>
      <w:r>
        <w:t xml:space="preserve">: the supported</w:t>
      </w:r>
      <w:r>
        <w:t xml:space="preserve"> </w:t>
      </w:r>
      <w:r>
        <w:rPr>
          <w:rStyle w:val="VerbatimChar"/>
        </w:rPr>
        <w:t xml:space="preserve">infrastructure.reporting</w:t>
      </w:r>
      <w:r>
        <w:t xml:space="preserve"> </w:t>
      </w:r>
      <w:r>
        <w:t xml:space="preserve">summary API and</w:t>
      </w:r>
      <w:r>
        <w:t xml:space="preserve"> </w:t>
      </w:r>
      <w:r>
        <w:rPr>
          <w:rStyle w:val="VerbatimChar"/>
        </w:rPr>
        <w:t xml:space="preserve">infrastructure.validation.output.validator</w:t>
      </w:r>
      <w:r>
        <w:t xml:space="preserve"> </w:t>
      </w:r>
      <w:r>
        <w:t xml:space="preserve">for output diagnostics.</w:t>
      </w:r>
    </w:p>
    <w:p>
      <w:pPr>
        <w:pStyle w:val="Compact"/>
        <w:numPr>
          <w:ilvl w:val="0"/>
          <w:numId w:val="1023"/>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projects/templates/template_code_project/manuscript/config.yaml</w:t>
      </w:r>
      <w:r>
        <w:t xml:space="preserve">, automatically linked via the LaTeX configuration in</w:t>
      </w:r>
      <w:r>
        <w:t xml:space="preserve"> </w:t>
      </w:r>
      <w:r>
        <w:rPr>
          <w:rStyle w:val="VerbatimChar"/>
        </w:rPr>
        <w:t xml:space="preserve">projects/templates/template_code_project/manuscript/preamble.md</w:t>
      </w:r>
      <w:r>
        <w:t xml:space="preserve">.</w:t>
      </w:r>
    </w:p>
    <w:p>
      <w:pPr>
        <w:pStyle w:val="Heading2"/>
      </w:pPr>
      <w:bookmarkStart w:id="109" w:name="_23afeb4a205ab50f569ea64373dec2371b0a396"/>
      <w:r>
        <w:t xml:space="preserve">Research Pipeline Validation</w:t>
      </w:r>
      <w:bookmarkEnd w:id="109"/>
    </w:p>
    <w:p>
      <w:pPr>
        <w:pStyle w:val="FirstParagraph"/>
      </w:pPr>
      <w:r>
        <w:t xml:space="preserve">The project validates the research template’s ability to handle operations seamlessly across disciplines:</w:t>
      </w:r>
    </w:p>
    <w:p>
      <w:pPr>
        <w:pStyle w:val="Compact"/>
        <w:numPr>
          <w:ilvl w:val="0"/>
          <w:numId w:val="1024"/>
        </w:numPr>
      </w:pPr>
      <w:r>
        <w:rPr>
          <w:b/>
          <w:bCs/>
        </w:rPr>
        <w:t xml:space="preserve">Mathematical fidelity</w:t>
      </w:r>
      <w:r>
        <w:t xml:space="preserve">: Zero-mock gradients and bounds checks solving problems dynamically.</w:t>
      </w:r>
    </w:p>
    <w:p>
      <w:pPr>
        <w:pStyle w:val="Compact"/>
        <w:numPr>
          <w:ilvl w:val="0"/>
          <w:numId w:val="1024"/>
        </w:numPr>
      </w:pPr>
      <w:r>
        <w:rPr>
          <w:b/>
          <w:bCs/>
        </w:rPr>
        <w:t xml:space="preserve">Reporting architecture</w:t>
      </w:r>
      <w:r>
        <w:t xml:space="preserve">: Cross-project and local metrics compiled rapidly into dashboards.</w:t>
      </w:r>
    </w:p>
    <w:p>
      <w:pPr>
        <w:pStyle w:val="Compact"/>
        <w:numPr>
          <w:ilvl w:val="0"/>
          <w:numId w:val="1024"/>
        </w:numPr>
      </w:pPr>
      <w:r>
        <w:rPr>
          <w:b/>
          <w:bCs/>
        </w:rPr>
        <w:t xml:space="preserve">Multi-format scaling</w:t>
      </w:r>
      <w:r>
        <w:t xml:space="preserve">: Effortless conversion from semantic Markdown files to LaTeX-structured PDFs.</w:t>
      </w:r>
    </w:p>
    <w:p>
      <w:pPr>
        <w:pStyle w:val="Compact"/>
        <w:numPr>
          <w:ilvl w:val="0"/>
          <w:numId w:val="1024"/>
        </w:numPr>
      </w:pPr>
      <w:r>
        <w:rPr>
          <w:b/>
          <w:bCs/>
        </w:rPr>
        <w:t xml:space="preserve">Intelligent Verification</w:t>
      </w:r>
      <w:r>
        <w:t xml:space="preserve">: LLM integration analyzing output completeness contextually without degrading hermetic logic.</w:t>
      </w:r>
    </w:p>
    <w:p>
      <w:pPr>
        <w:pStyle w:val="Heading2"/>
      </w:pPr>
      <w:bookmarkStart w:id="110" w:name="_38c68401c6a868408df8f6e93ee0261d7396797"/>
      <w:r>
        <w:t xml:space="preserve">Key Insights</w:t>
      </w:r>
      <w:bookmarkEnd w:id="110"/>
    </w:p>
    <w:p>
      <w:pPr>
        <w:pStyle w:val="Compact"/>
        <w:numPr>
          <w:ilvl w:val="0"/>
          <w:numId w:val="1025"/>
        </w:numPr>
      </w:pPr>
      <w:r>
        <w:rPr>
          <w:b/>
          <w:bCs/>
        </w:rPr>
        <w:t xml:space="preserve">Mathematical Accuracy Requires Testing Fidelity</w:t>
      </w:r>
      <w:r>
        <w:t xml:space="preserve">: Real execution data, unpolluted by mocks, exposes actual computational limits fast.</w:t>
      </w:r>
    </w:p>
    <w:p>
      <w:pPr>
        <w:pStyle w:val="Compact"/>
        <w:numPr>
          <w:ilvl w:val="0"/>
          <w:numId w:val="1025"/>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5"/>
        </w:numPr>
      </w:pPr>
      <w:r>
        <w:rPr>
          <w:b/>
          <w:bCs/>
        </w:rPr>
        <w:t xml:space="preserve">Automated Consistency</w:t>
      </w:r>
      <w:r>
        <w:t xml:space="preserve">: Re-compiling the pipeline enforces an immutable bond between algorithm version and final visual reporting.</w:t>
      </w:r>
    </w:p>
    <w:p>
      <w:pPr>
        <w:pStyle w:val="Heading2"/>
      </w:pPr>
      <w:bookmarkStart w:id="111" w:name="_24ca540b4ce4a452b002ede7c66af228647cf58"/>
      <w:r>
        <w:t xml:space="preserve">Future Extensions</w:t>
      </w:r>
      <w:bookmarkEnd w:id="111"/>
    </w:p>
    <w:p>
      <w:pPr>
        <w:pStyle w:val="FirstParagraph"/>
      </w:pPr>
      <w:r>
        <w:t xml:space="preserve">This foundation could be extended to:</w:t>
      </w:r>
    </w:p>
    <w:p>
      <w:pPr>
        <w:pStyle w:val="Compact"/>
        <w:numPr>
          <w:ilvl w:val="0"/>
          <w:numId w:val="1026"/>
        </w:numPr>
      </w:pPr>
      <w:r>
        <w:rPr>
          <w:b/>
          <w:bCs/>
        </w:rPr>
        <w:t xml:space="preserve">Advanced algorithms</w:t>
      </w:r>
      <w:r>
        <w:t xml:space="preserve">: Newton methods, quasi-Newton approaches</w:t>
      </w:r>
    </w:p>
    <w:p>
      <w:pPr>
        <w:pStyle w:val="Compact"/>
        <w:numPr>
          <w:ilvl w:val="0"/>
          <w:numId w:val="1026"/>
        </w:numPr>
      </w:pPr>
      <w:r>
        <w:rPr>
          <w:b/>
          <w:bCs/>
        </w:rPr>
        <w:t xml:space="preserve">Constrained optimization</w:t>
      </w:r>
      <w:r>
        <w:t xml:space="preserve">: Handling inequality constraints</w:t>
      </w:r>
    </w:p>
    <w:p>
      <w:pPr>
        <w:pStyle w:val="Compact"/>
        <w:numPr>
          <w:ilvl w:val="0"/>
          <w:numId w:val="1026"/>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6"/>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p>
      <w:pPr>
        <w:pStyle w:val="Heading2"/>
      </w:pPr>
      <w:bookmarkStart w:id="112" w:name="_039cf8f27ea21c2a818789ad42735d5c9feb400"/>
      <w:r>
        <w:t xml:space="preserve">Final Assessment</w:t>
      </w:r>
      <w:bookmarkEnd w:id="112"/>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 sec. 4, wrote</w:t>
      </w:r>
      <w:r>
        <w:t xml:space="preserve"> </w:t>
      </w:r>
      <w:r>
        <w:rPr>
          <w:rStyle w:val="VerbatimChar"/>
        </w:rPr>
        <w:t xml:space="preserve">optimization_results.csv</w:t>
      </w:r>
      <w:r>
        <w:t xml:space="preserve">, and rendered this markdown (</w:t>
      </w:r>
      <w:r>
        <w:rPr>
          <w:rStyle w:val="VerbatimChar"/>
        </w:rPr>
        <w:t xml:space="preserve">projects/templates/template_code_project/manuscript/04_conclusion.md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p>
      <w:r>
        <w:br w:type="page"/>
      </w:r>
    </w:p>
    <w:p>
      <w:pPr>
        <w:pStyle w:val="Heading1"/>
      </w:pPr>
      <w:bookmarkStart w:id="113" w:name="_209e41be836083afda4e2ff9a07af30c192e049"/>
      <w:r>
        <w:t xml:space="preserve">Experimental Setup</w:t>
      </w:r>
      <w:bookmarkEnd w:id="113"/>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p>
      <w:pPr>
        <w:pStyle w:val="Heading2"/>
      </w:pPr>
      <w:bookmarkStart w:id="114" w:name="_494157c630923398b6b6d5509edb91a207dddff"/>
      <w:r>
        <w:t xml:space="preserve">Problem Definition</w:t>
      </w:r>
      <w:bookmarkEnd w:id="114"/>
    </w:p>
    <w:p>
      <w:pPr>
        <w:pStyle w:val="FirstParagraph"/>
      </w:pPr>
      <w:r>
        <w:t xml:space="preserve">The optimization target is the quadratic objective function defined in eq. 8:</w:t>
      </w:r>
    </w:p>
    <w:p>
      <w:pPr>
        <w:pStyle w:val="BodyText"/>
      </w:pPr>
      <w:bookmarkStart w:id="115" w:name="_3e3c681a374fb77e7ca18ab033a1edc2459148a"/>
      <m:oMathPara>
        <m:oMathParaPr>
          <m:jc m:val="center"/>
        </m:oMathParaP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r>
            <m:t>  </m:t>
          </m:r>
          <m:r>
            <m:rPr>
              <m:sty m:val="p"/>
            </m:rPr>
            <m:t>(</m:t>
          </m:r>
          <m:r>
            <m:t>8</m:t>
          </m:r>
          <m:r>
            <m:rPr>
              <m:sty m:val="p"/>
            </m:rPr>
            <m:t>)</m:t>
          </m:r>
        </m:oMath>
      </m:oMathPara>
      <w:bookmarkEnd w:id="115"/>
    </w:p>
    <w:p>
      <w:pPr>
        <w:pStyle w:val="FirstParagraph"/>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p>
      <w:pPr>
        <w:pStyle w:val="Heading2"/>
      </w:pPr>
      <w:bookmarkStart w:id="116" w:name="_c75624f9dfe4cba29f6d6035b6b6df2f1ae6fce"/>
      <w:r>
        <w:t xml:space="preserve">Parameter Space</w:t>
      </w:r>
      <w:bookmarkEnd w:id="116"/>
    </w:p>
    <w:p>
      <w:pPr>
        <w:pStyle w:val="FirstParagraph"/>
      </w:pPr>
      <w:r>
        <w:t xml:space="preserve">The experiment systematically varies the gradient descent step size across 6 values:</w:t>
      </w:r>
    </w:p>
    <w:p>
      <w:pPr>
        <w:pStyle w:val="Compact"/>
        <w:numPr>
          <w:ilvl w:val="0"/>
          <w:numId w:val="1027"/>
        </w:numPr>
      </w:pPr>
      <m:oMath>
        <m:r>
          <m:t>α</m:t>
        </m:r>
        <m:r>
          <m:rPr>
            <m:sty m:val="p"/>
          </m:rPr>
          <m:t>=</m:t>
        </m:r>
        <m:r>
          <m:t>0.01</m:t>
        </m:r>
      </m:oMath>
      <w:r>
        <w:t xml:space="preserve"> </w:t>
      </w:r>
      <w:r>
        <w:t xml:space="preserve">(conservative)</w:t>
      </w:r>
    </w:p>
    <w:p>
      <w:pPr>
        <w:pStyle w:val="Compact"/>
        <w:numPr>
          <w:ilvl w:val="0"/>
          <w:numId w:val="1027"/>
        </w:numPr>
      </w:pPr>
      <m:oMath>
        <m:r>
          <m:t>α</m:t>
        </m:r>
        <m:r>
          <m:rPr>
            <m:sty m:val="p"/>
          </m:rPr>
          <m:t>=</m:t>
        </m:r>
        <m:r>
          <m:t>0.1</m:t>
        </m:r>
      </m:oMath>
      <w:r>
        <w:t xml:space="preserve"> </w:t>
      </w:r>
      <w:r>
        <w:t xml:space="preserve">(conservative)</w:t>
      </w:r>
    </w:p>
    <w:p>
      <w:pPr>
        <w:pStyle w:val="Compact"/>
        <w:numPr>
          <w:ilvl w:val="0"/>
          <w:numId w:val="1027"/>
        </w:numPr>
      </w:pPr>
      <m:oMath>
        <m:r>
          <m:t>α</m:t>
        </m:r>
        <m:r>
          <m:rPr>
            <m:sty m:val="p"/>
          </m:rPr>
          <m:t>=</m:t>
        </m:r>
        <m:r>
          <m:t>0.5</m:t>
        </m:r>
      </m:oMath>
      <w:r>
        <w:t xml:space="preserve"> </w:t>
      </w:r>
      <w:r>
        <w:t xml:space="preserve">(near-optimal)</w:t>
      </w:r>
    </w:p>
    <w:p>
      <w:pPr>
        <w:pStyle w:val="Compact"/>
        <w:numPr>
          <w:ilvl w:val="0"/>
          <w:numId w:val="1027"/>
        </w:numPr>
      </w:pPr>
      <m:oMath>
        <m:r>
          <m:t>α</m:t>
        </m:r>
        <m:r>
          <m:rPr>
            <m:sty m:val="p"/>
          </m:rPr>
          <m:t>=</m:t>
        </m:r>
        <m:r>
          <m:t>1.0</m:t>
        </m:r>
      </m:oMath>
      <w:r>
        <w:t xml:space="preserve"> </w:t>
      </w:r>
      <w:r>
        <w:t xml:space="preserve">(near-optimal)</w:t>
      </w:r>
    </w:p>
    <w:p>
      <w:pPr>
        <w:pStyle w:val="Compact"/>
        <w:numPr>
          <w:ilvl w:val="0"/>
          <w:numId w:val="1027"/>
        </w:numPr>
      </w:pPr>
      <m:oMath>
        <m:r>
          <m:t>α</m:t>
        </m:r>
        <m:r>
          <m:rPr>
            <m:sty m:val="p"/>
          </m:rPr>
          <m:t>=</m:t>
        </m:r>
        <m:r>
          <m:t>1.5</m:t>
        </m:r>
      </m:oMath>
      <w:r>
        <w:t xml:space="preserve"> </w:t>
      </w:r>
      <w:r>
        <w:t xml:space="preserve">(aggressive)</w:t>
      </w:r>
    </w:p>
    <w:p>
      <w:pPr>
        <w:pStyle w:val="Compact"/>
        <w:numPr>
          <w:ilvl w:val="0"/>
          <w:numId w:val="1027"/>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p>
      <w:pPr>
        <w:pStyle w:val="Heading2"/>
      </w:pPr>
      <w:bookmarkStart w:id="117" w:name="_61ad1866b8180652a952bffe9ec282ce8deaf99"/>
      <w:r>
        <w:t xml:space="preserve">Numerical Stability Grid</w:t>
      </w:r>
      <w:bookmarkEnd w:id="117"/>
    </w:p>
    <w:p>
      <w:pPr>
        <w:pStyle w:val="FirstParagraph"/>
      </w:pPr>
      <w:r>
        <w:t xml:space="preserve">To validate robustness, the optimizer is exercised across a grid of 8 starting points and 6 step sizes, producing 48 total evaluations. This finite sweep measures sensitivity to the selected initial points and step sizes; it does not establish convergence outside the contractive region or before every iteration cap.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p>
      <w:pPr>
        <w:pStyle w:val="Heading2"/>
      </w:pPr>
      <w:bookmarkStart w:id="118" w:name="_56572e29e39c83ea2aaaa964d80b8c7870f2c7a"/>
      <w:r>
        <w:t xml:space="preserve">Dimensional Scaling</w:t>
      </w:r>
      <w:bookmarkEnd w:id="118"/>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The tracked</w:t>
      </w:r>
      <w:r>
        <w:t xml:space="preserve"> </w:t>
      </w:r>
      <w:r>
        <w:rPr>
          <w:rStyle w:val="VerbatimChar"/>
        </w:rPr>
        <w:t xml:space="preserve">output/reports/performance_benchmark.json</w:t>
      </w:r>
      <w:r>
        <w:t xml:space="preserve"> </w:t>
      </w:r>
      <w:r>
        <w:t xml:space="preserve">records fixed inputs, exact objective values, and validation checks. Wall-clock timing is retained only as a runtime diagnostic because host load and hardware make microsecond values unsuitable as pinned reproducibility claims.</w:t>
      </w:r>
    </w:p>
    <w:p>
      <w:pPr>
        <w:pStyle w:val="Heading2"/>
      </w:pPr>
      <w:bookmarkStart w:id="119" w:name="_6f46fce5a6f2c1713fdf9e8f384230e1ddb13d7"/>
      <w:r>
        <w:t xml:space="preserve">Computational Environment</w:t>
      </w:r>
      <w:bookmarkEnd w:id="119"/>
    </w:p>
    <w:p>
      <w:pPr>
        <w:pStyle w:val="Compact"/>
        <w:numPr>
          <w:ilvl w:val="0"/>
          <w:numId w:val="1028"/>
        </w:numPr>
      </w:pPr>
      <w:r>
        <w:rPr>
          <w:b/>
          <w:bCs/>
        </w:rPr>
        <w:t xml:space="preserve">Python</w:t>
      </w:r>
      <w:r>
        <w:t xml:space="preserve">: 3.15.1</w:t>
      </w:r>
    </w:p>
    <w:p>
      <w:pPr>
        <w:pStyle w:val="Compact"/>
        <w:numPr>
          <w:ilvl w:val="0"/>
          <w:numId w:val="1028"/>
        </w:numPr>
      </w:pPr>
      <w:r>
        <w:rPr>
          <w:b/>
          <w:bCs/>
        </w:rPr>
        <w:t xml:space="preserve">NumPy</w:t>
      </w:r>
      <w:r>
        <w:t xml:space="preserve">: 2.5.4</w:t>
      </w:r>
    </w:p>
    <w:p>
      <w:pPr>
        <w:pStyle w:val="Compact"/>
        <w:numPr>
          <w:ilvl w:val="0"/>
          <w:numId w:val="1028"/>
        </w:numPr>
      </w:pPr>
      <w:r>
        <w:rPr>
          <w:b/>
          <w:bCs/>
        </w:rPr>
        <w:t xml:space="preserve">Platform</w:t>
      </w:r>
      <w:r>
        <w:t xml:space="preserve">: Darwin arm64</w:t>
      </w:r>
    </w:p>
    <w:p>
      <w:pPr>
        <w:pStyle w:val="Compact"/>
        <w:numPr>
          <w:ilvl w:val="0"/>
          <w:numId w:val="1028"/>
        </w:numPr>
      </w:pPr>
      <w:r>
        <w:rPr>
          <w:b/>
          <w:bCs/>
        </w:rPr>
        <w:t xml:space="preserve">Generated</w:t>
      </w:r>
      <w:r>
        <w:t xml:space="preserve">: 2026-10-29T21:28:46Z</w:t>
      </w:r>
    </w:p>
    <w:p>
      <w:pPr>
        <w:pStyle w:val="Heading2"/>
      </w:pPr>
      <w:bookmarkStart w:id="120" w:name="_c0bdf268a00be518db8208d76da5f861b68d87a"/>
      <w:r>
        <w:t xml:space="preserve">Pipeline ordering</w:t>
      </w:r>
      <w:bookmarkEnd w:id="120"/>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scripts/pipeline/stage_02_analysis.py</w:t>
      </w:r>
      <w:r>
        <w:t xml:space="preserve"> </w:t>
      </w:r>
      <w:r>
        <w:t xml:space="preserve">discovery) is:</w:t>
      </w:r>
    </w:p>
    <w:p>
      <w:pPr>
        <w:pStyle w:val="Compact"/>
        <w:numPr>
          <w:ilvl w:val="0"/>
          <w:numId w:val="1029"/>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9"/>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9"/>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p>
      <w:pPr>
        <w:pStyle w:val="Heading2"/>
      </w:pPr>
      <w:bookmarkStart w:id="121" w:name="_9fd71c9dca278495eebbdd804093eae6f97d925"/>
      <w:r>
        <w:t xml:space="preserve">Relation to figures</w:t>
      </w:r>
      <w:bookmarkEnd w:id="121"/>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(sec. 4)</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FirstParagraph"/>
      </w:pPr>
      <w:r>
        <w:t xml:space="preserve">This table is descriptive documentation only; it is not executed as code during the build.</w:t>
      </w:r>
    </w:p>
    <w:p>
      <w:r>
        <w:br w:type="page"/>
      </w:r>
    </w:p>
    <w:p>
      <w:pPr>
        <w:pStyle w:val="Heading1"/>
      </w:pPr>
      <w:bookmarkStart w:id="122" w:name="_e14e925b65fca759e728198d8118b98ded19eeb"/>
      <w:r>
        <w:t xml:space="preserve">Reproducibility Certification</w:t>
      </w:r>
      <w:bookmarkEnd w:id="122"/>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p>
      <w:pPr>
        <w:pStyle w:val="Heading2"/>
      </w:pPr>
      <w:bookmarkStart w:id="123" w:name="_744470a933b7b6f1d0469c96926a8840e0d3be2"/>
      <w:r>
        <w:t xml:space="preserve">Configuration Provenance</w:t>
      </w:r>
      <w:bookmarkEnd w:id="123"/>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90af55804b33d331</w:t>
            </w:r>
          </w:p>
        </w:tc>
      </w:tr>
      <w:tr>
        <w:tc>
          <w:tcPr/>
          <w:p>
            <w:pPr>
              <w:pStyle w:val="Compact"/>
            </w:pPr>
            <w:r>
              <w:t xml:space="preserve">Paper version</w:t>
            </w:r>
          </w:p>
        </w:tc>
        <w:tc>
          <w:tcPr/>
          <w:p>
            <w:pPr>
              <w:pStyle w:val="Compact"/>
            </w:pPr>
            <w:r>
              <w:t xml:space="preserve">3.0.0</w:t>
            </w:r>
          </w:p>
        </w:tc>
      </w:tr>
      <w:tr>
        <w:tc>
          <w:tcPr/>
          <w:p>
            <w:pPr>
              <w:pStyle w:val="Compact"/>
            </w:pPr>
            <w:r>
              <w:t xml:space="preserve">First author</w:t>
            </w:r>
          </w:p>
        </w:tc>
        <w:tc>
          <w:tcPr/>
          <w:p>
            <w:pPr>
              <w:pStyle w:val="Compact"/>
            </w:pPr>
            <w:r>
              <w:t xml:space="preserve">Daniel Ari Friedman</w:t>
            </w:r>
          </w:p>
        </w:tc>
      </w:tr>
      <w:tr>
        <w:tc>
          <w:tcPr/>
          <w:p>
            <w:pPr>
              <w:pStyle w:val="Compact"/>
            </w:pPr>
            <w:r>
              <w:t xml:space="preserve">Keywords</w:t>
            </w:r>
          </w:p>
        </w:tc>
        <w:tc>
          <w:tcPr/>
          <w:p>
            <w:pPr>
              <w:pStyle w:val="Compact"/>
            </w:pPr>
            <w:r>
              <w:t xml:space="preserve">optimization algorithms, gradient descent, convergence analysis, numerical methods, mathematical programming, reproducible research, infrastructure automation</w:t>
            </w:r>
          </w:p>
        </w:tc>
      </w:tr>
    </w:tbl>
    <w:p>
      <w:pPr>
        <w:pStyle w:val="FirstParagraph"/>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p>
      <w:pPr>
        <w:pStyle w:val="Heading2"/>
      </w:pPr>
      <w:bookmarkStart w:id="124" w:name="_ace0f4ebebe16b16c218cbc7bbf70927f15c1d2"/>
      <w:r>
        <w:t xml:space="preserve">Generated Artifact Registry</w:t>
      </w:r>
      <w:bookmarkEnd w:id="124"/>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7</w:t>
            </w:r>
          </w:p>
        </w:tc>
      </w:tr>
      <w:tr>
        <w:tc>
          <w:tcPr/>
          <w:p>
            <w:pPr>
              <w:pStyle w:val="Compact"/>
            </w:pPr>
            <w:r>
              <w:t xml:space="preserve">Structured data files (CSV/JSON)</w:t>
            </w:r>
          </w:p>
        </w:tc>
        <w:tc>
          <w:tcPr/>
          <w:p>
            <w:pPr>
              <w:pStyle w:val="Compact"/>
            </w:pPr>
            <w:r>
              <w:t xml:space="preserve">3</w:t>
            </w:r>
          </w:p>
        </w:tc>
      </w:tr>
      <w:tr>
        <w:tc>
          <w:tcPr/>
          <w:p>
            <w:pPr>
              <w:pStyle w:val="Compact"/>
            </w:pPr>
            <w:r>
              <w:t xml:space="preserve">Analysis reports</w:t>
            </w:r>
          </w:p>
        </w:tc>
        <w:tc>
          <w:tcPr/>
          <w:p>
            <w:pPr>
              <w:pStyle w:val="Compact"/>
            </w:pPr>
            <w:r>
              <w:t xml:space="preserve">6</w:t>
            </w:r>
          </w:p>
        </w:tc>
      </w:tr>
      <w:tr>
        <w:tc>
          <w:tcPr/>
          <w:p>
            <w:pPr>
              <w:pStyle w:val="Compact"/>
            </w:pPr>
            <w:r>
              <w:rPr>
                <w:b/>
                <w:bCs/>
              </w:rPr>
              <w:t xml:space="preserve">Total artifacts</w:t>
            </w:r>
          </w:p>
        </w:tc>
        <w:tc>
          <w:tcPr/>
          <w:p>
            <w:pPr>
              <w:pStyle w:val="Compact"/>
            </w:pPr>
            <w:r>
              <w:rPr>
                <w:b/>
                <w:bCs/>
              </w:rPr>
              <w:t xml:space="preserve">16</w:t>
            </w:r>
          </w:p>
        </w:tc>
      </w:tr>
    </w:tbl>
    <w:p>
      <w:pPr>
        <w:pStyle w:val="Heading2"/>
      </w:pPr>
      <w:bookmarkStart w:id="125" w:name="_43428eb8b9569a09dc0d2b4f7cb3ca80844b1a4"/>
      <w:r>
        <w:t xml:space="preserve">Numerical Validation Summary</w:t>
      </w:r>
      <w:bookmarkEnd w:id="125"/>
    </w:p>
    <w:p>
      <w:pPr>
        <w:pStyle w:val="Heading3"/>
      </w:pPr>
      <w:bookmarkStart w:id="126" w:name="_5e98d76158b340db6a49db235d774892da28a56"/>
      <w:r>
        <w:t xml:space="preserve">Convergence Verification</w:t>
      </w:r>
      <w:bookmarkEnd w:id="126"/>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30"/>
        </w:numPr>
      </w:pPr>
      <w:r>
        <w:t xml:space="preserve">Converged step sizes: 0.1, 0.5, 1.0, 1.5</w:t>
      </w:r>
    </w:p>
    <w:p>
      <w:pPr>
        <w:pStyle w:val="Compact"/>
        <w:numPr>
          <w:ilvl w:val="0"/>
          <w:numId w:val="1030"/>
        </w:numPr>
      </w:pPr>
      <w:r>
        <w:t xml:space="preserve">Non-convergent or hit-iteration-cap step sizes: 0.01, 2.5</w:t>
      </w:r>
    </w:p>
    <w:p>
      <w:pPr>
        <w:pStyle w:val="Compact"/>
        <w:numPr>
          <w:ilvl w:val="0"/>
          <w:numId w:val="1030"/>
        </w:numPr>
      </w:pPr>
      <w:r>
        <w:t xml:space="preserve">Smallest recorded iteration count: 1 (at</w:t>
      </w:r>
      <w:r>
        <w:t xml:space="preserve"> </w:t>
      </w:r>
      <m:oMath>
        <m:r>
          <m:t>α</m:t>
        </m:r>
        <m:r>
          <m:rPr>
            <m:sty m:val="p"/>
          </m:rPr>
          <m:t>=</m:t>
        </m:r>
        <m:r>
          <m:t>1.0</m:t>
        </m:r>
      </m:oMath>
      <w:r>
        <w:t xml:space="preserve">)</w:t>
      </w:r>
    </w:p>
    <w:p>
      <w:pPr>
        <w:pStyle w:val="Compact"/>
        <w:numPr>
          <w:ilvl w:val="0"/>
          <w:numId w:val="1030"/>
        </w:numPr>
      </w:pPr>
      <w:r>
        <w:t xml:space="preserve">Largest recorded iteration count: 1000 (at</w:t>
      </w:r>
      <w:r>
        <w:t xml:space="preserve"> </w:t>
      </w:r>
      <m:oMath>
        <m:r>
          <m:t>α</m:t>
        </m:r>
        <m:r>
          <m:rPr>
            <m:sty m:val="p"/>
          </m:rPr>
          <m:t>=</m:t>
        </m:r>
        <m:r>
          <m:t>0.01</m:t>
        </m:r>
      </m:oMath>
      <w:r>
        <w:t xml:space="preserve">)</w:t>
      </w:r>
    </w:p>
    <w:p>
      <w:pPr>
        <w:pStyle w:val="Compact"/>
        <w:numPr>
          <w:ilvl w:val="0"/>
          <w:numId w:val="1030"/>
        </w:numPr>
      </w:pPr>
      <w:r>
        <w:t xml:space="preserve">Mean iterations across all rows: 351</w:t>
      </w:r>
    </w:p>
    <w:p>
      <w:pPr>
        <w:pStyle w:val="Heading3"/>
      </w:pPr>
      <w:bookmarkStart w:id="127" w:name="_a2edcaa346316b0bdc1134fa14e0ff53f35209c"/>
      <w:r>
        <w:t xml:space="preserve">Numerical Stability</w:t>
      </w:r>
      <w:bookmarkEnd w:id="127"/>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recording termination accuracy across this finite gradient-descent grid. This is distinct from the reported stability score, which checks scalar objective evaluations and does not certify convergence of every optimization trajectory.</w:t>
      </w:r>
    </w:p>
    <w:p>
      <w:pPr>
        <w:pStyle w:val="Heading3"/>
      </w:pPr>
      <w:bookmarkStart w:id="128" w:name="_6c42cec90fe9908a3afc8180d256cd7126ebccf"/>
      <w:r>
        <w:t xml:space="preserve">Benchmark Demonstration</w:t>
      </w:r>
      <w:bookmarkEnd w:id="128"/>
    </w:p>
    <w:p>
      <w:pPr>
        <w:pStyle w:val="FirstParagraph"/>
      </w:pPr>
      <w:r>
        <w:t xml:space="preserve">This exemplar also demonstrates</w:t>
      </w:r>
      <w:r>
        <w:t xml:space="preserve"> </w:t>
      </w:r>
      <w:r>
        <w:rPr>
          <w:rStyle w:val="VerbatimChar"/>
        </w:rPr>
        <w:t xml:space="preserve">infrastructure.benchmark</w:t>
      </w:r>
      <w:r>
        <w:t xml:space="preserve">. The thin orchestrator</w:t>
      </w:r>
      <w:r>
        <w:t xml:space="preserve"> </w:t>
      </w:r>
      <w:r>
        <w:rPr>
          <w:rStyle w:val="VerbatimChar"/>
        </w:rPr>
        <w:t xml:space="preserve">scripts/04_benchmark_stage.py</w:t>
      </w:r>
      <w:r>
        <w:t xml:space="preserve"> </w:t>
      </w:r>
      <w:r>
        <w:t xml:space="preserve">calls</w:t>
      </w:r>
      <w:r>
        <w:t xml:space="preserve"> </w:t>
      </w:r>
      <w:r>
        <w:rPr>
          <w:rStyle w:val="VerbatimChar"/>
        </w:rPr>
        <w:t xml:space="preserve">src/template_code_project/core/benchmark_support.py</w:t>
      </w:r>
      <w:r>
        <w:t xml:space="preserve">, which evaluates the pure</w:t>
      </w:r>
      <w:r>
        <w:t xml:space="preserve"> </w:t>
      </w:r>
      <w:r>
        <w:rPr>
          <w:rStyle w:val="VerbatimChar"/>
        </w:rPr>
        <w:t xml:space="preserve">quadratic_function</w:t>
      </w:r>
      <w:r>
        <w:t xml:space="preserve"> </w:t>
      </w:r>
      <w:r>
        <w:t xml:space="preserve">across fixed seeded inputs and turns reproducible completion, finiteness, and output-stability facts into boolean rubric checks. Those checks are scored through</w:t>
      </w:r>
      <w:r>
        <w:t xml:space="preserve"> </w:t>
      </w:r>
      <w:r>
        <w:rPr>
          <w:rStyle w:val="VerbatimChar"/>
        </w:rPr>
        <w:t xml:space="preserve">infrastructure.benchmark.score_rubric</w:t>
      </w:r>
      <w:r>
        <w:t xml:space="preserve"> </w:t>
      </w:r>
      <w:r>
        <w:t xml:space="preserve">against a weighted</w:t>
      </w:r>
      <w:r>
        <w:t xml:space="preserve"> </w:t>
      </w:r>
      <w:r>
        <w:rPr>
          <w:rStyle w:val="VerbatimChar"/>
        </w:rPr>
        <w:t xml:space="preserve">RubricSet</w:t>
      </w:r>
      <w:r>
        <w:t xml:space="preserve">, then rendered with</w:t>
      </w:r>
      <w:r>
        <w:t xml:space="preserve"> </w:t>
      </w:r>
      <w:r>
        <w:rPr>
          <w:rStyle w:val="VerbatimChar"/>
        </w:rPr>
        <w:t xml:space="preserve">scores_to_markdown</w:t>
      </w:r>
      <w:r>
        <w:t xml:space="preserve"> </w:t>
      </w:r>
      <w:r>
        <w:t xml:space="preserve">into the byte-stable</w:t>
      </w:r>
      <w:r>
        <w:t xml:space="preserve"> </w:t>
      </w:r>
      <w:r>
        <w:rPr>
          <w:rStyle w:val="VerbatimChar"/>
        </w:rPr>
        <w:t xml:space="preserve">output/reports/benchmark_report.json</w:t>
      </w:r>
      <w:r>
        <w:t xml:space="preserve"> </w:t>
      </w:r>
      <w:r>
        <w:t xml:space="preserve">with a deterministic objective-value figure. Real timing still executes as a runtime diagnostic, but it is not serialized into tracked evidence.</w:t>
      </w:r>
    </w:p>
    <w:p>
      <w:pPr>
        <w:pStyle w:val="Heading2"/>
      </w:pPr>
      <w:bookmarkStart w:id="129" w:name="_564408ffc851f75235d2c44bd009977523cbdc8"/>
      <w:r>
        <w:t xml:space="preserve">Madlib Injection Verification</w:t>
      </w:r>
      <w:bookmarkEnd w:id="129"/>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31"/>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31"/>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31"/>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31"/>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p>
      <w:r>
        <w:br w:type="page"/>
      </w:r>
    </w:p>
    <w:p>
      <w:pPr>
        <w:pStyle w:val="Heading1"/>
      </w:pPr>
      <w:bookmarkStart w:id="130" w:name="_b2eb09406cdf2fc718e9f5f7396436686210cad"/>
      <w:r>
        <w:t xml:space="preserve">Scope, Related Work, and Positioning</w:t>
      </w:r>
      <w:bookmarkEnd w:id="130"/>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p>
      <w:pPr>
        <w:pStyle w:val="Heading2"/>
      </w:pPr>
      <w:bookmarkStart w:id="131" w:name="_ac53267b030ea524116bfa017547ef5a584ea85"/>
      <w:r>
        <w:t xml:space="preserve">Classical gradient methods</w:t>
      </w:r>
      <w:bookmarkEnd w:id="131"/>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(sec. 4, eq. 4).</w:t>
      </w:r>
    </w:p>
    <w:p>
      <w:pPr>
        <w:pStyle w:val="Heading2"/>
      </w:pPr>
      <w:bookmarkStart w:id="132" w:name="_05ac0fb7f764cd7504cce46d53f44b6e6097ba8"/>
      <w:r>
        <w:t xml:space="preserve">Adaptive and stochastic extensions</w:t>
      </w:r>
      <w:bookmarkEnd w:id="132"/>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p>
      <w:pPr>
        <w:pStyle w:val="Heading2"/>
      </w:pPr>
      <w:bookmarkStart w:id="133" w:name="_3bc48e80992a743b1055962b61fae9f317fec48"/>
      <w:r>
        <w:t xml:space="preserve">What this project proves about the template</w:t>
      </w:r>
      <w:bookmarkEnd w:id="133"/>
    </w:p>
    <w:p>
      <w:pPr>
        <w:pStyle w:val="FirstParagraph"/>
      </w:pPr>
      <w:r>
        <w:t xml:space="preserve">The scientific claims through sec. 2, sec. 3, and sec. 4 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token 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p>
      <w:pPr>
        <w:pStyle w:val="Heading2"/>
      </w:pPr>
      <w:bookmarkStart w:id="134" w:name="_a42444e030917023aae22b567c432c36f1ec4dd"/>
      <w:r>
        <w:t xml:space="preserve">Explicit limitations</w:t>
      </w:r>
      <w:bookmarkEnd w:id="134"/>
    </w:p>
    <w:p>
      <w:pPr>
        <w:pStyle w:val="Compact"/>
        <w:numPr>
          <w:ilvl w:val="0"/>
          <w:numId w:val="1032"/>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2"/>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src/template_code_project/core/optimizer.py</w:t>
      </w:r>
      <w:r>
        <w:t xml:space="preserve">; there is no Wolfe or Armijo backtracking.</w:t>
      </w:r>
    </w:p>
    <w:p>
      <w:pPr>
        <w:pStyle w:val="Compact"/>
        <w:numPr>
          <w:ilvl w:val="0"/>
          <w:numId w:val="1032"/>
        </w:numPr>
      </w:pPr>
      <w:r>
        <w:rPr>
          <w:b/>
          <w:bCs/>
        </w:rPr>
        <w:t xml:space="preserve">Global optimization</w:t>
      </w:r>
      <w:r>
        <w:t xml:space="preserve">: Convexity is assumed; no basin-hopping or restarts are studied.</w:t>
      </w:r>
    </w:p>
    <w:p>
      <w:pPr>
        <w:pStyle w:val="Compact"/>
        <w:numPr>
          <w:ilvl w:val="0"/>
          <w:numId w:val="1032"/>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p>
      <w:r>
        <w:br w:type="page"/>
      </w:r>
    </w:p>
    <w:p>
      <w:pPr>
        <w:pStyle w:val="Heading1"/>
      </w:pPr>
      <w:bookmarkStart w:id="135" w:name="_e101cb4db063275589cf296bc23cc80577ab383"/>
      <w:r>
        <w:t xml:space="preserve">References</w:t>
      </w:r>
      <w:bookmarkEnd w:id="135"/>
    </w:p>
    <w:p>
      <w:pPr>
        <w:pStyle w:val="FirstParagraph"/>
      </w:pPr>
      <w:r>
        <w:t xml:space="preserve">Bibliography lives in</w:t>
      </w:r>
      <w:r>
        <w:t xml:space="preserve"> </w:t>
      </w:r>
      <w:hyperlink r:id="rId136">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projects/templates/template_code_project/manuscript/references.bib </w:t>
      </w:r>
      <w:r>
        <w:rPr>
          <w:rStyle w:val="AttributeTok"/>
        </w:rPr>
        <w:t xml:space="preserve">--strict</w:t>
      </w:r>
    </w:p>
    <w:p>
      <w:r>
        <w:br w:type="page"/>
      </w:r>
    </w:p>
    <w:p>
      <w:r>
        <w:br w:type="page"/>
      </w:r>
    </w:p>
    <w:p>
      <w:pPr>
        <w:pStyle w:val="Heading1"/>
      </w:pPr>
      <w:bookmarkStart w:id="137" w:name="_cc60b8522e8d607037bac5c8963977193477bb5"/>
      <w:r>
        <w:t xml:space="preserve">END OF TRANSMISSION</w:t>
      </w:r>
      <w:bookmarkEnd w:id="137"/>
    </w:p>
    <w:p>
      <w:pPr>
        <w:pStyle w:val="TemplateTransmission"/>
      </w:pPr>
      <w:r>
        <w:rPr>
          <w:b/>
          <w:bCs/>
        </w:rPr>
        <w:t xml:space="preserve">Release:</w:t>
      </w:r>
      <w:r>
        <w:t xml:space="preserve"> </w:t>
      </w:r>
      <w:r>
        <w:t xml:space="preserve">v3.0.0 · DOI</w:t>
      </w:r>
      <w:r>
        <w:t xml:space="preserve"> </w:t>
      </w:r>
      <w:r>
        <w:rPr>
          <w:rStyle w:val="VerbatimChar"/>
        </w:rPr>
        <w:t xml:space="preserve">10.5281/zenodo.20417136</w:t>
      </w:r>
      <w:r>
        <w:t xml:space="preserve"> </w:t>
      </w:r>
      <w:r>
        <w:t xml:space="preserve">· SHA-256</w:t>
      </w:r>
      <w:r>
        <w:t xml:space="preserve"> </w:t>
      </w:r>
      <w:r>
        <w:rPr>
          <w:rStyle w:val="VerbatimChar"/>
        </w:rPr>
        <w:t xml:space="preserve">pending…</w:t>
      </w:r>
      <w:r>
        <w:t xml:space="preserve"> </w:t>
      </w:r>
      <w:r>
        <w:t xml:space="preserve">· pairing pending</w:t>
      </w:r>
    </w:p>
    <w:p>
      <w:pPr>
        <w:pStyle w:val="CaptionedFigure"/>
      </w:pPr>
      <w:r>
        <w:drawing>
          <wp:inline>
            <wp:extent cx="4693920" cy="1777647"/>
            <wp:effectExtent b="0" l="0" r="0" t="0"/>
            <wp:docPr descr="Integrity QR strip" title="" id="138" name="Picture"/>
            <a:graphic>
              <a:graphicData uri="http://schemas.openxmlformats.org/drawingml/2006/picture">
                <pic:pic>
                  <pic:nvPicPr>
                    <pic:cNvPr descr="../figures/transmission_integrity_strip.png" id="139" name="Picture"/>
                    <pic:cNvPicPr>
                      <a:picLocks noChangeArrowheads="1" noChangeAspect="1"/>
                    </pic:cNvPicPr>
                  </pic:nvPicPr>
                  <pic:blipFill>
                    <a:blip r:embed="rId11"/>
                    <a:stretch>
                      <a:fillRect/>
                    </a:stretch>
                  </pic:blipFill>
                  <pic:spPr bwMode="auto">
                    <a:xfrm>
                      <a:off x="0" y="0"/>
                      <a:ext cx="4693920" cy="1777647"/>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rPr>
          <w:b/>
          <w:bCs/>
        </w:rPr>
        <w:t xml:space="preserve">Prior:</w:t>
      </w:r>
      <w:r>
        <w:t xml:space="preserve"> </w:t>
      </w:r>
      <w:r>
        <w:rPr>
          <w:i/>
          <w:iCs/>
        </w:rPr>
        <w:t xml:space="preserve">No prior releases.</w:t>
      </w:r>
    </w:p>
    <w:bookmarkStart w:id="155" w:name="_refs"/>
    <w:bookmarkStart w:id="140" w:name="_956b238b0bc11722f52b89bd7a3341836633383"/>
    <w:p>
      <w:pPr>
        <w:pStyle w:val="Bibliography"/>
        <w:ind w:left="720" w:hanging="720"/>
      </w:pPr>
      <w:r>
        <w:t xml:space="preserve">Bertsekas, Dimitri P. 1999.</w:t>
      </w:r>
      <w:r>
        <w:t xml:space="preserve"> </w:t>
      </w:r>
      <w:r>
        <w:rPr>
          <w:i/>
          <w:iCs/>
        </w:rPr>
        <w:t xml:space="preserve">Nonlinear Programming</w:t>
      </w:r>
      <w:r>
        <w:t xml:space="preserve">. 2nd ed. Athena Scientific.</w:t>
      </w:r>
    </w:p>
    <w:bookmarkEnd w:id="140"/>
    <w:bookmarkStart w:id="142" w:name="_bc4ad3475d2a89f60a688f957439b09eda6eb1c"/>
    <w:p>
      <w:pPr>
        <w:pStyle w:val="Bibliography"/>
        <w:ind w:left="720" w:hanging="720"/>
      </w:pPr>
      <w:r>
        <w:t xml:space="preserve">Boyd, Stephen, and Lieven Vandenberghe. 2004.</w:t>
      </w:r>
      <w:r>
        <w:t xml:space="preserve"> </w:t>
      </w:r>
      <w:r>
        <w:rPr>
          <w:i/>
          <w:iCs/>
        </w:rPr>
        <w:t xml:space="preserve">Convex Optimization</w:t>
      </w:r>
      <w:r>
        <w:t xml:space="preserve">. Cambridge University Press.</w:t>
      </w:r>
      <w:r>
        <w:t xml:space="preserve"> </w:t>
      </w:r>
      <w:hyperlink r:id="rId141">
        <w:r>
          <w:rPr>
            <w:rStyle w:val="Hyperlink"/>
          </w:rPr>
          <w:t xml:space="preserve">https://doi.org/10.1017/CBO9780511804441</w:t>
        </w:r>
      </w:hyperlink>
      <w:r>
        <w:t xml:space="preserve">.</w:t>
      </w:r>
    </w:p>
    <w:bookmarkEnd w:id="142"/>
    <w:bookmarkStart w:id="144" w:name="_3ff138bb58573f1a1205068a1ecf39e2d4b4cf4"/>
    <w:p>
      <w:pPr>
        <w:pStyle w:val="Bibliography"/>
        <w:ind w:left="720" w:hanging="720"/>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43">
        <w:r>
          <w:rPr>
            <w:rStyle w:val="Hyperlink"/>
          </w:rPr>
          <w:t xml:space="preserve">https://gallica.bnf.fr/ark:/12148/bpt6k2982c/f540</w:t>
        </w:r>
      </w:hyperlink>
      <w:r>
        <w:t xml:space="preserve">.</w:t>
      </w:r>
    </w:p>
    <w:bookmarkEnd w:id="144"/>
    <w:bookmarkStart w:id="146" w:name="_bd8ac430ed93606da235971265b5251b768b76d"/>
    <w:p>
      <w:pPr>
        <w:pStyle w:val="Bibliography"/>
        <w:ind w:left="720" w:hanging="720"/>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45">
        <w:r>
          <w:rPr>
            <w:rStyle w:val="Hyperlink"/>
          </w:rPr>
          <w:t xml:space="preserve">https://doi.org/10.48550/arXiv.1412.6980</w:t>
        </w:r>
      </w:hyperlink>
      <w:r>
        <w:t xml:space="preserve">.</w:t>
      </w:r>
    </w:p>
    <w:bookmarkEnd w:id="146"/>
    <w:bookmarkStart w:id="148" w:name="_5db4ba7dbc4d12793919fa2749bf3e170336948"/>
    <w:p>
      <w:pPr>
        <w:pStyle w:val="Bibliography"/>
        <w:ind w:left="720" w:hanging="720"/>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47">
        <w:r>
          <w:rPr>
            <w:rStyle w:val="Hyperlink"/>
          </w:rPr>
          <w:t xml:space="preserve">https://doi.org/10.1007/s10107-012-0629-5</w:t>
        </w:r>
      </w:hyperlink>
      <w:r>
        <w:t xml:space="preserve">.</w:t>
      </w:r>
    </w:p>
    <w:bookmarkEnd w:id="148"/>
    <w:bookmarkStart w:id="150" w:name="_755e1be9356060641b53d54dd11f89c6ea8ae55"/>
    <w:p>
      <w:pPr>
        <w:pStyle w:val="Bibliography"/>
        <w:ind w:left="720" w:hanging="720"/>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49">
        <w:r>
          <w:rPr>
            <w:rStyle w:val="Hyperlink"/>
          </w:rPr>
          <w:t xml:space="preserve">https://doi.org/10.1007/978-0-387-40065-5</w:t>
        </w:r>
      </w:hyperlink>
      <w:r>
        <w:t xml:space="preserve">.</w:t>
      </w:r>
    </w:p>
    <w:bookmarkEnd w:id="150"/>
    <w:bookmarkStart w:id="152" w:name="_40379dc421e5de3780b64655bc0c2c1d18dc209"/>
    <w:p>
      <w:pPr>
        <w:pStyle w:val="Bibliography"/>
        <w:ind w:left="720" w:hanging="720"/>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51">
        <w:r>
          <w:rPr>
            <w:rStyle w:val="Hyperlink"/>
          </w:rPr>
          <w:t xml:space="preserve">https://doi.org/10.1126/science.1213847</w:t>
        </w:r>
      </w:hyperlink>
      <w:r>
        <w:t xml:space="preserve">.</w:t>
      </w:r>
    </w:p>
    <w:bookmarkEnd w:id="152"/>
    <w:bookmarkStart w:id="154" w:name="_00a4e6b1fcd45f24b8ce196ec54c5ffbb127da2"/>
    <w:p>
      <w:pPr>
        <w:pStyle w:val="Bibliography"/>
        <w:ind w:left="720" w:hanging="720"/>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53">
        <w:r>
          <w:rPr>
            <w:rStyle w:val="Hyperlink"/>
          </w:rPr>
          <w:t xml:space="preserve">https://doi.org/10.1016/0041-5553(64)90137-5</w:t>
        </w:r>
      </w:hyperlink>
      <w:r>
        <w:t xml:space="preserve">.</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ns0:styles xmlns:ns0="http://schemas.openxmlformats.org/wordprocessingml/2006/main">
  <ns0:docDefaults>
    <ns0:rPrDefault>
      <ns0:rPr>
        <ns0:rFonts ns0:asciiTheme="minorHAnsi" ns0:eastAsiaTheme="minorEastAsia" ns0:hAnsiTheme="minorHAnsi" ns0:cstheme="minorBidi"/>
        <ns0:sz ns0:val="24"/>
        <ns0:szCs ns0:val="24"/>
        <ns0:lang ns0:val="en-US" ns0:eastAsia="zh-CN" ns0:bidi="ar-SA"/>
      </ns0:rPr>
    </ns0:rPrDefault>
    <ns0:pPrDefault>
      <ns0:pPr>
        <ns0:spacing ns0:after="200"/>
      </ns0:pPr>
    </ns0:pPrDefault>
  </ns0:docDefaults>
  <ns0:latentStyles ns0:defLockedState="0" ns0:defUIPriority="0" ns0:defSemiHidden="0" ns0:defUnhideWhenUsed="0" ns0:defQFormat="0" ns0:count="276"/>
  <ns0:style ns0:type="paragraph" ns0:default="1" ns0:styleId="Normal">
    <ns0:name ns0:val="Normal"/>
    <ns0:qFormat/>
  </ns0:style>
  <ns0:style ns0:type="paragraph" ns0:styleId="BodyText">
    <ns0:name ns0:val="Body Text"/>
    <ns0:basedOn ns0:val="Normal"/>
    <ns0:link ns0:val="BodyTextChar"/>
    <ns0:qFormat/>
    <ns0:pPr>
      <ns0:spacing ns0:before="180" ns0:after="180"/>
    </ns0:pPr>
  </ns0:style>
  <ns0:style ns0:type="paragraph" ns0:customStyle="1" ns0:styleId="FirstParagraph">
    <ns0:name ns0:val="First Paragraph"/>
    <ns0:basedOn ns0:val="BodyText"/>
    <ns0:next ns0:val="BodyText"/>
    <ns0:qFormat/>
  </ns0:style>
  <ns0:style ns0:type="paragraph" ns0:customStyle="1" ns0:styleId="Compact">
    <ns0:name ns0:val="Compact"/>
    <ns0:basedOn ns0:val="BodyText"/>
    <ns0:qFormat/>
    <ns0:pPr>
      <ns0:spacing ns0:before="36" ns0:after="36"/>
    </ns0:pPr>
  </ns0:style>
  <ns0:style ns0:type="paragraph" ns0:styleId="Title">
    <ns0:name ns0:val="Title"/>
    <ns0:basedOn ns0:val="Normal"/>
    <ns0:next ns0:val="BodyText"/>
    <ns0:link ns0:val="TitleChar"/>
    <ns0:uiPriority ns0:val="10"/>
    <ns0:qFormat/>
    <ns0:rsid ns0:val="00A10FD9"/>
    <ns0:pPr>
      <ns0:spacing ns0:after="80" ns0:line="240" ns0:lineRule="auto"/>
      <ns0:contextualSpacing/>
      <ns0:jc ns0:val="center"/>
    </ns0:pPr>
    <ns0:rPr>
      <ns0:rFonts ns0:asciiTheme="majorHAnsi" ns0:eastAsiaTheme="majorEastAsia" ns0:hAnsiTheme="majorHAnsi" ns0:cstheme="majorBidi"/>
      <ns0:sz ns0:val="56"/>
      <ns0:szCs ns0:val="56"/>
    </ns0:rPr>
  </ns0:style>
  <ns0:style ns0:type="character" ns0:customStyle="1" ns0:styleId="TitleChar">
    <ns0:name ns0:val="Title Char"/>
    <ns0:basedOn ns0:val="DefaultParagraphFont"/>
    <ns0:link ns0:val="Title"/>
    <ns0:uiPriority ns0:val="10"/>
    <ns0:rsid ns0:val="00A10FD9"/>
    <ns0:rPr>
      <ns0:rFonts ns0:asciiTheme="majorHAnsi" ns0:eastAsiaTheme="majorEastAsia" ns0:hAnsiTheme="majorHAnsi" ns0:cstheme="majorBidi"/>
      <ns0:sz ns0:val="56"/>
      <ns0:szCs ns0:val="56"/>
    </ns0:rPr>
  </ns0:style>
  <ns0:style ns0:type="paragraph" ns0:styleId="Subtitle">
    <ns0:name ns0:val="Subtitle"/>
    <ns0:basedOn ns0:val="Title"/>
    <ns0:next ns0:val="BodyText"/>
    <ns0:link ns0:val="SubtitleChar"/>
    <ns0:uiPriority ns0:val="11"/>
    <ns0:qFormat/>
    <ns0:rsid ns0:val="00A10FD9"/>
    <ns0:pPr>
      <ns0:numPr>
        <ns0:ilvl ns0:val="1"/>
      </ns0:numPr>
    </ns0:pPr>
    <ns0:rPr>
      <ns0:rFonts ns0:eastAsiaTheme="majorEastAsia" ns0:cstheme="majorBidi"/>
      <ns0:spacing ns0:val="15"/>
      <ns0:sz ns0:val="28"/>
      <ns0:szCs ns0:val="28"/>
    </ns0:rPr>
  </ns0:style>
  <ns0:style ns0:type="character" ns0:customStyle="1" ns0:styleId="SubtitleChar">
    <ns0:name ns0:val="Subtitle Char"/>
    <ns0:basedOn ns0:val="DefaultParagraphFont"/>
    <ns0:link ns0:val="Subtitle"/>
    <ns0:uiPriority ns0:val="11"/>
    <ns0:rsid ns0:val="00A10FD9"/>
    <ns0:rPr>
      <ns0:rFonts ns0:eastAsiaTheme="majorEastAsia" ns0:cstheme="majorBidi"/>
      <ns0:color ns0:val="595959" ns0:themeColor="text1" ns0:themeTint="A6"/>
      <ns0:spacing ns0:val="15"/>
      <ns0:sz ns0:val="28"/>
      <ns0:szCs ns0:val="28"/>
    </ns0:rPr>
  </ns0:style>
  <ns0:style ns0:type="paragraph" ns0:customStyle="1" ns0:styleId="Author">
    <ns0:name ns0:val="Author"/>
    <ns0:basedOn ns0:val="Title"/>
    <ns0:next ns0:val="BodyText"/>
    <ns0:qFormat/>
    <ns0:pPr>
      <ns0:keepNext/>
      <ns0:keepLines/>
    </ns0:pPr>
    <ns0:rPr>
      <ns0:sz ns0:val="24"/>
      <ns0:szCs ns0:val="24"/>
    </ns0:rPr>
  </ns0:style>
  <ns0:style ns0:type="paragraph" ns0:styleId="Date">
    <ns0:name ns0:val="Date"/>
    <ns0:basedOn ns0:val="Title"/>
    <ns0:next ns0:val="BodyText"/>
    <ns0:qFormat/>
    <ns0:pPr>
      <ns0:keepNext/>
      <ns0:keepLines/>
    </ns0:pPr>
    <ns0:rPr>
      <ns0:sz ns0:val="24"/>
      <ns0:szCs ns0:val="24"/>
    </ns0:rPr>
  </ns0:style>
  <ns0:style ns0:type="paragraph" ns0:customStyle="1" ns0:styleId="AbstractTitle">
    <ns0:name ns0:val="Abstract Title"/>
    <ns0:basedOn ns0:val="Normal"/>
    <ns0:next ns0:val="Abstract"/>
    <ns0:qFormat/>
    <ns0:pPr>
      <ns0:keepNext/>
      <ns0:keepLines/>
      <ns0:spacing ns0:before="300" ns0:after="0"/>
      <ns0:jc ns0:val="center"/>
    </ns0:pPr>
    <ns0:rPr>
      <ns0:b/>
      <ns0:sz ns0:val="20"/>
      <ns0:szCs ns0:val="20"/>
    </ns0:rPr>
  </ns0:style>
  <ns0:style ns0:type="paragraph" ns0:customStyle="1" ns0:styleId="Abstract">
    <ns0:name ns0:val="Abstract"/>
    <ns0:basedOn ns0:val="Normal"/>
    <ns0:next ns0:val="BodyText"/>
    <ns0:qFormat/>
    <ns0:pPr>
      <ns0:keepNext/>
      <ns0:keepLines/>
      <ns0:spacing ns0:before="100" ns0:after="300"/>
    </ns0:pPr>
    <ns0:rPr>
      <ns0:sz ns0:val="20"/>
      <ns0:szCs ns0:val="20"/>
    </ns0:rPr>
  </ns0:style>
  <ns0:style ns0:type="paragraph" ns0:styleId="Bibliography">
    <ns0:name ns0:val="Bibliography"/>
    <ns0:basedOn ns0:val="Normal"/>
    <ns0:next ns0:val="Bibliography"/>
    <ns0:qFormat/>
    <ns0:pPr/>
    <ns0:rPr/>
  </ns0:style>
  <ns0:style ns0:type="paragraph" ns0:styleId="Heading1">
    <ns0:name ns0:val="heading 1"/>
    <ns0:basedOn ns0:val="Normal"/>
    <ns0:next ns0:val="BodyText"/>
    <ns0:link ns0:val="Heading1Char"/>
    <ns0:uiPriority ns0:val="9"/>
    <ns0:qFormat/>
    <ns0:rsid ns0:val="00A10FD9"/>
    <ns0:pPr>
      <ns0:keepNext/>
      <ns0:keepLines/>
      <ns0:spacing ns0:before="360" ns0:after="80"/>
      <ns0:outlineLvl ns0:val="0"/>
    </ns0:pPr>
    <ns0:rPr>
      <ns0:rFonts ns0:asciiTheme="majorHAnsi" ns0:eastAsiaTheme="majorEastAsia" ns0:hAnsiTheme="majorHAnsi" ns0:cstheme="majorBidi"/>
      <ns0:color ns0:val="0F4761" ns0:themeColor="accent1" ns0:themeShade="BF"/>
      <ns0:sz ns0:val="40"/>
      <ns0:szCs ns0:val="40"/>
    </ns0:rPr>
  </ns0:style>
  <ns0:style ns0:type="paragraph" ns0:styleId="Heading2">
    <ns0:name ns0:val="heading 2"/>
    <ns0:basedOn ns0:val="Normal"/>
    <ns0:next ns0:val="BodyText"/>
    <ns0:link ns0:val="Heading2Char"/>
    <ns0:uiPriority ns0:val="9"/>
    <ns0:semiHidden/>
    <ns0:unhideWhenUsed/>
    <ns0:qFormat/>
    <ns0:rsid ns0:val="00A10FD9"/>
    <ns0:pPr>
      <ns0:keepNext/>
      <ns0:keepLines/>
      <ns0:spacing ns0:before="160" ns0:after="80"/>
      <ns0:outlineLvl ns0:val="1"/>
    </ns0:pPr>
    <ns0:rPr>
      <ns0:rFonts ns0:asciiTheme="majorHAnsi" ns0:eastAsiaTheme="majorEastAsia" ns0:hAnsiTheme="majorHAnsi" ns0:cstheme="majorBidi"/>
      <ns0:color ns0:val="0F4761" ns0:themeColor="accent1" ns0:themeShade="BF"/>
      <ns0:sz ns0:val="32"/>
      <ns0:szCs ns0:val="32"/>
    </ns0:rPr>
  </ns0:style>
  <ns0:style ns0:type="paragraph" ns0:styleId="Heading3">
    <ns0:name ns0:val="heading 3"/>
    <ns0:basedOn ns0:val="Normal"/>
    <ns0:next ns0:val="BodyText"/>
    <ns0:link ns0:val="Heading3Char"/>
    <ns0:uiPriority ns0:val="9"/>
    <ns0:semiHidden/>
    <ns0:unhideWhenUsed/>
    <ns0:qFormat/>
    <ns0:rsid ns0:val="00A10FD9"/>
    <ns0:pPr>
      <ns0:keepNext/>
      <ns0:keepLines/>
      <ns0:spacing ns0:before="160" ns0:after="80"/>
      <ns0:outlineLvl ns0:val="2"/>
    </ns0:pPr>
    <ns0:rPr>
      <ns0:rFonts ns0:eastAsiaTheme="majorEastAsia" ns0:cstheme="majorBidi"/>
      <ns0:color ns0:val="0F4761" ns0:themeColor="accent1" ns0:themeShade="BF"/>
      <ns0:sz ns0:val="28"/>
      <ns0:szCs ns0:val="28"/>
    </ns0:rPr>
  </ns0:style>
  <ns0:style ns0:type="paragraph" ns0:styleId="Heading4">
    <ns0:name ns0:val="heading 4"/>
    <ns0:basedOn ns0:val="Normal"/>
    <ns0:next ns0:val="BodyText"/>
    <ns0:link ns0:val="Heading4Char"/>
    <ns0:uiPriority ns0:val="9"/>
    <ns0:semiHidden/>
    <ns0:unhideWhenUsed/>
    <ns0:qFormat/>
    <ns0:rsid ns0:val="00A10FD9"/>
    <ns0:pPr>
      <ns0:keepNext/>
      <ns0:keepLines/>
      <ns0:spacing ns0:before="80" ns0:after="40"/>
      <ns0:outlineLvl ns0:val="3"/>
    </ns0:pPr>
    <ns0:rPr>
      <ns0:rFonts ns0:eastAsiaTheme="majorEastAsia" ns0:cstheme="majorBidi"/>
      <ns0:i/>
      <ns0:iCs/>
      <ns0:color ns0:val="0F4761" ns0:themeColor="accent1" ns0:themeShade="BF"/>
    </ns0:rPr>
  </ns0:style>
  <ns0:style ns0:type="paragraph" ns0:styleId="Heading5">
    <ns0:name ns0:val="heading 5"/>
    <ns0:basedOn ns0:val="Normal"/>
    <ns0:next ns0:val="BodyText"/>
    <ns0:link ns0:val="Heading5Char"/>
    <ns0:uiPriority ns0:val="9"/>
    <ns0:semiHidden/>
    <ns0:unhideWhenUsed/>
    <ns0:qFormat/>
    <ns0:rsid ns0:val="00A10FD9"/>
    <ns0:pPr>
      <ns0:keepNext/>
      <ns0:keepLines/>
      <ns0:spacing ns0:before="80" ns0:after="40"/>
      <ns0:outlineLvl ns0:val="4"/>
    </ns0:pPr>
    <ns0:rPr>
      <ns0:rFonts ns0:eastAsiaTheme="majorEastAsia" ns0:cstheme="majorBidi"/>
      <ns0:color ns0:val="0F4761" ns0:themeColor="accent1" ns0:themeShade="BF"/>
    </ns0:rPr>
  </ns0:style>
  <ns0:style ns0:type="paragraph" ns0:styleId="Heading6">
    <ns0:name ns0:val="heading 6"/>
    <ns0:basedOn ns0:val="Normal"/>
    <ns0:next ns0:val="BodyText"/>
    <ns0:link ns0:val="Heading6Char"/>
    <ns0:uiPriority ns0:val="9"/>
    <ns0:semiHidden/>
    <ns0:unhideWhenUsed/>
    <ns0:qFormat/>
    <ns0:rsid ns0:val="00A10FD9"/>
    <ns0:pPr>
      <ns0:keepNext/>
      <ns0:keepLines/>
      <ns0:spacing ns0:before="40" ns0:after="0"/>
      <ns0:outlineLvl ns0:val="5"/>
    </ns0:pPr>
    <ns0:rPr>
      <ns0:rFonts ns0:eastAsiaTheme="majorEastAsia" ns0:cstheme="majorBidi"/>
      <ns0:i/>
      <ns0:iCs/>
      <ns0:color ns0:val="595959" ns0:themeColor="text1" ns0:themeTint="A6"/>
    </ns0:rPr>
  </ns0:style>
  <ns0:style ns0:type="paragraph" ns0:styleId="Heading7">
    <ns0:name ns0:val="heading 7"/>
    <ns0:basedOn ns0:val="Normal"/>
    <ns0:next ns0:val="BodyText"/>
    <ns0:link ns0:val="Heading7Char"/>
    <ns0:uiPriority ns0:val="9"/>
    <ns0:semiHidden/>
    <ns0:unhideWhenUsed/>
    <ns0:qFormat/>
    <ns0:rsid ns0:val="00A10FD9"/>
    <ns0:pPr>
      <ns0:keepNext/>
      <ns0:keepLines/>
      <ns0:spacing ns0:before="40" ns0:after="0"/>
      <ns0:outlineLvl ns0:val="6"/>
    </ns0:pPr>
    <ns0:rPr>
      <ns0:rFonts ns0:eastAsiaTheme="majorEastAsia" ns0:cstheme="majorBidi"/>
      <ns0:color ns0:val="595959" ns0:themeColor="text1" ns0:themeTint="A6"/>
    </ns0:rPr>
  </ns0:style>
  <ns0:style ns0:type="paragraph" ns0:styleId="Heading8">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eastAsiaTheme="majorEastAsia" ns0:cstheme="majorBidi"/>
      <ns0:i/>
      <ns0:iCs/>
      <ns0:color ns0:val="272727" ns0:themeColor="text1" ns0:themeTint="D8"/>
    </ns0:rPr>
  </ns0:style>
  <ns0:style ns0:type="paragraph" ns0:styleId="Heading9">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eastAsiaTheme="majorEastAsia" ns0:cstheme="majorBidi"/>
      <ns0:color ns0:val="272727" ns0:themeColor="text1" ns0:themeTint="D8"/>
    </ns0:rPr>
  </ns0:style>
  <ns0:style ns0:type="character" ns0:customStyle="1" ns0:styleId="Heading1Char">
    <ns0:name ns0:val="Heading 1 Char"/>
    <ns0:basedOn ns0:val="DefaultParagraphFont"/>
    <ns0:link ns0:val="Heading1"/>
    <ns0:uiPriority ns0:val="9"/>
    <ns0:rsid ns0:val="00A10FD9"/>
    <ns0:rPr>
      <ns0:rFonts ns0:asciiTheme="majorHAnsi" ns0:eastAsiaTheme="majorEastAsia" ns0:hAnsiTheme="majorHAnsi" ns0:cstheme="majorBidi"/>
      <ns0:color ns0:val="0F4761" ns0:themeColor="accent1" ns0:themeShade="BF"/>
      <ns0:sz ns0:val="40"/>
      <ns0:szCs ns0:val="40"/>
    </ns0:rPr>
  </ns0:style>
  <ns0:style ns0:type="character" ns0:customStyle="1" ns0:styleId="Heading2Char">
    <ns0:name ns0:val="Heading 2 Char"/>
    <ns0:basedOn ns0:val="DefaultParagraphFont"/>
    <ns0:link ns0:val="Heading2"/>
    <ns0:uiPriority ns0:val="9"/>
    <ns0:semiHidden/>
    <ns0:rsid ns0:val="00A10FD9"/>
    <ns0:rPr>
      <ns0:rFonts ns0:asciiTheme="majorHAnsi" ns0:eastAsiaTheme="majorEastAsia" ns0:hAnsiTheme="majorHAnsi" ns0:cstheme="majorBidi"/>
      <ns0:color ns0:val="0F4761" ns0:themeColor="accent1" ns0:themeShade="BF"/>
      <ns0:sz ns0:val="32"/>
      <ns0:szCs ns0:val="32"/>
    </ns0:rPr>
  </ns0:style>
  <ns0:style ns0:type="character" ns0:customStyle="1" ns0:styleId="Heading3Char">
    <ns0:name ns0:val="Heading 3 Char"/>
    <ns0:basedOn ns0:val="DefaultParagraphFont"/>
    <ns0:link ns0:val="Heading3"/>
    <ns0:uiPriority ns0:val="9"/>
    <ns0:semiHidden/>
    <ns0:rsid ns0:val="00A10FD9"/>
    <ns0:rPr>
      <ns0:rFonts ns0:eastAsiaTheme="majorEastAsia" ns0:cstheme="majorBidi"/>
      <ns0:color ns0:val="0F4761" ns0:themeColor="accent1" ns0:themeShade="BF"/>
      <ns0:sz ns0:val="28"/>
      <ns0:szCs ns0:val="28"/>
    </ns0:rPr>
  </ns0:style>
  <ns0:style ns0:type="character" ns0:customStyle="1" ns0:styleId="Heading4Char">
    <ns0:name ns0:val="Heading 4 Char"/>
    <ns0:basedOn ns0:val="DefaultParagraphFont"/>
    <ns0:link ns0:val="Heading4"/>
    <ns0:uiPriority ns0:val="9"/>
    <ns0:semiHidden/>
    <ns0:rsid ns0:val="00A10FD9"/>
    <ns0:rPr>
      <ns0:rFonts ns0:eastAsiaTheme="majorEastAsia" ns0:cstheme="majorBidi"/>
      <ns0:i/>
      <ns0:iCs/>
      <ns0:color ns0:val="0F4761" ns0:themeColor="accent1" ns0:themeShade="BF"/>
    </ns0:rPr>
  </ns0:style>
  <ns0:style ns0:type="character" ns0:customStyle="1" ns0:styleId="Heading5Char">
    <ns0:name ns0:val="Heading 5 Char"/>
    <ns0:basedOn ns0:val="DefaultParagraphFont"/>
    <ns0:link ns0:val="Heading5"/>
    <ns0:uiPriority ns0:val="9"/>
    <ns0:semiHidden/>
    <ns0:rsid ns0:val="00A10FD9"/>
    <ns0:rPr>
      <ns0:rFonts ns0:eastAsiaTheme="majorEastAsia" ns0:cstheme="majorBidi"/>
      <ns0:color ns0:val="0F4761" ns0:themeColor="accent1" ns0:themeShade="BF"/>
    </ns0:rPr>
  </ns0:style>
  <ns0:style ns0:type="character" ns0:customStyle="1" ns0:styleId="Heading6Char">
    <ns0:name ns0:val="Heading 6 Char"/>
    <ns0:basedOn ns0:val="DefaultParagraphFont"/>
    <ns0:link ns0:val="Heading6"/>
    <ns0:uiPriority ns0:val="9"/>
    <ns0:semiHidden/>
    <ns0:rsid ns0:val="00A10FD9"/>
    <ns0:rPr>
      <ns0:rFonts ns0:eastAsiaTheme="majorEastAsia" ns0:cstheme="majorBidi"/>
      <ns0:i/>
      <ns0:iCs/>
      <ns0:color ns0:val="595959" ns0:themeColor="text1" ns0:themeTint="A6"/>
    </ns0:rPr>
  </ns0:style>
  <ns0:style ns0:type="character" ns0:customStyle="1" ns0:styleId="Heading7Char">
    <ns0:name ns0:val="Heading 7 Char"/>
    <ns0:basedOn ns0:val="DefaultParagraphFont"/>
    <ns0:link ns0:val="Heading7"/>
    <ns0:uiPriority ns0:val="9"/>
    <ns0:semiHidden/>
    <ns0:rsid ns0:val="00A10FD9"/>
    <ns0:rPr>
      <ns0:rFonts ns0:eastAsiaTheme="majorEastAsia" ns0:cstheme="majorBidi"/>
      <ns0:color ns0:val="595959" ns0:themeColor="text1" ns0:themeTint="A6"/>
    </ns0:rPr>
  </ns0:style>
  <ns0:style ns0:type="character" ns0:customStyle="1" ns0:styleId="Heading8Char">
    <ns0:name ns0:val="Heading 8 Char"/>
    <ns0:basedOn ns0:val="DefaultParagraphFont"/>
    <ns0:link ns0:val="Heading8"/>
    <ns0:uiPriority ns0:val="9"/>
    <ns0:semiHidden/>
    <ns0:rsid ns0:val="00A10FD9"/>
    <ns0:rPr>
      <ns0:rFonts ns0:eastAsiaTheme="majorEastAsia" ns0:cstheme="majorBidi"/>
      <ns0:i/>
      <ns0:iCs/>
      <ns0:color ns0:val="272727" ns0:themeColor="text1" ns0:themeTint="D8"/>
    </ns0:rPr>
  </ns0:style>
  <ns0:style ns0:type="character" ns0:customStyle="1" ns0:styleId="Heading9Char">
    <ns0:name ns0:val="Heading 9 Char"/>
    <ns0:basedOn ns0:val="DefaultParagraphFont"/>
    <ns0:link ns0:val="Heading9"/>
    <ns0:uiPriority ns0:val="9"/>
    <ns0:semiHidden/>
    <ns0:rsid ns0:val="00A10FD9"/>
    <ns0:rPr>
      <ns0:rFonts ns0:eastAsiaTheme="majorEastAsia" ns0:cstheme="majorBidi"/>
      <ns0:color ns0:val="272727" ns0:themeColor="text1" ns0:themeTint="D8"/>
    </ns0:rPr>
  </ns0:style>
  <ns0:style ns0:type="paragraph" ns0:styleId="BlockText">
    <ns0:name ns0:val="Block Text"/>
    <ns0:basedOn ns0:val="BodyText"/>
    <ns0:next ns0:val="BodyText"/>
    <ns0:uiPriority ns0:val="9"/>
    <ns0:unhideWhenUsed/>
    <ns0:qFormat/>
    <ns0:pPr>
      <ns0:spacing ns0:before="100" ns0:after="100"/>
      <ns0:ind ns0:firstLine="0" ns0:left="480" ns0:right="480"/>
    </ns0:pPr>
  </ns0:style>
  <ns0:style ns0:type="paragraph" ns0:styleId="FootnoteText">
    <ns0:name ns0:val="Footnote Text"/>
    <ns0:basedOn ns0:val="Normal"/>
    <ns0:next ns0:val="FootnoteText"/>
    <ns0:uiPriority ns0:val="9"/>
    <ns0:unhideWhenUsed/>
    <ns0:qFormat/>
  </ns0:style>
  <ns0:style ns0:type="paragraph" ns0:styleId="FootnoteBlockText">
    <ns0:name ns0:val="Footnote Block Text"/>
    <ns0:basedOn ns0:val="FootnoteText"/>
    <ns0:next ns0:val="FootnoteText"/>
    <ns0:uiPriority ns0:val="9"/>
    <ns0:unhideWhenUsed/>
    <ns0:qFormat/>
    <ns0:pPr>
      <ns0:spacing ns0:before="100" ns0:after="100"/>
      <ns0:ind ns0:firstLine="0" ns0:left="480" ns0:right="480"/>
    </ns0:pPr>
  </ns0:style>
  <ns0:style ns0:type="character" ns0:default="1" ns0:styleId="DefaultParagraphFont">
    <ns0:name ns0:val="Default Paragraph Font"/>
    <ns0:semiHidden/>
    <ns0:unhideWhenUsed/>
  </ns0:style>
  <ns0:style ns0:type="table" ns0:default="1" ns0:styleId="Table">
    <ns0:name ns0:val="Table"/>
    <ns0:basedOn ns0:val="TableNormal"/>
    <ns0:qFormat/>
    <ns0:tblPr>
      <ns0:tblInd ns0:w="0" ns0:type="dxa"/>
      <ns0:tblCellMar>
        <ns0:top ns0:w="0" ns0:type="dxa"/>
        <ns0:left ns0:w="108" ns0:type="dxa"/>
        <ns0:bottom ns0:w="0" ns0:type="dxa"/>
        <ns0:right ns0:w="108" ns0:type="dxa"/>
      </ns0:tblCellMar>
    </ns0:tblPr>
    <ns0:tblStylePr ns0:type="firstRow">
      <ns0:tcPr>
        <ns0:tcBorders>
          <ns0:bottom ns0:val="single"/>
        </ns0:tcBorders>
        <ns0:vAlign ns0:val="bottom"/>
      </ns0:tcPr>
    </ns0:tblStylePr>
  </ns0:style>
  <ns0:style ns0:type="paragraph" ns0:customStyle="1" ns0:styleId="DefinitionTerm">
    <ns0:name ns0:val="Definition Term"/>
    <ns0:basedOn ns0:val="Normal"/>
    <ns0:next ns0:val="Definition"/>
    <ns0:pPr>
      <ns0:keepNext/>
      <ns0:keepLines/>
      <ns0:spacing ns0:after="0"/>
    </ns0:pPr>
    <ns0:rPr>
      <ns0:b/>
    </ns0:rPr>
  </ns0:style>
  <ns0:style ns0:type="paragraph" ns0:customStyle="1" ns0:styleId="Definition">
    <ns0:name ns0:val="Definition"/>
    <ns0:basedOn ns0:val="Normal"/>
  </ns0:style>
  <ns0:style ns0:type="paragraph" ns0:styleId="Caption">
    <ns0:name ns0:val="Caption"/>
    <ns0:basedOn ns0:val="Normal"/>
    <ns0:link ns0:val="BodyTextChar"/>
    <ns0:pPr>
      <ns0:spacing ns0:before="0" ns0:after="120"/>
    </ns0:pPr>
    <ns0:rPr>
      <ns0:i/>
    </ns0:rPr>
  </ns0:style>
  <ns0:style ns0:type="paragraph" ns0:customStyle="1" ns0:styleId="TableCaption">
    <ns0:name ns0:val="Table Caption"/>
    <ns0:basedOn ns0:val="Caption"/>
    <ns0:pPr>
      <ns0:keepNext/>
    </ns0:pPr>
  </ns0:style>
  <ns0:style ns0:type="paragraph" ns0:customStyle="1" ns0:styleId="ImageCaption">
    <ns0:name ns0:val="Image Caption"/>
    <ns0:basedOn ns0:val="Caption"/>
  </ns0:style>
  <ns0:style ns0:type="paragraph" ns0:customStyle="1" ns0:styleId="Figure">
    <ns0:name ns0:val="Figure"/>
    <ns0:basedOn ns0:val="Normal"/>
  </ns0:style>
  <ns0:style ns0:type="paragraph" ns0:customStyle="1" ns0:styleId="CaptionedFigure">
    <ns0:name ns0:val="Captioned Figure"/>
    <ns0:basedOn ns0:val="Figure"/>
    <ns0:pPr>
      <ns0:keepNext/>
    </ns0:pPr>
  </ns0:style>
  <ns0:style ns0:type="character" ns0:customStyle="1" ns0:styleId="BodyTextChar">
    <ns0:name ns0:val="Body Text Char"/>
    <ns0:basedOn ns0:val="DefaultParagraphFont"/>
    <ns0:link ns0:val="BodyText"/>
  </ns0:style>
  <ns0:style ns0:type="character" ns0:customStyle="1" ns0:styleId="VerbatimChar">
    <ns0:name ns0:val="Verbatim Char"/>
    <ns0:basedOn ns0:val="BodyTextChar"/>
    <ns0:rPr>
      <ns0:rFonts ns0:ascii="Consolas" ns0:hAnsi="Consolas"/>
      <ns0:sz ns0:val="22"/>
    </ns0:rPr>
  </ns0:style>
  <ns0:style ns0:type="character" ns0:customStyle="1" ns0:styleId="SectionNumber">
    <ns0:name ns0:val="Section Number"/>
    <ns0:basedOn ns0:val="BodyTextChar"/>
  </ns0:style>
  <ns0:style ns0:type="character" ns0:styleId="FootnoteReference">
    <ns0:name ns0:val="Footnote Reference"/>
    <ns0:basedOn ns0:val="BodyTextChar"/>
    <ns0:rPr>
      <ns0:vertAlign ns0:val="superscript"/>
    </ns0:rPr>
  </ns0:style>
  <ns0:style ns0:type="character" ns0:styleId="Hyperlink">
    <ns0:name ns0:val="Hyperlink"/>
    <ns0:basedOn ns0:val="BodyTextChar"/>
    <ns0:rPr>
      <ns0:color ns0:val="4F81BD" ns0:themeColor="accent1"/>
    </ns0:rPr>
  </ns0:style>
  <ns0:style ns0:type="paragraph" ns0:styleId="TOCHeading">
    <ns0:name ns0:val="TOC Heading"/>
    <ns0:basedOn ns0:val="Heading1"/>
    <ns0:next ns0:val="BodyText"/>
    <ns0:uiPriority ns0:val="39"/>
    <ns0:unhideWhenUsed/>
    <ns0:qFormat/>
    <ns0:pPr>
      <ns0:spacing ns0:before="240" ns0:line="259" ns0:lineRule="auto"/>
      <ns0:outlineLvl ns0:val="9"/>
    </ns0:pPr>
    <ns0:rPr>
      <ns0:rFonts ns0:asciiTheme="majorHAnsi" ns0:eastAsiaTheme="majorEastAsia" ns0:hAnsiTheme="majorHAnsi" ns0:cstheme="majorBidi"/>
      <ns0:b ns0:val="0"/>
      <ns0:bCs ns0:val="0"/>
      <ns0:color ns0:val="365F91" ns0:themeColor="accent1" ns0:themeShade="BF"/>
    </ns0:rPr>
  </ns0:style>
  <ns0:style ns0:type="paragraph" ns0:customStyle="1" ns0:styleId="TemplateTransmission">
    <ns0:name ns0:val="TemplateTransmission"/>
    <ns0:basedOn ns0:val="BodyText"/>
    <ns0:qFormat/>
    <ns0:pPr>
      <ns0:keepNext/>
      <ns0:keepLines/>
      <ns0:spacing ns0:before="0" ns0:after="0"/>
    </ns0:pPr>
    <ns0:rPr>
      <ns0:sz ns0:val="14"/>
      <ns0:szCs ns0:val="14"/>
    </ns0:rPr>
  </ns0:style>
  <ns0:style ns0:type="paragraph" ns0:customStyle="1" ns0:styleId="SourceCode">
    <ns0:name ns0:val="Source Code"/>
    <ns0:basedOn ns0:val="Normal"/>
    <ns0:link ns0:val="VerbatimChar"/>
    <ns0:pPr>
      <ns0:wordWrap ns0:val="off"/>
    </ns0:pPr>
  </ns0:style>
  <ns0:style ns0:type="character" ns0:customStyle="1" ns0:styleId="KeywordTok">
    <ns0:name ns0:val="KeywordTok"/>
    <ns0:basedOn ns0:val="VerbatimChar"/>
    <ns0:rPr>
      <ns0:b/>
      <ns0:color ns0:val="007020"/>
    </ns0:rPr>
  </ns0:style>
  <ns0:style ns0:type="character" ns0:customStyle="1" ns0:styleId="DataTypeTok">
    <ns0:name ns0:val="DataTypeTok"/>
    <ns0:basedOn ns0:val="VerbatimChar"/>
    <ns0:rPr>
      <ns0:color ns0:val="902000"/>
    </ns0:rPr>
  </ns0:style>
  <ns0:style ns0:type="character" ns0:customStyle="1" ns0:styleId="DecValTok">
    <ns0:name ns0:val="DecValTok"/>
    <ns0:basedOn ns0:val="VerbatimChar"/>
    <ns0:rPr>
      <ns0:color ns0:val="40a070"/>
    </ns0:rPr>
  </ns0:style>
  <ns0:style ns0:type="character" ns0:customStyle="1" ns0:styleId="BaseNTok">
    <ns0:name ns0:val="BaseNTok"/>
    <ns0:basedOn ns0:val="VerbatimChar"/>
    <ns0:rPr>
      <ns0:color ns0:val="40a070"/>
    </ns0:rPr>
  </ns0:style>
  <ns0:style ns0:type="character" ns0:customStyle="1" ns0:styleId="FloatTok">
    <ns0:name ns0:val="FloatTok"/>
    <ns0:basedOn ns0:val="VerbatimChar"/>
    <ns0:rPr>
      <ns0:color ns0:val="40a070"/>
    </ns0:rPr>
  </ns0:style>
  <ns0:style ns0:type="character" ns0:customStyle="1" ns0:styleId="ConstantTok">
    <ns0:name ns0:val="ConstantTok"/>
    <ns0:basedOn ns0:val="VerbatimChar"/>
    <ns0:rPr>
      <ns0:color ns0:val="880000"/>
    </ns0:rPr>
  </ns0:style>
  <ns0:style ns0:type="character" ns0:customStyle="1" ns0:styleId="CharTok">
    <ns0:name ns0:val="CharTok"/>
    <ns0:basedOn ns0:val="VerbatimChar"/>
    <ns0:rPr>
      <ns0:color ns0:val="4070a0"/>
    </ns0:rPr>
  </ns0:style>
  <ns0:style ns0:type="character" ns0:customStyle="1" ns0:styleId="SpecialCharTok">
    <ns0:name ns0:val="SpecialCharTok"/>
    <ns0:basedOn ns0:val="VerbatimChar"/>
    <ns0:rPr>
      <ns0:color ns0:val="4070a0"/>
    </ns0:rPr>
  </ns0:style>
  <ns0:style ns0:type="character" ns0:customStyle="1" ns0:styleId="StringTok">
    <ns0:name ns0:val="StringTok"/>
    <ns0:basedOn ns0:val="VerbatimChar"/>
    <ns0:rPr>
      <ns0:color ns0:val="4070a0"/>
    </ns0:rPr>
  </ns0:style>
  <ns0:style ns0:type="character" ns0:customStyle="1" ns0:styleId="VerbatimStringTok">
    <ns0:name ns0:val="VerbatimStringTok"/>
    <ns0:basedOn ns0:val="VerbatimChar"/>
    <ns0:rPr>
      <ns0:color ns0:val="4070a0"/>
    </ns0:rPr>
  </ns0:style>
  <ns0:style ns0:type="character" ns0:customStyle="1" ns0:styleId="SpecialStringTok">
    <ns0:name ns0:val="SpecialStringTok"/>
    <ns0:basedOn ns0:val="VerbatimChar"/>
    <ns0:rPr>
      <ns0:color ns0:val="bb6688"/>
    </ns0:rPr>
  </ns0:style>
  <ns0:style ns0:type="character" ns0:customStyle="1" ns0:styleId="ImportTok">
    <ns0:name ns0:val="ImportTok"/>
    <ns0:basedOn ns0:val="VerbatimChar"/>
    <ns0:rPr>
      <ns0:b/>
      <ns0:color ns0:val="008000"/>
    </ns0:rPr>
  </ns0:style>
  <ns0:style ns0:type="character" ns0:customStyle="1" ns0:styleId="CommentTok">
    <ns0:name ns0:val="CommentTok"/>
    <ns0:basedOn ns0:val="VerbatimChar"/>
    <ns0:rPr>
      <ns0:i/>
      <ns0:color ns0:val="60a0b0"/>
    </ns0:rPr>
  </ns0:style>
  <ns0:style ns0:type="character" ns0:customStyle="1" ns0:styleId="DocumentationTok">
    <ns0:name ns0:val="DocumentationTok"/>
    <ns0:basedOn ns0:val="VerbatimChar"/>
    <ns0:rPr>
      <ns0:i/>
      <ns0:color ns0:val="ba2121"/>
    </ns0:rPr>
  </ns0:style>
  <ns0:style ns0:type="character" ns0:customStyle="1" ns0:styleId="AnnotationTok">
    <ns0:name ns0:val="AnnotationTok"/>
    <ns0:basedOn ns0:val="VerbatimChar"/>
    <ns0:rPr>
      <ns0:b/>
      <ns0:i/>
      <ns0:color ns0:val="60a0b0"/>
    </ns0:rPr>
  </ns0:style>
  <ns0:style ns0:type="character" ns0:customStyle="1" ns0:styleId="CommentVarTok">
    <ns0:name ns0:val="CommentVarTok"/>
    <ns0:basedOn ns0:val="VerbatimChar"/>
    <ns0:rPr>
      <ns0:b/>
      <ns0:i/>
      <ns0:color ns0:val="60a0b0"/>
    </ns0:rPr>
  </ns0:style>
  <ns0:style ns0:type="character" ns0:customStyle="1" ns0:styleId="OtherTok">
    <ns0:name ns0:val="OtherTok"/>
    <ns0:basedOn ns0:val="VerbatimChar"/>
    <ns0:rPr>
      <ns0:color ns0:val="007020"/>
    </ns0:rPr>
  </ns0:style>
  <ns0:style ns0:type="character" ns0:customStyle="1" ns0:styleId="FunctionTok">
    <ns0:name ns0:val="FunctionTok"/>
    <ns0:basedOn ns0:val="VerbatimChar"/>
    <ns0:rPr>
      <ns0:color ns0:val="06287e"/>
    </ns0:rPr>
  </ns0:style>
  <ns0:style ns0:type="character" ns0:customStyle="1" ns0:styleId="VariableTok">
    <ns0:name ns0:val="VariableTok"/>
    <ns0:basedOn ns0:val="VerbatimChar"/>
    <ns0:rPr>
      <ns0:color ns0:val="19177c"/>
    </ns0:rPr>
  </ns0:style>
  <ns0:style ns0:type="character" ns0:customStyle="1" ns0:styleId="ControlFlowTok">
    <ns0:name ns0:val="ControlFlowTok"/>
    <ns0:basedOn ns0:val="VerbatimChar"/>
    <ns0:rPr>
      <ns0:b/>
      <ns0:color ns0:val="007020"/>
    </ns0:rPr>
  </ns0:style>
  <ns0:style ns0:type="character" ns0:customStyle="1" ns0:styleId="OperatorTok">
    <ns0:name ns0:val="OperatorTok"/>
    <ns0:basedOn ns0:val="VerbatimChar"/>
    <ns0:rPr>
      <ns0:color ns0:val="666666"/>
    </ns0:rPr>
  </ns0:style>
  <ns0:style ns0:type="character" ns0:customStyle="1" ns0:styleId="BuiltInTok">
    <ns0:name ns0:val="BuiltInTok"/>
    <ns0:basedOn ns0:val="VerbatimChar"/>
    <ns0:rPr>
      <ns0:color ns0:val="008000"/>
    </ns0:rPr>
  </ns0:style>
  <ns0:style ns0:type="character" ns0:customStyle="1" ns0:styleId="ExtensionTok">
    <ns0:name ns0:val="ExtensionTok"/>
    <ns0:basedOn ns0:val="VerbatimChar"/>
    <ns0:rPr/>
  </ns0:style>
  <ns0:style ns0:type="character" ns0:customStyle="1" ns0:styleId="PreprocessorTok">
    <ns0:name ns0:val="PreprocessorTok"/>
    <ns0:basedOn ns0:val="VerbatimChar"/>
    <ns0:rPr>
      <ns0:color ns0:val="bc7a00"/>
    </ns0:rPr>
  </ns0:style>
  <ns0:style ns0:type="character" ns0:customStyle="1" ns0:styleId="AttributeTok">
    <ns0:name ns0:val="AttributeTok"/>
    <ns0:basedOn ns0:val="VerbatimChar"/>
    <ns0:rPr>
      <ns0:color ns0:val="7d9029"/>
    </ns0:rPr>
  </ns0:style>
  <ns0:style ns0:type="character" ns0:customStyle="1" ns0:styleId="RegionMarkerTok">
    <ns0:name ns0:val="RegionMarkerTok"/>
    <ns0:basedOn ns0:val="VerbatimChar"/>
    <ns0:rPr/>
  </ns0:style>
  <ns0:style ns0:type="character" ns0:customStyle="1" ns0:styleId="InformationTok">
    <ns0:name ns0:val="InformationTok"/>
    <ns0:basedOn ns0:val="VerbatimChar"/>
    <ns0:rPr>
      <ns0:b/>
      <ns0:i/>
      <ns0:color ns0:val="60a0b0"/>
    </ns0:rPr>
  </ns0:style>
  <ns0:style ns0:type="character" ns0:customStyle="1" ns0:styleId="WarningTok">
    <ns0:name ns0:val="WarningTok"/>
    <ns0:basedOn ns0:val="VerbatimChar"/>
    <ns0:rPr>
      <ns0:b/>
      <ns0:i/>
      <ns0:color ns0:val="60a0b0"/>
    </ns0:rPr>
  </ns0:style>
  <ns0:style ns0:type="character" ns0:customStyle="1" ns0:styleId="AlertTok">
    <ns0:name ns0:val="AlertTok"/>
    <ns0:basedOn ns0:val="VerbatimChar"/>
    <ns0:rPr>
      <ns0:b/>
      <ns0:color ns0:val="ff0000"/>
    </ns0:rPr>
  </ns0:style>
  <ns0:style ns0:type="character" ns0:customStyle="1" ns0:styleId="ErrorTok">
    <ns0:name ns0:val="ErrorTok"/>
    <ns0:basedOn ns0:val="VerbatimChar"/>
    <ns0:rPr>
      <ns0:b/>
      <ns0:color ns0:val="ff0000"/>
    </ns0:rPr>
  </ns0:style>
  <ns0:style ns0:type="character" ns0:customStyle="1" ns0:styleId="NormalTok">
    <ns0:name ns0:val="NormalTok"/>
    <ns0:basedOn ns0:val="VerbatimChar"/>
    <ns0:rPr/>
  </ns0:style>
</ns0: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7" Target="media/rId87.png" /><Relationship Type="http://schemas.openxmlformats.org/officeDocument/2006/relationships/image" Id="rId55" Target="media/rId55.png" /><Relationship Type="http://schemas.openxmlformats.org/officeDocument/2006/relationships/image" Id="rId69" Target="media/rId69.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60" Target="media/rId60.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Convergence Analysis of Gradient Descent Optimization</dc:title>
  <dc:creator>Daniel Ari Friedman</dc:creator>
  <cp:keywords/>
  <dcterms:created xsi:type="dcterms:W3CDTF">2026-10-29T21:28:46Z</dcterms:created>
  <dcterms:modified xsi:type="dcterms:W3CDTF">2026-10-29T21:28:46Z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date">
    <vt:lpwstr>2026-06-26</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subtitle">
    <vt:lpwstr>Theoretical Bounds and Empirical Performance in Quadratic Minimization</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