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: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paper documents</w:t>
      </w:r>
      <w:r>
        <w:t xml:space="preserve"> </w:t>
      </w:r>
      <w:r>
        <w:rPr>
          <w:rStyle w:val="VerbatimChar"/>
        </w:rPr>
        <w:t xml:space="preserve">template_prose_project</w:t>
      </w:r>
      <w:r>
        <w:t xml:space="preserve">, the prose-focused exemplar of the</w:t>
      </w:r>
      <w:r>
        <w:t xml:space="preserve"> </w:t>
      </w:r>
      <w:hyperlink r:id="rId9">
        <w:r>
          <w:rPr>
            <w:rStyle w:val="Hyperlink"/>
          </w:rPr>
          <w:t xml:space="preserve">Research Project Template</w:t>
        </w:r>
      </w:hyperlink>
      <w:r>
        <w:t xml:space="preserve">. It pairs the template’s two-layer architecture with the</w:t>
      </w:r>
      <w:r>
        <w:t xml:space="preserve"> </w:t>
      </w:r>
      <w:hyperlink r:id="rId10">
        <w:r>
          <w:rPr>
            <w:rStyle w:val="Hyperlink"/>
          </w:rPr>
          <w:t xml:space="preserve">prose analysis infrastructure</w:t>
        </w:r>
      </w:hyperlink>
      <w:r>
        <w:t xml:space="preserve"> </w:t>
      </w:r>
      <w:r>
        <w:t xml:space="preserve">(readability metrics, structural outline, editorial quality flags) and the</w:t>
      </w:r>
      <w:r>
        <w:t xml:space="preserve"> </w:t>
      </w:r>
      <w:hyperlink r:id="rId11">
        <w:r>
          <w:rPr>
            <w:rStyle w:val="Hyperlink"/>
          </w:rPr>
          <w:t xml:space="preserve">reference validation infrastructure</w:t>
        </w:r>
      </w:hyperlink>
      <w:r>
        <w:t xml:space="preserve"> </w:t>
      </w:r>
      <w:r>
        <w:t xml:space="preserve">(BibTeX validation), demonstrating that</w:t>
      </w:r>
      <w:r>
        <w:t xml:space="preserve"> </w:t>
      </w:r>
      <w:r>
        <w:rPr>
          <w:b/>
          <w:bCs/>
        </w:rPr>
        <w:t xml:space="preserve">rigorous editorial review can be expressed as a configurable, deterministic pipeline</w:t>
      </w:r>
      <w:r>
        <w:t xml:space="preserve"> </w:t>
      </w:r>
      <w:r>
        <w:t xml:space="preserve">with no novel domain algorithm of its own.</w:t>
      </w:r>
    </w:p>
    <w:p>
      <w:pPr>
        <w:pStyle w:val="BodyText"/>
      </w:pPr>
      <w:r>
        <w:t xml:space="preserve">A single</w:t>
      </w:r>
      <w:r>
        <w:t xml:space="preserve"> </w:t>
      </w:r>
      <w:r>
        <w:rPr>
          <w:rStyle w:val="VerbatimChar"/>
        </w:rPr>
        <w:t xml:space="preserve">manuscript/config.yaml</w:t>
      </w:r>
      <w:r>
        <w:t xml:space="preserve"> </w:t>
      </w:r>
      <w:r>
        <w:t xml:space="preserve">defines target grade-level bands, citation-density floors, structural rules (every section has an H1, no heading levels skipped), and bibliography-consistency policy. The pipeline reads the manuscript, runs the prose analysers, cross-checks every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citation against</w:t>
      </w:r>
      <w:r>
        <w:t xml:space="preserve"> </w:t>
      </w:r>
      <w:r>
        <w:rPr>
          <w:rStyle w:val="VerbatimChar"/>
        </w:rPr>
        <w:t xml:space="preserve">manuscript/references.bib</w:t>
      </w:r>
      <w:r>
        <w:t xml:space="preserve">, evaluates the configured checks, and writes a deterministic markdown review report alongside three figures (per-file word counts, readability metrics, citation density) and a JSON</w:t>
      </w:r>
      <w:r>
        <w:t xml:space="preserve"> </w:t>
      </w:r>
      <w:r>
        <w:rPr>
          <w:rStyle w:val="VerbatimChar"/>
        </w:rPr>
        <w:t xml:space="preserve">manuscript_report.json</w:t>
      </w:r>
      <w:r>
        <w:t xml:space="preserve"> </w:t>
      </w:r>
      <w:r>
        <w:t xml:space="preserve">suitable for CI artefacts.</w:t>
      </w:r>
    </w:p>
    <w:p>
      <w:pPr>
        <w:pStyle w:val="BodyText"/>
      </w:pPr>
      <w:r>
        <w:rPr>
          <w:b/>
          <w:bCs/>
        </w:rPr>
        <w:t xml:space="preserve">Run snapshot.</w:t>
      </w:r>
      <w:r>
        <w:t xml:space="preserve"> </w:t>
      </w:r>
      <w:r>
        <w:t xml:space="preserve">The current configuration analyses 8 file(s) totalling 1802 words across 86 sentence(s) and 63 paragraph(s). Average Flesch-Kincaid grade level is 16.58; average Gunning Fog index is 17.56; the manuscript references 6 unique citation key(s); the longest section is 413 words and the shortest is 17. These numbers are auto-substituted by</w:t>
      </w:r>
      <w:r>
        <w:t xml:space="preserve"> </w:t>
      </w:r>
      <w:r>
        <w:rPr>
          <w:rStyle w:val="VerbatimChar"/>
        </w:rPr>
        <w:t xml:space="preserve">scripts/z_generate_manuscript_variables.py</w:t>
      </w:r>
      <w:r>
        <w:t xml:space="preserve"> </w:t>
      </w:r>
      <w:r>
        <w:t xml:space="preserve">after every run, so the abstract tracks the JSON outputs in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.</w:t>
      </w:r>
    </w:p>
    <w:p>
      <w:pPr>
        <w:pStyle w:val="BodyText"/>
      </w:pPr>
      <w:r>
        <w:t xml:space="preserve">The contribution is methodological and architectural: a</w:t>
      </w:r>
      <w:r>
        <w:t xml:space="preserve"> </w:t>
      </w:r>
      <w:r>
        <w:rPr>
          <w:i/>
          <w:iCs/>
        </w:rPr>
        <w:t xml:space="preserve">generic, reusable</w:t>
      </w:r>
      <w:r>
        <w:t xml:space="preserve"> </w:t>
      </w:r>
      <w:r>
        <w:t xml:space="preserve">prose-quality module (</w:t>
      </w:r>
      <w:r>
        <w:rPr>
          <w:rStyle w:val="VerbatimChar"/>
        </w:rPr>
        <w:t xml:space="preserve">infrastructure/prose/</w:t>
      </w:r>
      <w:r>
        <w:t xml:space="preserve">) that any project in the template can opt into, plus a</w:t>
      </w:r>
      <w:r>
        <w:t xml:space="preserve"> </w:t>
      </w:r>
      <w:r>
        <w:rPr>
          <w:i/>
          <w:iCs/>
        </w:rPr>
        <w:t xml:space="preserve">minimal, configurable</w:t>
      </w:r>
      <w:r>
        <w:t xml:space="preserve"> </w:t>
      </w:r>
      <w:r>
        <w:t xml:space="preserve">exemplar (</w:t>
      </w:r>
      <w:r>
        <w:rPr>
          <w:rStyle w:val="VerbatimChar"/>
        </w:rPr>
        <w:t xml:space="preserve">projects/template_prose_project/</w:t>
      </w:r>
      <w:r>
        <w:t xml:space="preserve">) that wires it to the bibliography and the manuscript pipeline. Together with</w:t>
      </w:r>
      <w:r>
        <w:t xml:space="preserve"> </w:t>
      </w:r>
      <w:r>
        <w:rPr>
          <w:rStyle w:val="VerbatimChar"/>
        </w:rPr>
        <w:t xml:space="preserve">template_code_project</w:t>
      </w:r>
      <w:r>
        <w:t xml:space="preserve"> </w:t>
      </w:r>
      <w:r>
        <w:t xml:space="preserve">(numerical research) and the optional</w:t>
      </w:r>
      <w:r>
        <w:t xml:space="preserve"> </w:t>
      </w:r>
      <w:r>
        <w:rPr>
          <w:rStyle w:val="VerbatimChar"/>
        </w:rPr>
        <w:t xml:space="preserve">projects_archive/template_search_project</w:t>
      </w:r>
      <w:r>
        <w:t xml:space="preserve"> </w:t>
      </w:r>
      <w:r>
        <w:t xml:space="preserve">add-on (literature discovery), it covers the dominant shapes of academic research projects in the template.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prose analysis, readability, editorial review, reproducible manuscript review, scientific infrastructure</w:t>
      </w:r>
    </w:p>
    <w:bookmarkEnd w:id="12"/>
    <w:bookmarkStart w:id="17" w:name="sec: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Editorial review is one of the longest-lived bottlenecks in scientific writing — and an obvious target for the kind of</w:t>
      </w:r>
      <w:r>
        <w:t xml:space="preserve"> </w:t>
      </w:r>
      <w:r>
        <w:rPr>
          <w:i/>
          <w:iCs/>
        </w:rPr>
        <w:t xml:space="preserve">reproducible computational workflow</w:t>
      </w:r>
      <w:r>
        <w:t xml:space="preserve"> </w:t>
      </w:r>
      <w:r>
        <w:t xml:space="preserve">advocated by</w:t>
      </w:r>
      <w:r>
        <w:t xml:space="preserve"> </w:t>
      </w:r>
      <w:r>
        <w:t xml:space="preserve">(Peng 2011)</w:t>
      </w:r>
      <w:r>
        <w:t xml:space="preserve">. A working draft accumulates structural drift (skipped heading levels, sections that have grown to 2,000 words while their siblings sit at 200), readability drift (a once-clean introduction now reads at the Gunning Fog level of a legal contract</w:t>
      </w:r>
      <w:r>
        <w:t xml:space="preserve"> </w:t>
      </w:r>
      <w:r>
        <w:t xml:space="preserve">(Gunning 1952)</w:t>
      </w:r>
      <w:r>
        <w:t xml:space="preserve">), and citation drift (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references that no longer exist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, or bibliography entries that nobody actually cites). The traditional remedy — a senior co-author re-reading the manuscript with</w:t>
      </w:r>
      <w:r>
        <w:t xml:space="preserve"> </w:t>
      </w:r>
      <w:r>
        <w:t xml:space="preserve">(Strunk and White 2000)</w:t>
      </w:r>
      <w:r>
        <w:t xml:space="preserve"> </w:t>
      </w:r>
      <w:r>
        <w:t xml:space="preserve">in hand — is slow, non-reproducible, and impossible to apply continuously.</w:t>
      </w:r>
    </w:p>
    <w:p>
      <w:pPr>
        <w:pStyle w:val="BodyText"/>
      </w:pPr>
      <w:r>
        <w:rPr>
          <w:rStyle w:val="VerbatimChar"/>
        </w:rPr>
        <w:t xml:space="preserve">template_prose_project</w:t>
      </w:r>
      <w:r>
        <w:t xml:space="preserve"> </w:t>
      </w:r>
      <w:r>
        <w:t xml:space="preserve">exists to demonstrate that the editorial-review pass can be expressed as a</w:t>
      </w:r>
      <w:r>
        <w:t xml:space="preserve"> </w:t>
      </w:r>
      <w:r>
        <w:rPr>
          <w:b/>
          <w:bCs/>
        </w:rPr>
        <w:t xml:space="preserve">deterministic, configurable, infrastructure-backed pipeline</w:t>
      </w:r>
      <w:r>
        <w:t xml:space="preserve">. Like the permanent sibling exemplar</w:t>
      </w:r>
      <w:r>
        <w:t xml:space="preserve"> </w:t>
      </w:r>
      <w:hyperlink r:id="rId13">
        <w:r>
          <w:rPr>
            <w:rStyle w:val="VerbatimChar"/>
          </w:rPr>
          <w:t xml:space="preserve">template_code_project</w:t>
        </w:r>
      </w:hyperlink>
      <w:r>
        <w:t xml:space="preserve"> </w:t>
      </w:r>
      <w:r>
        <w:t xml:space="preserve">(numerical research) and the optional search add-on</w:t>
      </w:r>
      <w:r>
        <w:t xml:space="preserve"> </w:t>
      </w:r>
      <w:hyperlink r:id="rId14">
        <w:r>
          <w:rPr>
            <w:rStyle w:val="VerbatimChar"/>
          </w:rPr>
          <w:t xml:space="preserve">template_search_project</w:t>
        </w:r>
      </w:hyperlink>
      <w:r>
        <w:t xml:space="preserve"> </w:t>
      </w:r>
      <w:r>
        <w:t xml:space="preserve">(literature discovery), this project carries no novel research contribution of its own; its purpose is to show how to compose existing template infrastructure into a complete, reproducible research workflow — in this case, an editorial workflow.</w:t>
      </w:r>
    </w:p>
    <w:p>
      <w:pPr>
        <w:pStyle w:val="BodyText"/>
      </w:pPr>
      <w:r>
        <w:t xml:space="preserve">The architecture is simple.</w:t>
      </w:r>
      <w:r>
        <w:t xml:space="preserve"> </w:t>
      </w:r>
      <w:r>
        <w:rPr>
          <w:rStyle w:val="VerbatimChar"/>
        </w:rPr>
        <w:t xml:space="preserve">manuscript/config.yaml</w:t>
      </w:r>
      <w:r>
        <w:t xml:space="preserve"> </w:t>
      </w:r>
      <w:r>
        <w:t xml:space="preserve">defines policy: target grade-level band, citation-density floor, heading-structure rules, bibliography-consistency policy.</w:t>
      </w:r>
      <w:r>
        <w:t xml:space="preserve"> </w:t>
      </w:r>
      <w:r>
        <w:rPr>
          <w:rStyle w:val="VerbatimChar"/>
        </w:rPr>
        <w:t xml:space="preserve">src/pipeline.py::run_prose_pipeline</w:t>
      </w:r>
      <w:r>
        <w:t xml:space="preserve"> </w:t>
      </w:r>
      <w:r>
        <w:t xml:space="preserve">reads the manuscript directory, calls</w:t>
      </w:r>
      <w:r>
        <w:t xml:space="preserve"> </w:t>
      </w:r>
      <w:hyperlink r:id="rId15">
        <w:r>
          <w:rPr>
            <w:rStyle w:val="VerbatimChar"/>
          </w:rPr>
          <w:t xml:space="preserve">infrastructure.prose.analyze_manuscript</w:t>
        </w:r>
      </w:hyperlink>
      <w:r>
        <w:t xml:space="preserve"> </w:t>
      </w:r>
      <w:r>
        <w:t xml:space="preserve">to produce a</w:t>
      </w:r>
      <w:r>
        <w:t xml:space="preserve"> </w:t>
      </w:r>
      <w:r>
        <w:rPr>
          <w:rStyle w:val="VerbatimChar"/>
        </w:rPr>
        <w:t xml:space="preserve">ManuscriptReport</w:t>
      </w:r>
      <w:r>
        <w:t xml:space="preserve">, cross-checks the cited keys against</w:t>
      </w:r>
      <w:r>
        <w:t xml:space="preserve"> </w:t>
      </w:r>
      <w:hyperlink r:id="rId16">
        <w:r>
          <w:rPr>
            <w:rStyle w:val="VerbatimChar"/>
          </w:rPr>
          <w:t xml:space="preserve">infrastructure.reference.citation.parse_bibfile</w:t>
        </w:r>
      </w:hyperlink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, evaluates each configured check, and writes a markdown review report alongside JSON artefacts and three figures. None of this is project-specific: a different project can re-use the same infrastructure with a different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and a different manuscript directory.</w:t>
      </w:r>
    </w:p>
    <w:p>
      <w:pPr>
        <w:pStyle w:val="BodyText"/>
      </w:pPr>
      <w:r>
        <w:t xml:space="preserve">The remainder of this paper documents the methodology (</w:t>
      </w:r>
      <w:r>
        <w:t xml:space="preserve">(</w:t>
      </w:r>
      <w:r>
        <w:rPr>
          <w:b/>
          <w:bCs/>
        </w:rPr>
        <w:t xml:space="preserve">sec:methodology?</w:t>
      </w:r>
      <w:r>
        <w:t xml:space="preserve">)</w:t>
      </w:r>
      <w:r>
        <w:t xml:space="preserve">), the run-time results on the bundled manuscript (</w:t>
      </w:r>
      <w:r>
        <w:t xml:space="preserve">(</w:t>
      </w:r>
      <w:r>
        <w:rPr>
          <w:b/>
          <w:bCs/>
        </w:rPr>
        <w:t xml:space="preserve">sec:results?</w:t>
      </w:r>
      <w:r>
        <w:t xml:space="preserve">)</w:t>
      </w:r>
      <w:r>
        <w:t xml:space="preserve">), and the architectural lessons drawn from doing the prose work alongside the code and literature exemplars in the same template (</w:t>
      </w:r>
      <w:r>
        <w:t xml:space="preserve">(</w:t>
      </w:r>
      <w:r>
        <w:rPr>
          <w:b/>
          <w:bCs/>
        </w:rPr>
        <w:t xml:space="preserve">sec:conclusion?</w:t>
      </w:r>
      <w:r>
        <w:t xml:space="preserve">)</w:t>
      </w:r>
      <w:r>
        <w:t xml:space="preserve">).</w:t>
      </w:r>
    </w:p>
    <w:bookmarkEnd w:id="17"/>
    <w:bookmarkStart w:id="23" w:name="sec:methodology"/>
    <w:p>
      <w:pPr>
        <w:pStyle w:val="Heading1"/>
      </w:pPr>
      <w:r>
        <w:t xml:space="preserve">Methodology</w:t>
      </w:r>
    </w:p>
    <w:p>
      <w:pPr>
        <w:pStyle w:val="FirstParagraph"/>
      </w:pPr>
      <w:r>
        <w:t xml:space="preserve">The pipeline runs in five stages, each a pure function in the project’s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modules; the orchestrator script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does only argument parsing and filesystem I/O.</w:t>
      </w:r>
    </w:p>
    <w:bookmarkStart w:id="18" w:name="read"/>
    <w:p>
      <w:pPr>
        <w:pStyle w:val="Heading2"/>
      </w:pPr>
      <w:r>
        <w:t xml:space="preserve">Read</w:t>
      </w:r>
    </w:p>
    <w:p>
      <w:pPr>
        <w:pStyle w:val="FirstParagraph"/>
      </w:pPr>
      <w:r>
        <w:rPr>
          <w:rStyle w:val="VerbatimChar"/>
        </w:rPr>
        <w:t xml:space="preserve">infrastructure.prose.read_manuscript_dir</w:t>
      </w:r>
      <w:r>
        <w:t xml:space="preserve"> </w:t>
      </w:r>
      <w:r>
        <w:t xml:space="preserve">walks the configured manuscript directory and returns a sorted</w:t>
      </w:r>
      <w:r>
        <w:t xml:space="preserve"> </w:t>
      </w:r>
      <w:r>
        <w:rPr>
          <w:rStyle w:val="VerbatimChar"/>
        </w:rPr>
        <w:t xml:space="preserve">{filename: text}</w:t>
      </w:r>
      <w:r>
        <w:t xml:space="preserve"> </w:t>
      </w:r>
      <w:r>
        <w:t xml:space="preserve">mapping. Scaffolding files (</w:t>
      </w:r>
      <w:r>
        <w:rPr>
          <w:rStyle w:val="VerbatimChar"/>
        </w:rPr>
        <w:t xml:space="preserve">preamble.md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config.yaml.example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SYNTAX.md</w:t>
      </w:r>
      <w:r>
        <w:t xml:space="preserve">) are excluded by default — they hold infrastructure documentation rather than manuscript prose.</w:t>
      </w:r>
    </w:p>
    <w:bookmarkEnd w:id="18"/>
    <w:bookmarkStart w:id="19" w:name="analyse"/>
    <w:p>
      <w:pPr>
        <w:pStyle w:val="Heading2"/>
      </w:pPr>
      <w:r>
        <w:t xml:space="preserve">Analyse</w:t>
      </w:r>
    </w:p>
    <w:p>
      <w:pPr>
        <w:pStyle w:val="FirstParagraph"/>
      </w:pPr>
      <w:r>
        <w:t xml:space="preserve">For each file, three analysers run in parallel: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Metrics</w:t>
      </w:r>
      <w:r>
        <w:t xml:space="preserve"> </w:t>
      </w:r>
      <w:r>
        <w:t xml:space="preserve">(</w:t>
      </w:r>
      <w:r>
        <w:rPr>
          <w:rStyle w:val="VerbatimChar"/>
        </w:rPr>
        <w:t xml:space="preserve">infrastructure.prose.analysis.metrics</w:t>
      </w:r>
      <w:r>
        <w:t xml:space="preserve">) — word, sentence, paragraph, syllable counts; average words per sentence; average syllables per word; complex-word fraction; Flesch Reading Ease</w:t>
      </w:r>
      <w:r>
        <w:t xml:space="preserve"> </w:t>
      </w:r>
      <w:r>
        <w:t xml:space="preserve">(Flesch 1948)</w:t>
      </w:r>
      <w:r>
        <w:t xml:space="preserve">; Flesch-Kincaid Grade Level</w:t>
      </w:r>
      <w:r>
        <w:t xml:space="preserve"> </w:t>
      </w:r>
      <w:r>
        <w:t xml:space="preserve">(Kincaid et al. 1975)</w:t>
      </w:r>
      <w:r>
        <w:t xml:space="preserve">; Gunning Fog Index</w:t>
      </w:r>
      <w:r>
        <w:t xml:space="preserve"> </w:t>
      </w:r>
      <w:r>
        <w:t xml:space="preserve">(Gunning 1952)</w:t>
      </w:r>
      <w:r>
        <w:t xml:space="preserve">. The implementations are textbook formulae over a vowel-group syllable heuristic; they’re good enough for a writer-facing signal, not for linguistic research.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Structure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infrastructure.prose.analysis.structure</w:t>
      </w:r>
      <w:r>
        <w:t xml:space="preserve">) — heading outline, per-section word counts, max heading depth, presence of an H1, detection of skipped heading levels (e.g. an H1 followed directly by an H3).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infrastructure.prose.analysis.quality</w:t>
      </w:r>
      <w:r>
        <w:t xml:space="preserve">) — passive-voice candidates (heuristic:</w:t>
      </w:r>
      <w:r>
        <w:t xml:space="preserve"> </w:t>
      </w:r>
      <w:r>
        <w:t xml:space="preserve">“be”</w:t>
      </w:r>
      <w:r>
        <w:t xml:space="preserve"> </w:t>
      </w:r>
      <w:r>
        <w:t xml:space="preserve">form + past participle), hedge-word density, citation density (Pandoc-style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extraction), long-sentence flagging.</w:t>
      </w:r>
    </w:p>
    <w:p>
      <w:pPr>
        <w:pStyle w:val="FirstParagraph"/>
      </w:pPr>
      <w:r>
        <w:t xml:space="preserve">The results are aggregated into a</w:t>
      </w:r>
      <w:r>
        <w:t xml:space="preserve"> </w:t>
      </w:r>
      <w:r>
        <w:rPr>
          <w:rStyle w:val="VerbatimChar"/>
        </w:rPr>
        <w:t xml:space="preserve">ManuscriptReport</w:t>
      </w:r>
      <w:r>
        <w:t xml:space="preserve"> </w:t>
      </w:r>
      <w:r>
        <w:t xml:space="preserve">whose JSON form is small, greppable, and diff-friendly.</w:t>
      </w:r>
    </w:p>
    <w:bookmarkEnd w:id="19"/>
    <w:bookmarkStart w:id="20" w:name="cross-check"/>
    <w:p>
      <w:pPr>
        <w:pStyle w:val="Heading2"/>
      </w:pPr>
      <w:r>
        <w:t xml:space="preserve">Cross-check</w:t>
      </w:r>
    </w:p>
    <w:p>
      <w:pPr>
        <w:pStyle w:val="FirstParagraph"/>
      </w:pPr>
      <w:r>
        <w:t xml:space="preserve">Every cited key is matched against the BibTeX file at</w:t>
      </w:r>
      <w:r>
        <w:t xml:space="preserve"> </w:t>
      </w:r>
      <w:r>
        <w:rPr>
          <w:rStyle w:val="VerbatimChar"/>
        </w:rPr>
        <w:t xml:space="preserve">bibliography.references_path</w:t>
      </w:r>
      <w:r>
        <w:t xml:space="preserve">. The check has four tunable behaviours via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fail_on_missing: true</w:t>
            </w:r>
          </w:p>
        </w:tc>
        <w:tc>
          <w:tcPr/>
          <w:p>
            <w:pPr>
              <w:pStyle w:val="Compact"/>
            </w:pPr>
            <w:r>
              <w:t xml:space="preserve">Any cited</w:t>
            </w:r>
            <w:r>
              <w:t xml:space="preserve"> </w:t>
            </w:r>
            <w:r>
              <w:rPr>
                <w:rStyle w:val="VerbatimChar"/>
              </w:rPr>
              <w:t xml:space="preserve">[@key]</w:t>
            </w:r>
            <w:r>
              <w:t xml:space="preserve"> </w:t>
            </w:r>
            <w:r>
              <w:t xml:space="preserve">that does not exist in the bib fails the check.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fail_on_missing: false</w:t>
            </w:r>
          </w:p>
        </w:tc>
        <w:tc>
          <w:tcPr/>
          <w:p>
            <w:pPr>
              <w:pStyle w:val="Compact"/>
            </w:pPr>
            <w:r>
              <w:t xml:space="preserve">Missing citations are warned but do not fail the 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fail_on_unused: true</w:t>
            </w:r>
          </w:p>
        </w:tc>
        <w:tc>
          <w:tcPr/>
          <w:p>
            <w:pPr>
              <w:pStyle w:val="Compact"/>
            </w:pPr>
            <w:r>
              <w:t xml:space="preserve">Bib entries that are never cited fail the check.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fail_on_unused: false</w:t>
            </w:r>
          </w:p>
        </w:tc>
        <w:tc>
          <w:tcPr/>
          <w:p>
            <w:pPr>
              <w:pStyle w:val="Compact"/>
            </w:pPr>
            <w:r>
              <w:t xml:space="preserve">Unused entries are warned but do not fail.</w:t>
            </w:r>
          </w:p>
        </w:tc>
      </w:tr>
    </w:tbl>
    <w:p>
      <w:pPr>
        <w:pStyle w:val="BodyText"/>
      </w:pPr>
      <w:r>
        <w:t xml:space="preserve">The check uses</w:t>
      </w:r>
      <w:r>
        <w:t xml:space="preserve"> </w:t>
      </w:r>
      <w:hyperlink r:id="rId16">
        <w:r>
          <w:rPr>
            <w:rStyle w:val="VerbatimChar"/>
          </w:rPr>
          <w:t xml:space="preserve">infrastructure.reference.citation.parse_bibfile</w:t>
        </w:r>
      </w:hyperlink>
      <w:r>
        <w:t xml:space="preserve"> </w:t>
      </w:r>
      <w:r>
        <w:t xml:space="preserve">so it sees exactly the same view of the bibliography that the rendering pipeline uses.</w:t>
      </w:r>
    </w:p>
    <w:bookmarkEnd w:id="20"/>
    <w:bookmarkStart w:id="21" w:name="evaluate"/>
    <w:p>
      <w:pPr>
        <w:pStyle w:val="Heading2"/>
      </w:pPr>
      <w:r>
        <w:t xml:space="preserve">Evaluate</w:t>
      </w:r>
    </w:p>
    <w:p>
      <w:pPr>
        <w:pStyle w:val="FirstParagraph"/>
      </w:pPr>
      <w:r>
        <w:t xml:space="preserve">The report runs through a set of pure check functions: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_check_grade_level</w:t>
      </w:r>
      <w:r>
        <w:t xml:space="preserve"> </w:t>
      </w:r>
      <w:r>
        <w:t xml:space="preserve">— the manuscript-wide weighted average FKGL falls within</w:t>
      </w:r>
      <w:r>
        <w:t xml:space="preserve"> </w:t>
      </w:r>
      <w:r>
        <w:rPr>
          <w:rStyle w:val="VerbatimChar"/>
        </w:rPr>
        <w:t xml:space="preserve">[target_grade_level_min, target_grade_level_max]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_check_citation_density</w:t>
      </w:r>
      <w:r>
        <w:t xml:space="preserve"> </w:t>
      </w:r>
      <w:r>
        <w:t xml:space="preserve">— citations per 1000 words ≥</w:t>
      </w:r>
      <w:r>
        <w:t xml:space="preserve"> </w:t>
      </w:r>
      <w:r>
        <w:rPr>
          <w:rStyle w:val="VerbatimChar"/>
        </w:rPr>
        <w:t xml:space="preserve">citation_density_min_per_1000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_check_no_skipped_levels</w:t>
      </w:r>
      <w:r>
        <w:t xml:space="preserve"> </w:t>
      </w:r>
      <w:r>
        <w:t xml:space="preserve">— no file uses a skipped heading level (when</w:t>
      </w:r>
      <w:r>
        <w:t xml:space="preserve"> </w:t>
      </w:r>
      <w:r>
        <w:rPr>
          <w:rStyle w:val="VerbatimChar"/>
        </w:rPr>
        <w:t xml:space="preserve">prose.forbid_skipped_levels: true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_check_h1_per_file</w:t>
      </w:r>
      <w:r>
        <w:t xml:space="preserve"> </w:t>
      </w:r>
      <w:r>
        <w:t xml:space="preserve">— every file has an H1 (when</w:t>
      </w:r>
      <w:r>
        <w:t xml:space="preserve"> </w:t>
      </w:r>
      <w:r>
        <w:rPr>
          <w:rStyle w:val="VerbatimChar"/>
        </w:rPr>
        <w:t xml:space="preserve">prose.require_h1_per_section: true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_check_bibliography</w:t>
      </w:r>
      <w:r>
        <w:t xml:space="preserve"> </w:t>
      </w:r>
      <w:r>
        <w:t xml:space="preserve">— citation/bib consistency per the</w:t>
      </w:r>
      <w:r>
        <w:t xml:space="preserve"> </w:t>
      </w:r>
      <w:r>
        <w:rPr>
          <w:rStyle w:val="VerbatimChar"/>
        </w:rPr>
        <w:t xml:space="preserve">bibliography:</w:t>
      </w:r>
      <w:r>
        <w:t xml:space="preserve"> </w:t>
      </w:r>
      <w:r>
        <w:t xml:space="preserve">policy block.</w:t>
      </w:r>
    </w:p>
    <w:p>
      <w:pPr>
        <w:pStyle w:val="FirstParagraph"/>
      </w:pPr>
      <w:r>
        <w:t xml:space="preserve">Each check produces a</w:t>
      </w:r>
      <w:r>
        <w:t xml:space="preserve"> </w:t>
      </w:r>
      <w:r>
        <w:rPr>
          <w:rStyle w:val="VerbatimChar"/>
        </w:rPr>
        <w:t xml:space="preserve">CheckResult(passed, message, details)</w:t>
      </w:r>
      <w:r>
        <w:t xml:space="preserve">; the run’s</w:t>
      </w:r>
      <w:r>
        <w:t xml:space="preserve"> </w:t>
      </w:r>
      <w:r>
        <w:rPr>
          <w:rStyle w:val="VerbatimChar"/>
        </w:rPr>
        <w:t xml:space="preserve">all_passed</w:t>
      </w:r>
      <w:r>
        <w:t xml:space="preserve"> </w:t>
      </w:r>
      <w:r>
        <w:t xml:space="preserve">flag is the conjunction.</w:t>
      </w:r>
    </w:p>
    <w:bookmarkEnd w:id="21"/>
    <w:bookmarkStart w:id="22" w:name="render"/>
    <w:p>
      <w:pPr>
        <w:pStyle w:val="Heading2"/>
      </w:pPr>
      <w:r>
        <w:t xml:space="preserve">Render</w:t>
      </w:r>
    </w:p>
    <w:p>
      <w:pPr>
        <w:pStyle w:val="FirstParagraph"/>
      </w:pPr>
      <w:r>
        <w:rPr>
          <w:rStyle w:val="VerbatimChar"/>
        </w:rPr>
        <w:t xml:space="preserve">src/report.py::write_review_report</w:t>
      </w:r>
      <w:r>
        <w:t xml:space="preserve"> </w:t>
      </w:r>
      <w:r>
        <w:t xml:space="preserve">writes a markdown file with:</w:t>
      </w:r>
    </w:p>
    <w:p>
      <w:pPr>
        <w:pStyle w:val="Compact"/>
        <w:numPr>
          <w:ilvl w:val="0"/>
          <w:numId w:val="1003"/>
        </w:numPr>
      </w:pPr>
      <w:r>
        <w:t xml:space="preserve">Top-line counts (files, words, sentences, paragraphs, averages).</w:t>
      </w:r>
    </w:p>
    <w:p>
      <w:pPr>
        <w:pStyle w:val="Compact"/>
        <w:numPr>
          <w:ilvl w:val="0"/>
          <w:numId w:val="1003"/>
        </w:numPr>
      </w:pPr>
      <w:r>
        <w:t xml:space="preserve">A pass/fail table for every check.</w:t>
      </w:r>
    </w:p>
    <w:p>
      <w:pPr>
        <w:pStyle w:val="Compact"/>
        <w:numPr>
          <w:ilvl w:val="0"/>
          <w:numId w:val="1003"/>
        </w:numPr>
      </w:pPr>
      <w:r>
        <w:t xml:space="preserve">Per-file metrics table (word count, sentence count, FRE, FKGL, Fog, citations, hedges, passives).</w:t>
      </w:r>
    </w:p>
    <w:p>
      <w:pPr>
        <w:pStyle w:val="Compact"/>
        <w:numPr>
          <w:ilvl w:val="0"/>
          <w:numId w:val="1003"/>
        </w:numPr>
      </w:pPr>
      <w:r>
        <w:t xml:space="preserve">Heading outline per file.</w:t>
      </w:r>
    </w:p>
    <w:p>
      <w:pPr>
        <w:pStyle w:val="Compact"/>
        <w:numPr>
          <w:ilvl w:val="0"/>
          <w:numId w:val="1003"/>
        </w:numPr>
      </w:pPr>
      <w:r>
        <w:t xml:space="preserve">Quality-flag callouts (long sentences, passive candidates, hedges) per file.</w:t>
      </w:r>
    </w:p>
    <w:p>
      <w:pPr>
        <w:pStyle w:val="FirstParagraph"/>
      </w:pPr>
      <w:r>
        <w:t xml:space="preserve">Three orchestrators run in lexicographic order (so the figure and variable</w:t>
      </w:r>
      <w:r>
        <w:t xml:space="preserve"> </w:t>
      </w:r>
      <w:r>
        <w:t xml:space="preserve">stages always see a fresh review):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scripts/run_prose_pipeline.py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output/manuscript_report.json</w:t>
      </w:r>
      <w:r>
        <w:t xml:space="preserve"> </w:t>
      </w:r>
      <w:r>
        <w:t xml:space="preserve">(the raw</w:t>
      </w:r>
      <w:r>
        <w:t xml:space="preserve"> </w:t>
      </w:r>
      <w:r>
        <w:rPr>
          <w:rStyle w:val="VerbatimChar"/>
        </w:rPr>
        <w:t xml:space="preserve">ManuscriptReport</w:t>
      </w:r>
      <w:r>
        <w:t xml:space="preserve">),</w:t>
      </w:r>
      <w:r>
        <w:t xml:space="preserve"> </w:t>
      </w:r>
      <w:r>
        <w:rPr>
          <w:rStyle w:val="VerbatimChar"/>
        </w:rPr>
        <w:t xml:space="preserve">output/checks.json</w:t>
      </w:r>
      <w:r>
        <w:t xml:space="preserve"> </w:t>
      </w:r>
      <w:r>
        <w:t xml:space="preserve">(the list of check</w:t>
      </w:r>
      <w:r>
        <w:t xml:space="preserve"> </w:t>
      </w:r>
      <w:r>
        <w:t xml:space="preserve">results),</w:t>
      </w:r>
      <w:r>
        <w:t xml:space="preserve"> </w:t>
      </w:r>
      <w:r>
        <w:rPr>
          <w:rStyle w:val="VerbatimChar"/>
        </w:rPr>
        <w:t xml:space="preserve">output/review_report.md</w:t>
      </w:r>
      <w:r>
        <w:t xml:space="preserve"> </w:t>
      </w:r>
      <w:r>
        <w:t xml:space="preserve">(the human-readable review report),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output/run_summary.json</w:t>
      </w:r>
      <w:r>
        <w:t xml:space="preserve"> </w:t>
      </w:r>
      <w:r>
        <w:t xml:space="preserve">(one-line metadata).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scripts/y_generate_prose_figures.py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manuscript_report.json</w:t>
      </w:r>
      <w:r>
        <w:t xml:space="preserve"> </w:t>
      </w:r>
      <w:r>
        <w:t xml:space="preserve">and writes</w:t>
      </w:r>
      <w:r>
        <w:t xml:space="preserve"> </w:t>
      </w:r>
      <w:r>
        <w:rPr>
          <w:rStyle w:val="VerbatimChar"/>
        </w:rPr>
        <w:t xml:space="preserve">../figures/{section_word_counts,readability_metrics,citation_density}.png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scripts/z_generate_manuscript_variables.py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manuscript_report.json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config.yaml</w:t>
      </w:r>
      <w:r>
        <w:t xml:space="preserve"> </w:t>
      </w:r>
      <w:r>
        <w:t xml:space="preserve">and writes</w:t>
      </w:r>
      <w:r>
        <w:t xml:space="preserve"> </w:t>
      </w:r>
      <w:r>
        <w:rPr>
          <w:rStyle w:val="VerbatimChar"/>
        </w:rPr>
        <w:t xml:space="preserve">output/data/manuscript_variables.json</w:t>
      </w:r>
      <w:r>
        <w:t xml:space="preserve"> </w:t>
      </w:r>
      <w:r>
        <w:t xml:space="preserve">along with a resolved manuscript tree under</w:t>
      </w:r>
      <w:r>
        <w:t xml:space="preserve"> </w:t>
      </w:r>
      <w:r>
        <w:rPr>
          <w:rStyle w:val="VerbatimChar"/>
        </w:rPr>
        <w:t xml:space="preserve">output/manuscript/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manuscript/references.bib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modified by this pipeline — the prose project does not generate citations, only validates them.</w:t>
      </w:r>
    </w:p>
    <w:bookmarkEnd w:id="22"/>
    <w:bookmarkEnd w:id="23"/>
    <w:bookmarkStart w:id="24" w:name="sec: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After running</w:t>
      </w:r>
      <w:r>
        <w:t xml:space="preserve"> </w:t>
      </w:r>
      <w:r>
        <w:rPr>
          <w:rStyle w:val="VerbatimChar"/>
        </w:rPr>
        <w:t xml:space="preserve">scripts/run_prose_pipeline.py</w:t>
      </w:r>
      <w:r>
        <w:t xml:space="preserve"> </w:t>
      </w:r>
      <w:r>
        <w:t xml:space="preserve">with the bundled</w:t>
      </w:r>
      <w:r>
        <w:t xml:space="preserve"> </w:t>
      </w:r>
      <w:r>
        <w:rPr>
          <w:rStyle w:val="VerbatimChar"/>
        </w:rPr>
        <w:t xml:space="preserve">manuscript/config.yaml</w:t>
      </w:r>
      <w:r>
        <w:t xml:space="preserve"> </w:t>
      </w:r>
      <w:r>
        <w:t xml:space="preserve">and the manuscript described in this paper, the project produces the following on-disk artefacts: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output/manuscript_report.json</w:t>
      </w:r>
      <w:r>
        <w:t xml:space="preserve"> </w:t>
      </w:r>
      <w:r>
        <w:t xml:space="preserve">— the raw</w:t>
      </w:r>
      <w:r>
        <w:t xml:space="preserve"> </w:t>
      </w:r>
      <w:r>
        <w:rPr>
          <w:rStyle w:val="VerbatimChar"/>
        </w:rPr>
        <w:t xml:space="preserve">ManuscriptReport</w:t>
      </w:r>
      <w:r>
        <w:t xml:space="preserve"> </w:t>
      </w:r>
      <w:r>
        <w:t xml:space="preserve">JSON.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output/checks.json</w:t>
      </w:r>
      <w:r>
        <w:t xml:space="preserve"> </w:t>
      </w:r>
      <w:r>
        <w:t xml:space="preserve">— one</w:t>
      </w:r>
      <w:r>
        <w:t xml:space="preserve"> </w:t>
      </w:r>
      <w:r>
        <w:rPr>
          <w:rStyle w:val="VerbatimChar"/>
        </w:rPr>
        <w:t xml:space="preserve">CheckResult</w:t>
      </w:r>
      <w:r>
        <w:t xml:space="preserve"> </w:t>
      </w:r>
      <w:r>
        <w:t xml:space="preserve">per configured check.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output/review_report.md</w:t>
      </w:r>
      <w:r>
        <w:t xml:space="preserve"> </w:t>
      </w:r>
      <w:r>
        <w:t xml:space="preserve">— the assembled markdown review report.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../figures/section_word_counts.png</w:t>
      </w:r>
      <w:r>
        <w:t xml:space="preserve"> </w:t>
      </w:r>
      <w:r>
        <w:t xml:space="preserve">— per-file word counts.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../figures/readability_metrics.png</w:t>
      </w:r>
      <w:r>
        <w:t xml:space="preserve"> </w:t>
      </w:r>
      <w:r>
        <w:t xml:space="preserve">— Flesch / Flesch-Kincaid / Gunning Fog per file.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../figures/citation_density.png</w:t>
      </w:r>
      <w:r>
        <w:t xml:space="preserve"> </w:t>
      </w:r>
      <w:r>
        <w:t xml:space="preserve">— citations per 1000 words per file.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output/data/manuscript_variables.json</w:t>
      </w:r>
      <w:r>
        <w:t xml:space="preserve"> </w:t>
      </w:r>
      <w:r>
        <w:t xml:space="preserve">— substitution variables for the abstract.</w:t>
      </w:r>
    </w:p>
    <w:p>
      <w:pPr>
        <w:pStyle w:val="FirstParagraph"/>
      </w:pPr>
      <w:r>
        <w:t xml:space="preserve">Because the pipeline does not consult any external service, every artefact is reproducible from the manuscript text +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alone. A second run on the same inputs produces byte-identical JSON (modulo timestamp metadata in any caches the project later adds).</w:t>
      </w:r>
    </w:p>
    <w:p>
      <w:pPr>
        <w:pStyle w:val="BodyText"/>
      </w:pPr>
      <w:r>
        <w:t xml:space="preserve">The pass/fail status of each configured check is recorded in</w:t>
      </w:r>
      <w:r>
        <w:t xml:space="preserve"> </w:t>
      </w:r>
      <w:r>
        <w:rPr>
          <w:rStyle w:val="VerbatimChar"/>
        </w:rPr>
        <w:t xml:space="preserve">output/checks.json</w:t>
      </w:r>
      <w:r>
        <w:t xml:space="preserve">. With the bundled configuration: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grade_level_in_band</w:t>
      </w:r>
      <w:r>
        <w:t xml:space="preserve"> </w:t>
      </w:r>
      <w:r>
        <w:t xml:space="preserve">— the weighted average FKGL across this manuscript is reported in the</w:t>
      </w:r>
      <w:r>
        <w:t xml:space="preserve"> </w:t>
      </w:r>
      <w:r>
        <w:rPr>
          <w:rStyle w:val="VerbatimChar"/>
        </w:rPr>
        <w:t xml:space="preserve">output/checks.json</w:t>
      </w:r>
      <w:r>
        <w:t xml:space="preserve"> </w:t>
      </w:r>
      <w:r>
        <w:rPr>
          <w:rStyle w:val="VerbatimChar"/>
        </w:rPr>
        <w:t xml:space="preserve">details.value</w:t>
      </w:r>
      <w:r>
        <w:t xml:space="preserve"> </w:t>
      </w:r>
      <w:r>
        <w:t xml:space="preserve">field. The default band</w:t>
      </w:r>
      <w:r>
        <w:t xml:space="preserve"> </w:t>
      </w:r>
      <w:r>
        <w:rPr>
          <w:rStyle w:val="VerbatimChar"/>
        </w:rPr>
        <w:t xml:space="preserve">10.0–18.0</w:t>
      </w:r>
      <w:r>
        <w:t xml:space="preserve"> </w:t>
      </w:r>
      <w:r>
        <w:t xml:space="preserve">is intentionally generous; tighten it for editorial review of public-facing material.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citation_density_above_floor</w:t>
      </w:r>
      <w:r>
        <w:t xml:space="preserve"> </w:t>
      </w:r>
      <w:r>
        <w:t xml:space="preserve">— citations per 1000 words must meet</w:t>
      </w:r>
      <w:r>
        <w:t xml:space="preserve"> </w:t>
      </w:r>
      <w:r>
        <w:rPr>
          <w:rStyle w:val="VerbatimChar"/>
        </w:rPr>
        <w:t xml:space="preserve">prose.citation_density_min_per_1000</w:t>
      </w:r>
      <w:r>
        <w:t xml:space="preserve">. The bundled config sets the floor to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(disabled) so the run is green out of the box; researchers should raise it to match the publication target.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no_skipped_heading_levels</w:t>
      </w:r>
      <w:r>
        <w:t xml:space="preserve"> </w:t>
      </w:r>
      <w:r>
        <w:t xml:space="preserve">— every file in this manuscript uses contiguous heading levels.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every_file_has_h1</w:t>
      </w:r>
      <w:r>
        <w:t xml:space="preserve"> </w:t>
      </w:r>
      <w:r>
        <w:t xml:space="preserve">— every prose file starts with an H1.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bibliography_consistency</w:t>
      </w:r>
      <w:r>
        <w:t xml:space="preserve"> </w:t>
      </w:r>
      <w:r>
        <w:t xml:space="preserve">— every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in the prose resolves against</w:t>
      </w:r>
      <w:r>
        <w:t xml:space="preserve"> </w:t>
      </w:r>
      <w:r>
        <w:rPr>
          <w:rStyle w:val="VerbatimChar"/>
        </w:rPr>
        <w:t xml:space="preserve">manuscript/references.bib</w:t>
      </w:r>
      <w:r>
        <w:t xml:space="preserve">.</w:t>
      </w:r>
    </w:p>
    <w:p>
      <w:pPr>
        <w:pStyle w:val="FirstParagraph"/>
      </w:pPr>
      <w:r>
        <w:t xml:space="preserve">The figures in</w:t>
      </w:r>
      <w:r>
        <w:t xml:space="preserve"> </w:t>
      </w:r>
      <w:r>
        <w:rPr>
          <w:rStyle w:val="VerbatimChar"/>
        </w:rPr>
        <w:t xml:space="preserve">../figures/</w:t>
      </w:r>
      <w:r>
        <w:t xml:space="preserve"> </w:t>
      </w:r>
      <w:r>
        <w:t xml:space="preserve">are colour-blind-safe (Wong 2011 palette)</w:t>
      </w:r>
      <w:r>
        <w:t xml:space="preserve"> </w:t>
      </w:r>
      <w:r>
        <w:t xml:space="preserve">(Wong 2011)</w:t>
      </w:r>
      <w:r>
        <w:t xml:space="preserve">, 300 dpi, and PNG-only for archival stability. They are referenced in</w:t>
      </w:r>
      <w:r>
        <w:t xml:space="preserve"> </w:t>
      </w:r>
      <w:r>
        <w:t xml:space="preserve">(</w:t>
      </w:r>
      <w:r>
        <w:rPr>
          <w:b/>
          <w:bCs/>
        </w:rPr>
        <w:t xml:space="preserve">sec:pipeline_internals?</w:t>
      </w:r>
      <w:r>
        <w:t xml:space="preserve">)</w:t>
      </w:r>
      <w:r>
        <w:t xml:space="preserve"> </w:t>
      </w:r>
      <w:r>
        <w:t xml:space="preserve">where we walk through the on-disk artefact set in full.</w:t>
      </w:r>
    </w:p>
    <w:p>
      <w:pPr>
        <w:pStyle w:val="BodyText"/>
      </w:pPr>
      <w:r>
        <w:t xml:space="preserve">The full pass/fail summary lands in</w:t>
      </w:r>
      <w:r>
        <w:t xml:space="preserve"> </w:t>
      </w:r>
      <w:r>
        <w:rPr>
          <w:rStyle w:val="VerbatimChar"/>
        </w:rPr>
        <w:t xml:space="preserve">output/review_report.md</w:t>
      </w:r>
      <w:r>
        <w:t xml:space="preserve">, which is itself a Markdown file rendered alongside the manuscript by Pandoc — i.e. the project reports on itself in the same compilation step that produces the manuscript PDF.</w:t>
      </w:r>
    </w:p>
    <w:bookmarkEnd w:id="24"/>
    <w:bookmarkStart w:id="25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rPr>
          <w:rStyle w:val="VerbatimChar"/>
        </w:rPr>
        <w:t xml:space="preserve">template_prose_project</w:t>
      </w:r>
      <w:r>
        <w:t xml:space="preserve"> </w:t>
      </w:r>
      <w:r>
        <w:t xml:space="preserve">packages a complete, configurable, reproducible editorial-review workflow into the Research Project Template’s two-layer architecture. By keeping prose analysis, structural validation, and bibliography cross-checking in two orthogonal infrastructure modules —</w:t>
      </w:r>
      <w:r>
        <w:t xml:space="preserve"> </w:t>
      </w:r>
      <w:r>
        <w:rPr>
          <w:rStyle w:val="VerbatimChar"/>
        </w:rPr>
        <w:t xml:space="preserve">infrastructure/prose/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infrastructure/reference/</w:t>
      </w:r>
      <w:r>
        <w:t xml:space="preserve"> </w:t>
      </w:r>
      <w:r>
        <w:t xml:space="preserve">— the project demonstrates that</w:t>
      </w:r>
      <w:r>
        <w:t xml:space="preserve"> </w:t>
      </w:r>
      <w:r>
        <w:rPr>
          <w:i/>
          <w:iCs/>
        </w:rPr>
        <w:t xml:space="preserve">editorial discipline</w:t>
      </w:r>
      <w:r>
        <w:t xml:space="preserve"> </w:t>
      </w:r>
      <w:r>
        <w:t xml:space="preserve">is just as expressible as a configurable pipeline as</w:t>
      </w:r>
      <w:r>
        <w:t xml:space="preserve"> </w:t>
      </w:r>
      <w:r>
        <w:rPr>
          <w:i/>
          <w:iCs/>
        </w:rPr>
        <w:t xml:space="preserve">numerical reproducibility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template_code_project</w:t>
      </w:r>
      <w:r>
        <w:t xml:space="preserve">) and optional</w:t>
      </w:r>
      <w:r>
        <w:t xml:space="preserve"> </w:t>
      </w:r>
      <w:r>
        <w:rPr>
          <w:i/>
          <w:iCs/>
        </w:rPr>
        <w:t xml:space="preserve">literature curation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projects_archive/template_search_project</w:t>
      </w:r>
      <w:r>
        <w:t xml:space="preserve">).</w:t>
      </w:r>
    </w:p>
    <w:p>
      <w:pPr>
        <w:pStyle w:val="BodyText"/>
      </w:pPr>
      <w:r>
        <w:t xml:space="preserve">The permanent exemplars and optional search add-on share a single house style: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manuscript/config.yaml</w:t>
      </w:r>
      <w:r>
        <w:t xml:space="preserve"> </w:t>
      </w:r>
      <w:r>
        <w:t xml:space="preserve">is the only place run policy lives.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src/pipeline.py</w:t>
      </w:r>
      <w:r>
        <w:t xml:space="preserve"> </w:t>
      </w:r>
      <w:r>
        <w:t xml:space="preserve">is the only place the project touches</w:t>
      </w:r>
      <w:r>
        <w:t xml:space="preserve"> </w:t>
      </w:r>
      <w:r>
        <w:rPr>
          <w:rStyle w:val="VerbatimChar"/>
        </w:rPr>
        <w:t xml:space="preserve">infrastructure/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Scripts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do only filesystem I/O and CLI argument handling.</w:t>
      </w:r>
    </w:p>
    <w:p>
      <w:pPr>
        <w:pStyle w:val="Compact"/>
        <w:numPr>
          <w:ilvl w:val="0"/>
          <w:numId w:val="1008"/>
        </w:numPr>
      </w:pPr>
      <w:r>
        <w:t xml:space="preserve">Every artefact in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t xml:space="preserve">is regeneratable;</w:t>
      </w:r>
      <w:r>
        <w:t xml:space="preserve"> </w:t>
      </w:r>
      <w:r>
        <w:rPr>
          <w:rStyle w:val="VerbatimChar"/>
        </w:rPr>
        <w:t xml:space="preserve">manuscript/references.bib</w:t>
      </w:r>
      <w:r>
        <w:t xml:space="preserve"> </w:t>
      </w:r>
      <w:r>
        <w:t xml:space="preserve">is the only artefact in the manuscript directory that may be auto-populated (only by the optional search add-on; this project validates but never writes).</w:t>
      </w:r>
    </w:p>
    <w:p>
      <w:pPr>
        <w:pStyle w:val="FirstParagraph"/>
      </w:pPr>
      <w:r>
        <w:t xml:space="preserve">The contribution of this exemplar is therefore architectural: a</w:t>
      </w:r>
      <w:r>
        <w:t xml:space="preserve"> </w:t>
      </w:r>
      <w:r>
        <w:rPr>
          <w:i/>
          <w:iCs/>
        </w:rPr>
        <w:t xml:space="preserve">generic, reusable</w:t>
      </w:r>
      <w:r>
        <w:t xml:space="preserve"> </w:t>
      </w:r>
      <w:r>
        <w:t xml:space="preserve">prose-quality module that any project in the template can opt into, and a</w:t>
      </w:r>
      <w:r>
        <w:t xml:space="preserve"> </w:t>
      </w:r>
      <w:r>
        <w:rPr>
          <w:i/>
          <w:iCs/>
        </w:rPr>
        <w:t xml:space="preserve">minimal, configurable</w:t>
      </w:r>
      <w:r>
        <w:t xml:space="preserve"> </w:t>
      </w:r>
      <w:r>
        <w:t xml:space="preserve">exemplar wiring it to the bibliography and the manuscript pipeline. The combination of</w:t>
      </w:r>
      <w:r>
        <w:t xml:space="preserve"> </w:t>
      </w:r>
      <w:r>
        <w:rPr>
          <w:rStyle w:val="VerbatimChar"/>
        </w:rPr>
        <w:t xml:space="preserve">template_code_project</w:t>
      </w:r>
      <w:r>
        <w:t xml:space="preserve"> </w:t>
      </w:r>
      <w:r>
        <w:t xml:space="preserve">(algorithm + numerical experiments),</w:t>
      </w:r>
      <w:r>
        <w:t xml:space="preserve"> </w:t>
      </w:r>
      <w:r>
        <w:rPr>
          <w:rStyle w:val="VerbatimChar"/>
        </w:rPr>
        <w:t xml:space="preserve">template_prose_project</w:t>
      </w:r>
      <w:r>
        <w:t xml:space="preserve"> </w:t>
      </w:r>
      <w:r>
        <w:t xml:space="preserve">(editorial review), and the optional</w:t>
      </w:r>
      <w:r>
        <w:t xml:space="preserve"> </w:t>
      </w:r>
      <w:r>
        <w:rPr>
          <w:rStyle w:val="VerbatimChar"/>
        </w:rPr>
        <w:t xml:space="preserve">projects_archive/template_search_project</w:t>
      </w:r>
      <w:r>
        <w:t xml:space="preserve"> </w:t>
      </w:r>
      <w:r>
        <w:t xml:space="preserve">add-on (literature discovery + LLM synthesis) covers the dominant shapes of academic research projects in the template; new projects can copy whichever exemplar most closely matches their shape and adjust from there.</w:t>
      </w:r>
    </w:p>
    <w:p>
      <w:pPr>
        <w:pStyle w:val="BodyText"/>
      </w:pPr>
      <w:r>
        <w:t xml:space="preserve">Three concrete extensions follow naturally: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Style-guide enforcement</w:t>
      </w:r>
      <w:r>
        <w:t xml:space="preserve"> </w:t>
      </w:r>
      <w:r>
        <w:t xml:space="preserve">— extend</w:t>
      </w:r>
      <w:r>
        <w:t xml:space="preserve"> </w:t>
      </w:r>
      <w:r>
        <w:rPr>
          <w:rStyle w:val="VerbatimChar"/>
        </w:rPr>
        <w:t xml:space="preserve">analyze_quality</w:t>
      </w:r>
      <w:r>
        <w:t xml:space="preserve"> </w:t>
      </w:r>
      <w:r>
        <w:t xml:space="preserve">with project-specific style rules (e.g. forbidden phrases, required terminology) read from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Diff-aware review</w:t>
      </w:r>
      <w:r>
        <w:t xml:space="preserve"> </w:t>
      </w:r>
      <w:r>
        <w:t xml:space="preserve">— restrict the report to files modified since a given git ref so editorial review can run on every PR.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LLM-assisted rewriting</w:t>
      </w:r>
      <w:r>
        <w:t xml:space="preserve"> </w:t>
      </w:r>
      <w:r>
        <w:t xml:space="preserve">— pipe long sentences and passive candidates into</w:t>
      </w:r>
      <w:r>
        <w:t xml:space="preserve"> </w:t>
      </w:r>
      <w:r>
        <w:rPr>
          <w:rStyle w:val="VerbatimChar"/>
        </w:rPr>
        <w:t xml:space="preserve">infrastructure.llm</w:t>
      </w:r>
      <w:r>
        <w:t xml:space="preserve"> </w:t>
      </w:r>
      <w:r>
        <w:t xml:space="preserve">for suggested rewrites, using the same</w:t>
      </w:r>
      <w:r>
        <w:t xml:space="preserve"> </w:t>
      </w:r>
      <w:r>
        <w:rPr>
          <w:rStyle w:val="VerbatimChar"/>
        </w:rPr>
        <w:t xml:space="preserve">seed=42, temperature=0.0</w:t>
      </w:r>
      <w:r>
        <w:t xml:space="preserve"> </w:t>
      </w:r>
      <w:r>
        <w:t xml:space="preserve">reproducibility contract as the optional search add-on.</w:t>
      </w:r>
    </w:p>
    <w:bookmarkEnd w:id="25"/>
    <w:bookmarkStart w:id="27" w:name="sec:pipeline_internals"/>
    <w:p>
      <w:pPr>
        <w:pStyle w:val="Heading1"/>
      </w:pPr>
      <w:r>
        <w:t xml:space="preserve">Pipeline Internals</w:t>
      </w:r>
    </w:p>
    <w:p>
      <w:pPr>
        <w:pStyle w:val="FirstParagraph"/>
      </w:pPr>
      <w:r>
        <w:t xml:space="preserve">This section documents the artefacts produced by the prose-review run.</w:t>
      </w:r>
    </w:p>
    <w:bookmarkStart w:id="26" w:name="data-structures"/>
    <w:p>
      <w:pPr>
        <w:pStyle w:val="Heading2"/>
      </w:pPr>
      <w:r>
        <w:t xml:space="preserve">Data structures</w:t>
      </w:r>
    </w:p>
    <w:bookmarkEnd w:id="26"/>
    <w:bookmarkEnd w:id="27"/>
    <w:bookmarkStart w:id="30" w:name="sec:reproducibility"/>
    <w:p>
      <w:pPr>
        <w:pStyle w:val="Heading1"/>
      </w:pPr>
      <w:r>
        <w:t xml:space="preserve">Reproducibility</w:t>
      </w:r>
    </w:p>
    <w:p>
      <w:pPr>
        <w:pStyle w:val="FirstParagraph"/>
      </w:pPr>
      <w:r>
        <w:t xml:space="preserve">The bundled</w:t>
      </w:r>
      <w:r>
        <w:t xml:space="preserve"> </w:t>
      </w:r>
      <w:r>
        <w:rPr>
          <w:rStyle w:val="VerbatimChar"/>
        </w:rPr>
        <w:t xml:space="preserve">manuscript/config.yaml</w:t>
      </w:r>
      <w:r>
        <w:t xml:space="preserve"> </w:t>
      </w:r>
      <w:r>
        <w:t xml:space="preserve">is configured for the</w:t>
      </w:r>
      <w:r>
        <w:t xml:space="preserve"> </w:t>
      </w:r>
      <w:r>
        <w:rPr>
          <w:b/>
          <w:bCs/>
        </w:rPr>
        <w:t xml:space="preserve">strict reproducibility</w:t>
      </w:r>
      <w:r>
        <w:t xml:space="preserve"> </w:t>
      </w:r>
      <w:r>
        <w:t xml:space="preserve">discipline advocated for computational science by</w:t>
      </w:r>
      <w:r>
        <w:t xml:space="preserve"> </w:t>
      </w:r>
      <w:r>
        <w:t xml:space="preserve">(Peng 2011)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network calls.</w:t>
      </w:r>
      <w:r>
        <w:t xml:space="preserve"> </w:t>
      </w:r>
      <w:r>
        <w:t xml:space="preserve">All analysis is local: prose metrics, structure, quality flags, and bibliography validation are computed from in-repo files only.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Deterministic outputs.</w:t>
      </w:r>
      <w:r>
        <w:t xml:space="preserve"> </w:t>
      </w:r>
      <w:r>
        <w:rPr>
          <w:rStyle w:val="VerbatimChar"/>
        </w:rPr>
        <w:t xml:space="preserve">compute_metrics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analyze_structure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analyze_quality</w:t>
      </w:r>
      <w:r>
        <w:t xml:space="preserve"> </w:t>
      </w:r>
      <w:r>
        <w:t xml:space="preserve">are pure functions over their input strings. The same manuscript text + the same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produces byte-identical JSON artefacts (modulo timestamp metadata in any caches the project later adds).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Threshold transparency.</w:t>
      </w:r>
      <w:r>
        <w:t xml:space="preserve"> </w:t>
      </w:r>
      <w:r>
        <w:t xml:space="preserve">Every pass/fail decision is recorded in</w:t>
      </w:r>
      <w:r>
        <w:t xml:space="preserve"> </w:t>
      </w:r>
      <w:r>
        <w:rPr>
          <w:rStyle w:val="VerbatimChar"/>
        </w:rPr>
        <w:t xml:space="preserve">output/checks.json</w:t>
      </w:r>
      <w:r>
        <w:t xml:space="preserve"> </w:t>
      </w:r>
      <w:r>
        <w:t xml:space="preserve">along with the numeric value that triggered it, so a reviewer can audit the gate without re-running the pipeline.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hidden state.</w:t>
      </w:r>
      <w:r>
        <w:t xml:space="preserve"> </w:t>
      </w:r>
      <w:r>
        <w:t xml:space="preserve">The pipeline does not mutate</w:t>
      </w:r>
      <w:r>
        <w:t xml:space="preserve"> </w:t>
      </w:r>
      <w:r>
        <w:rPr>
          <w:rStyle w:val="VerbatimChar"/>
        </w:rPr>
        <w:t xml:space="preserve">manuscript/</w:t>
      </w:r>
      <w:r>
        <w:t xml:space="preserve">; it reads and reports.</w:t>
      </w:r>
      <w:r>
        <w:t xml:space="preserve"> </w:t>
      </w:r>
      <w:r>
        <w:rPr>
          <w:rStyle w:val="VerbatimChar"/>
        </w:rPr>
        <w:t xml:space="preserve">manuscript/references.bib</w:t>
      </w:r>
      <w:r>
        <w:t xml:space="preserve"> </w:t>
      </w:r>
      <w:r>
        <w:t xml:space="preserve">is read-only here (in contrast with the optional search add-on, where it is auto-populated).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Same code, different config.</w:t>
      </w:r>
      <w:r>
        <w:t xml:space="preserve"> </w:t>
      </w:r>
      <w:r>
        <w:t xml:space="preserve">A reviewer who wants stricter standards edits</w:t>
      </w:r>
      <w:r>
        <w:t xml:space="preserve"> </w:t>
      </w:r>
      <w:r>
        <w:rPr>
          <w:rStyle w:val="VerbatimChar"/>
        </w:rPr>
        <w:t xml:space="preserve">manuscript/config.yaml</w:t>
      </w:r>
      <w:r>
        <w:t xml:space="preserve"> </w:t>
      </w:r>
      <w:r>
        <w:t xml:space="preserve">(</w:t>
      </w:r>
      <w:r>
        <w:rPr>
          <w:rStyle w:val="VerbatimChar"/>
        </w:rPr>
        <w:t xml:space="preserve">prose.target_grade_level_max: 14.0</w:t>
      </w:r>
      <w:r>
        <w:t xml:space="preserve">, say); no code changes are required.</w:t>
      </w:r>
    </w:p>
    <w:bookmarkStart w:id="28" w:name="verifying-reproducibility-locally"/>
    <w:p>
      <w:pPr>
        <w:pStyle w:val="Heading2"/>
      </w:pPr>
      <w:r>
        <w:t xml:space="preserve">Verifying reproducibility locally</w:t>
      </w:r>
    </w:p>
    <w:p>
      <w:pPr>
        <w:pStyle w:val="SourceCode"/>
      </w:pPr>
      <w:r>
        <w:rPr>
          <w:rStyle w:val="CommentTok"/>
        </w:rPr>
        <w:t xml:space="preserve"># Run twice; check there are no diffs in the JSON artefacts.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projects/template_prose_project/scripts/run_prose_pipeline.py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projects/template_prose_project/output projects/template_prose_project/output_first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projects/template_prose_project/scripts/run_prose_pipeline.py</w:t>
      </w:r>
      <w:r>
        <w:br/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-ru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projects/template_prose_project/output_first/manuscript_report.json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projects/template_prose_project/output/manuscript_report.json</w:t>
      </w:r>
    </w:p>
    <w:p>
      <w:pPr>
        <w:pStyle w:val="FirstParagraph"/>
      </w:pPr>
      <w:r>
        <w:t xml:space="preserve">The diff should be empty. If it is not, the pipeline has acquired non-determinism — file an issue.</w:t>
      </w:r>
    </w:p>
    <w:bookmarkEnd w:id="28"/>
    <w:bookmarkStart w:id="29" w:name="determinism-guarantees"/>
    <w:p>
      <w:pPr>
        <w:pStyle w:val="Heading2"/>
      </w:pPr>
      <w:r>
        <w:t xml:space="preserve">Determinism guarantees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Deterministic?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Prose analysis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pure functions over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Bibliography parse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byte-stable round-trip in</w:t>
            </w:r>
            <w:r>
              <w:t xml:space="preserve"> </w:t>
            </w:r>
            <w:r>
              <w:rPr>
                <w:rStyle w:val="VerbatimChar"/>
              </w:rPr>
              <w:t xml:space="preserve">infrastructure.reference.citation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evaluation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pure comparisons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 report assembly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sorted file list, fixed output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generation</w:t>
            </w:r>
          </w:p>
        </w:tc>
        <w:tc>
          <w:tcPr/>
          <w:p>
            <w:pPr>
              <w:pStyle w:val="Compact"/>
            </w:pPr>
            <w:r>
              <w:t xml:space="preserve">yes (within Matplotlib version)</w:t>
            </w:r>
          </w:p>
        </w:tc>
        <w:tc>
          <w:tcPr/>
          <w:p>
            <w:pPr>
              <w:pStyle w:val="Compact"/>
            </w:pPr>
            <w:r>
              <w:t xml:space="preserve">fixed palette, no random subsampling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Manuscript variables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derived from the deterministic JSON report</w:t>
            </w:r>
          </w:p>
        </w:tc>
      </w:tr>
    </w:tbl>
    <w:bookmarkEnd w:id="29"/>
    <w:bookmarkEnd w:id="30"/>
    <w:bookmarkStart w:id="43" w:name="sec: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Bibliography lives in</w:t>
      </w:r>
      <w:r>
        <w:t xml:space="preserve"> </w:t>
      </w:r>
      <w:hyperlink r:id="rId31">
        <w:r>
          <w:rPr>
            <w:rStyle w:val="VerbatimChar"/>
          </w:rPr>
          <w:t xml:space="preserve">manuscript/references.bib</w:t>
        </w:r>
      </w:hyperlink>
      <w:r>
        <w:t xml:space="preserve"> </w:t>
      </w:r>
      <w:r>
        <w:t xml:space="preserve">and is read by Pandoc during PDF render. The build pipeline invokes Pandoc with</w:t>
      </w:r>
      <w:r>
        <w:t xml:space="preserve"> </w:t>
      </w:r>
      <w:r>
        <w:rPr>
          <w:rStyle w:val="VerbatimChar"/>
        </w:rPr>
        <w:t xml:space="preserve">--natbib</w:t>
      </w:r>
      <w:r>
        <w:t xml:space="preserve">, so every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citation in the manuscript is rewritten to the appropriate</w:t>
      </w:r>
      <w:r>
        <w:t xml:space="preserve"> </w:t>
      </w:r>
      <w:r>
        <w:rPr>
          <w:rStyle w:val="VerbatimChar"/>
        </w:rPr>
        <w:t xml:space="preserve">\cite{}</w:t>
      </w:r>
      <w:r>
        <w:t xml:space="preserve">/</w:t>
      </w:r>
      <w:r>
        <w:rPr>
          <w:rStyle w:val="VerbatimChar"/>
        </w:rPr>
        <w:t xml:space="preserve">\citep{}</w:t>
      </w:r>
      <w:r>
        <w:t xml:space="preserve">/</w:t>
      </w:r>
      <w:r>
        <w:rPr>
          <w:rStyle w:val="VerbatimChar"/>
        </w:rPr>
        <w:t xml:space="preserve">\citet{}</w:t>
      </w:r>
      <w:r>
        <w:t xml:space="preserve"> </w:t>
      </w:r>
      <w:r>
        <w:t xml:space="preserve">LaTeX command and resolved against the bib file.</w:t>
      </w:r>
    </w:p>
    <w:p>
      <w:pPr>
        <w:pStyle w:val="BodyText"/>
      </w:pPr>
      <w:r>
        <w:t xml:space="preserve">This project does not auto-generate the bibliography — it</w:t>
      </w:r>
      <w:r>
        <w:t xml:space="preserve"> </w:t>
      </w:r>
      <w:r>
        <w:rPr>
          <w:b/>
          <w:bCs/>
        </w:rPr>
        <w:t xml:space="preserve">validates</w:t>
      </w:r>
      <w:r>
        <w:t xml:space="preserve"> </w:t>
      </w:r>
      <w:r>
        <w:t xml:space="preserve">that every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cited in the prose has a matching entry, via</w:t>
      </w:r>
      <w:r>
        <w:t xml:space="preserve"> </w:t>
      </w:r>
      <w:hyperlink r:id="rId16">
        <w:r>
          <w:rPr>
            <w:rStyle w:val="VerbatimChar"/>
          </w:rPr>
          <w:t xml:space="preserve">infrastructure.reference.citation.parse_bibfile</w:t>
        </w:r>
      </w:hyperlink>
      <w:r>
        <w:t xml:space="preserve">. The check policy is configured under</w:t>
      </w:r>
      <w:r>
        <w:t xml:space="preserve"> </w:t>
      </w:r>
      <w:r>
        <w:rPr>
          <w:rStyle w:val="VerbatimChar"/>
        </w:rPr>
        <w:t xml:space="preserve">bibliography:</w:t>
      </w:r>
      <w:r>
        <w:t xml:space="preserve"> </w:t>
      </w:r>
      <w:r>
        <w:t xml:space="preserve">in</w:t>
      </w:r>
      <w:r>
        <w:t xml:space="preserve"> </w:t>
      </w:r>
      <w:hyperlink r:id="rId32">
        <w:r>
          <w:rPr>
            <w:rStyle w:val="VerbatimChar"/>
          </w:rPr>
          <w:t xml:space="preserve">config.yaml</w:t>
        </w:r>
      </w:hyperlink>
      <w:r>
        <w:t xml:space="preserve">.</w:t>
      </w:r>
    </w:p>
    <w:p>
      <w:pPr>
        <w:pStyle w:val="BodyText"/>
      </w:pPr>
      <w:r>
        <w:t xml:space="preserve">To validate that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is syntactically clean: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infrastructure.reference.citation.cli validate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projects/template_prose_project/manuscript/references.bib </w:t>
      </w:r>
      <w:r>
        <w:rPr>
          <w:rStyle w:val="AttributeTok"/>
        </w:rPr>
        <w:t xml:space="preserve">--strict</w:t>
      </w:r>
    </w:p>
    <w:bookmarkStart w:id="42" w:name="refs"/>
    <w:bookmarkStart w:id="34" w:name="ref-flesch1948new"/>
    <w:p>
      <w:pPr>
        <w:pStyle w:val="Bibliography"/>
      </w:pPr>
      <w:r>
        <w:t xml:space="preserve">Flesch, Rudolf. 1948.</w:t>
      </w:r>
      <w:r>
        <w:t xml:space="preserve"> </w:t>
      </w:r>
      <w:r>
        <w:t xml:space="preserve">“A New Readability Yardstick.”</w:t>
      </w:r>
      <w:r>
        <w:t xml:space="preserve"> </w:t>
      </w:r>
      <w:r>
        <w:rPr>
          <w:i/>
          <w:iCs/>
        </w:rPr>
        <w:t xml:space="preserve">Journal of Applied Psychology</w:t>
      </w:r>
      <w:r>
        <w:t xml:space="preserve"> </w:t>
      </w:r>
      <w:r>
        <w:t xml:space="preserve">32 (3): 221–33.</w:t>
      </w:r>
      <w:r>
        <w:t xml:space="preserve"> </w:t>
      </w:r>
      <w:hyperlink r:id="rId33">
        <w:r>
          <w:rPr>
            <w:rStyle w:val="Hyperlink"/>
          </w:rPr>
          <w:t xml:space="preserve">https://doi.org/10.1037/h0057532</w:t>
        </w:r>
      </w:hyperlink>
      <w:r>
        <w:t xml:space="preserve">.</w:t>
      </w:r>
    </w:p>
    <w:bookmarkEnd w:id="34"/>
    <w:bookmarkStart w:id="35" w:name="ref-gunning1952technique"/>
    <w:p>
      <w:pPr>
        <w:pStyle w:val="Bibliography"/>
      </w:pPr>
      <w:r>
        <w:t xml:space="preserve">Gunning, Robert. 1952.</w:t>
      </w:r>
      <w:r>
        <w:t xml:space="preserve"> </w:t>
      </w:r>
      <w:r>
        <w:rPr>
          <w:i/>
          <w:iCs/>
        </w:rPr>
        <w:t xml:space="preserve">The Technique of Clear Writing</w:t>
      </w:r>
      <w:r>
        <w:t xml:space="preserve">. McGraw-Hill.</w:t>
      </w:r>
    </w:p>
    <w:bookmarkEnd w:id="35"/>
    <w:bookmarkStart w:id="36" w:name="ref-kincaid1975derivation"/>
    <w:p>
      <w:pPr>
        <w:pStyle w:val="Bibliography"/>
      </w:pPr>
      <w:r>
        <w:t xml:space="preserve">Kincaid, J Peter, Robert P Fishburne, Richard L Rogers, and Brad S Chissom. 1975.</w:t>
      </w:r>
      <w:r>
        <w:t xml:space="preserve"> </w:t>
      </w:r>
      <w:r>
        <w:t xml:space="preserve">“Derivation of New Readability Formulas (Automated Readability Index, Fog Count and Flesch Reading Ease Formula) for Navy Enlisted Personnel.”</w:t>
      </w:r>
      <w:r>
        <w:t xml:space="preserve"> </w:t>
      </w:r>
      <w:r>
        <w:rPr>
          <w:i/>
          <w:iCs/>
        </w:rPr>
        <w:t xml:space="preserve">Naval Technical Training Command Research Branch Report</w:t>
      </w:r>
      <w:r>
        <w:t xml:space="preserve">, nos. 8-75.</w:t>
      </w:r>
    </w:p>
    <w:bookmarkEnd w:id="36"/>
    <w:bookmarkStart w:id="38" w:name="ref-peng2011reproducible"/>
    <w:p>
      <w:pPr>
        <w:pStyle w:val="Bibliography"/>
      </w:pPr>
      <w:r>
        <w:t xml:space="preserve">Peng, Roger D. 2011.</w:t>
      </w:r>
      <w:r>
        <w:t xml:space="preserve"> </w:t>
      </w:r>
      <w:r>
        <w:t xml:space="preserve">“Reproducible Research in Computational Science.”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334 (6060): 1226–27.</w:t>
      </w:r>
      <w:r>
        <w:t xml:space="preserve"> </w:t>
      </w:r>
      <w:hyperlink r:id="rId37">
        <w:r>
          <w:rPr>
            <w:rStyle w:val="Hyperlink"/>
          </w:rPr>
          <w:t xml:space="preserve">https://doi.org/10.1126/science.1213847</w:t>
        </w:r>
      </w:hyperlink>
      <w:r>
        <w:t xml:space="preserve">.</w:t>
      </w:r>
    </w:p>
    <w:bookmarkEnd w:id="38"/>
    <w:bookmarkStart w:id="39" w:name="ref-strunk2000elements"/>
    <w:p>
      <w:pPr>
        <w:pStyle w:val="Bibliography"/>
      </w:pPr>
      <w:r>
        <w:t xml:space="preserve">Strunk, William, and E. B. White. 2000.</w:t>
      </w:r>
      <w:r>
        <w:t xml:space="preserve"> </w:t>
      </w:r>
      <w:r>
        <w:rPr>
          <w:i/>
          <w:iCs/>
        </w:rPr>
        <w:t xml:space="preserve">The Elements of Style</w:t>
      </w:r>
      <w:r>
        <w:t xml:space="preserve">. 4th ed. Allyn &amp; Bacon.</w:t>
      </w:r>
    </w:p>
    <w:bookmarkEnd w:id="39"/>
    <w:bookmarkStart w:id="41" w:name="ref-wong2011points"/>
    <w:p>
      <w:pPr>
        <w:pStyle w:val="Bibliography"/>
      </w:pPr>
      <w:r>
        <w:t xml:space="preserve">Wong, Bang. 2011.</w:t>
      </w:r>
      <w:r>
        <w:t xml:space="preserve"> </w:t>
      </w:r>
      <w:r>
        <w:t xml:space="preserve">“Points of View: Color Blindness.”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 </w:t>
      </w:r>
      <w:r>
        <w:t xml:space="preserve">8 (6): 441.</w:t>
      </w:r>
      <w:r>
        <w:t xml:space="preserve"> </w:t>
      </w:r>
      <w:hyperlink r:id="rId40">
        <w:r>
          <w:rPr>
            <w:rStyle w:val="Hyperlink"/>
          </w:rPr>
          <w:t xml:space="preserve">https://doi.org/10.1038/nmeth.1618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../../../infrastructure/prose/SKILL.md" TargetMode="External" /><Relationship Type="http://schemas.openxmlformats.org/officeDocument/2006/relationships/hyperlink" Id="rId16" Target="../../../infrastructure/reference/citation/SKILL.md" TargetMode="External" /><Relationship Type="http://schemas.openxmlformats.org/officeDocument/2006/relationships/hyperlink" Id="rId14" Target="../../../projects_archive/template_search_project" TargetMode="External" /><Relationship Type="http://schemas.openxmlformats.org/officeDocument/2006/relationships/hyperlink" Id="rId13" Target="../../template_code_project" TargetMode="External" /><Relationship Type="http://schemas.openxmlformats.org/officeDocument/2006/relationships/hyperlink" Id="rId32" Target="config.yaml" TargetMode="External" /><Relationship Type="http://schemas.openxmlformats.org/officeDocument/2006/relationships/hyperlink" Id="rId33" Target="https://doi.org/10.1037/h0057532" TargetMode="External" /><Relationship Type="http://schemas.openxmlformats.org/officeDocument/2006/relationships/hyperlink" Id="rId40" Target="https://doi.org/10.1038/nmeth.1618" TargetMode="External" /><Relationship Type="http://schemas.openxmlformats.org/officeDocument/2006/relationships/hyperlink" Id="rId37" Target="https://doi.org/10.1126/science.1213847" TargetMode="External" /><Relationship Type="http://schemas.openxmlformats.org/officeDocument/2006/relationships/hyperlink" Id="rId9" Target="https://github.com/docxology/template" TargetMode="External" /><Relationship Type="http://schemas.openxmlformats.org/officeDocument/2006/relationships/hyperlink" Id="rId10" Target="https://github.com/docxology/template/tree/main/infrastructure/prose" TargetMode="External" /><Relationship Type="http://schemas.openxmlformats.org/officeDocument/2006/relationships/hyperlink" Id="rId11" Target="https://github.com/docxology/template/tree/main/infrastructure/reference" TargetMode="External" /><Relationship Type="http://schemas.openxmlformats.org/officeDocument/2006/relationships/hyperlink" Id="rId31" Target="references.bi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../../../infrastructure/prose/SKILL.md" TargetMode="External" /><Relationship Type="http://schemas.openxmlformats.org/officeDocument/2006/relationships/hyperlink" Id="rId16" Target="../../../infrastructure/reference/citation/SKILL.md" TargetMode="External" /><Relationship Type="http://schemas.openxmlformats.org/officeDocument/2006/relationships/hyperlink" Id="rId14" Target="../../../projects_archive/template_search_project" TargetMode="External" /><Relationship Type="http://schemas.openxmlformats.org/officeDocument/2006/relationships/hyperlink" Id="rId13" Target="../../template_code_project" TargetMode="External" /><Relationship Type="http://schemas.openxmlformats.org/officeDocument/2006/relationships/hyperlink" Id="rId32" Target="config.yaml" TargetMode="External" /><Relationship Type="http://schemas.openxmlformats.org/officeDocument/2006/relationships/hyperlink" Id="rId33" Target="https://doi.org/10.1037/h0057532" TargetMode="External" /><Relationship Type="http://schemas.openxmlformats.org/officeDocument/2006/relationships/hyperlink" Id="rId40" Target="https://doi.org/10.1038/nmeth.1618" TargetMode="External" /><Relationship Type="http://schemas.openxmlformats.org/officeDocument/2006/relationships/hyperlink" Id="rId37" Target="https://doi.org/10.1126/science.1213847" TargetMode="External" /><Relationship Type="http://schemas.openxmlformats.org/officeDocument/2006/relationships/hyperlink" Id="rId9" Target="https://github.com/docxology/template" TargetMode="External" /><Relationship Type="http://schemas.openxmlformats.org/officeDocument/2006/relationships/hyperlink" Id="rId10" Target="https://github.com/docxology/template/tree/main/infrastructure/prose" TargetMode="External" /><Relationship Type="http://schemas.openxmlformats.org/officeDocument/2006/relationships/hyperlink" Id="rId11" Target="https://github.com/docxology/template/tree/main/infrastructure/reference" TargetMode="External" /><Relationship Type="http://schemas.openxmlformats.org/officeDocument/2006/relationships/hyperlink" Id="rId31" Target="references.bi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2026-05-24T18:28:15Z</dcterms:created>
  <dcterms:modified xsi:type="dcterms:W3CDTF">2026-05-24T18:28:15Z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/Users/4d/Documents/GitHub/template/projects/template_prose_project/output/manuscript/references.bib</vt:lpwstr>
  </property>
</Properties>
</file>