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35">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imensional scaling from generate_benchmark_visualization(). Dimensions d \in \{1, 2, 5, 10, 20, 50\} run on identity-Hessian quadratics with \alpha=0.1 and gradient tolerance 10^{-10} (both hardcoded in the script for benchmark stability). Left: mean wall-clock time per gradient_descent() call (μs). The flat regime at d \leq 20 reflects per-iteration overhead (Python dispatch, NumPy bookkeeping); the upturn at d=50 shows the O(d) matrix-vector cost beginning to dominate. Right: iterations-to-convergence rises only modestly across two decades of d (219 \to 238). This near-invariance is expected: \kappa(I_d)=1 regardless of dimension, so the contraction factor \rho=|1-\alpha|=0.9 is identical for every d, and only the per-coordinate residual norm grows mildly."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372</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2026-07-10T14:33:59Z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7182b437c586a680</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9</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19</w:t>
            </w:r>
          </w:p>
        </w:tc>
      </w:tr>
      <w:tr>
        <w:tc>
          <w:tcPr/>
          <w:p>
            <w:pPr>
              <w:pStyle w:val="Compact"/>
            </w:pPr>
            <w:r>
              <w:rPr>
                <w:b/>
                <w:bCs/>
              </w:rPr>
              <w:t xml:space="preserve">Total artifacts</w:t>
            </w:r>
          </w:p>
        </w:tc>
        <w:tc>
          <w:tcPr/>
          <w:p>
            <w:pPr>
              <w:pStyle w:val="Compact"/>
            </w:pPr>
            <w:r>
              <w:rPr>
                <w:b/>
                <w:bCs/>
              </w:rPr>
              <w:t xml:space="preserve">33</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372</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times the pure</w:t>
      </w:r>
      <w:r>
        <w:t xml:space="preserve"> </w:t>
      </w:r>
      <w:r>
        <w:rPr>
          <w:rStyle w:val="VerbatimChar"/>
        </w:rPr>
        <w:t xml:space="preserve">quadratic_function</w:t>
      </w:r>
      <w:r>
        <w:t xml:space="preserve"> </w:t>
      </w:r>
      <w:r>
        <w:t xml:space="preserve">across a fixed set of input sizes (deterministic seed, no network) and turns the timing facts into boolean rubric checks. Those checks are scored through the shared</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and the result is rendered with</w:t>
      </w:r>
      <w:r>
        <w:t xml:space="preserve"> </w:t>
      </w:r>
      <w:r>
        <w:rPr>
          <w:rStyle w:val="VerbatimChar"/>
        </w:rPr>
        <w:t xml:space="preserve">scores_to_markdown</w:t>
      </w:r>
      <w:r>
        <w:t xml:space="preserve"> </w:t>
      </w:r>
      <w:r>
        <w:t xml:space="preserve">into</w:t>
      </w:r>
      <w:r>
        <w:t xml:space="preserve"> </w:t>
      </w:r>
      <w:r>
        <w:rPr>
          <w:rStyle w:val="VerbatimChar"/>
        </w:rPr>
        <w:t xml:space="preserve">output/reports/benchmark_report.json</w:t>
      </w:r>
      <w:r>
        <w:t xml:space="preserve"> </w:t>
      </w:r>
      <w:r>
        <w:t xml:space="preserve">(plus an optional timing figure). This keeps the benchmark API exercised by a real exemplar, not by infrastructure tests alone.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2026-07-10T14:34:45Z</dcterms:created>
  <dcterms:modified xsi:type="dcterms:W3CDTF">2026-07-10T14:34:45Z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/Users/4d/Documents/GitHub/template/projects/templates/template_code_project/output/manuscript/references.bib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