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png" ContentType="image/png"/>
  <Override PartName="/word/media/rId48.png" ContentType="image/png"/>
  <Override PartName="/word/media/rId62.png" ContentType="image/png"/>
  <Override PartName="/word/media/rId81.png" ContentType="image/png"/>
  <Override PartName="/word/media/rId86.png" ContentType="image/png"/>
  <Override PartName="/word/media/rId53.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7"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The analysis exercises</w:t>
      </w:r>
      <w:r>
        <w:t xml:space="preserve"> </w:t>
      </w:r>
      <w:hyperlink r:id="rId35">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sty m:val="p"/>
          </m:rPr>
          <m:t>iterations</m:t>
        </m:r>
      </m:oMath>
      <w:r>
        <w:t xml:space="preserve">; neither surface claims that one host run proves an asymptotic bound.</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4"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1"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7">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0">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bookmarkEnd w:id="41"/>
    <w:bookmarkStart w:id="42"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2"/>
    <w:bookmarkStart w:id="43"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bookmarkEnd w:id="43"/>
    <w:bookmarkEnd w:id="44"/>
    <w:bookmarkStart w:id="46"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5">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6"/>
    <w:bookmarkEnd w:id="47"/>
    <w:bookmarkStart w:id="95"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8" w:name="convergence-analysis-1"/>
    <w:p>
      <w:pPr>
        <w:pStyle w:val="Heading2"/>
      </w:pPr>
      <w:r>
        <w:t xml:space="preserve">Convergence Analysis</w:t>
      </w:r>
    </w:p>
    <w:bookmarkStart w:id="52"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1"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49" name="Picture"/>
            <a:graphic>
              <a:graphicData uri="http://schemas.openxmlformats.org/drawingml/2006/picture">
                <pic:pic>
                  <pic:nvPicPr>
                    <pic:cNvPr descr="../figures/convergence_plot.png" id="50" name="Picture"/>
                    <pic:cNvPicPr>
                      <a:picLocks noChangeArrowheads="1" noChangeAspect="1"/>
                    </pic:cNvPicPr>
                  </pic:nvPicPr>
                  <pic:blipFill>
                    <a:blip r:embed="rId48"/>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1"/>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2"/>
    <w:bookmarkStart w:id="57"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6"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4" name="Picture"/>
            <a:graphic>
              <a:graphicData uri="http://schemas.openxmlformats.org/drawingml/2006/picture">
                <pic:pic>
                  <pic:nvPicPr>
                    <pic:cNvPr descr="../figures/step_size_sensitivity.png" id="55" name="Picture"/>
                    <pic:cNvPicPr>
                      <a:picLocks noChangeArrowheads="1" noChangeAspect="1"/>
                    </pic:cNvPicPr>
                  </pic:nvPicPr>
                  <pic:blipFill>
                    <a:blip r:embed="rId53"/>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6"/>
    <w:bookmarkEnd w:id="57"/>
    <w:bookmarkEnd w:id="58"/>
    <w:bookmarkStart w:id="61"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59">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0"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-18027808360396904929014313133756094602021490593623455934143098782085898358268968910321926429082931340564236187769460640748166785144621899661251320903368704.0000</w:t>
            </w:r>
          </w:p>
        </w:tc>
        <w:tc>
          <w:tcPr/>
          <w:p>
            <w:pPr>
              <w:pStyle w:val="Compact"/>
            </w:pPr>
            <w:r>
              <w:t xml:space="preserve">162500937139598269661779749391931612290431672893591152510335296183621559147095059174363943753278426469403184325060604037672721111493697147195103358138591980698705733738747223639633375614563987655337958785982898164996799665358767974385539800466556596391365426397418791309924510722911320257856182821332197572608.0000</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0"/>
    <w:bookmarkEnd w:id="61"/>
    <w:bookmarkStart w:id="69" w:name="convergence-rate-analysis"/>
    <w:p>
      <w:pPr>
        <w:pStyle w:val="Heading2"/>
      </w:pPr>
      <w:r>
        <w:t xml:space="preserve">Convergence Rate Analysis</w:t>
      </w:r>
    </w:p>
    <w:bookmarkStart w:id="66"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5"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3" name="Picture"/>
            <a:graphic>
              <a:graphicData uri="http://schemas.openxmlformats.org/drawingml/2006/picture">
                <pic:pic>
                  <pic:nvPicPr>
                    <pic:cNvPr descr="../figures/convergence_rate_comparison.png" id="64" name="Picture"/>
                    <pic:cNvPicPr>
                      <a:picLocks noChangeArrowheads="1" noChangeAspect="1"/>
                    </pic:cNvPicPr>
                  </pic:nvPicPr>
                  <pic:blipFill>
                    <a:blip r:embed="rId62"/>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5"/>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6"/>
    <w:bookmarkStart w:id="67"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7"/>
    <w:bookmarkStart w:id="68"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8"/>
    <w:bookmarkEnd w:id="69"/>
    <w:bookmarkStart w:id="72" w:name="performance-analysis"/>
    <w:p>
      <w:pPr>
        <w:pStyle w:val="Heading2"/>
      </w:pPr>
      <w:r>
        <w:t xml:space="preserve">Performance Analysis</w:t>
      </w:r>
    </w:p>
    <w:bookmarkStart w:id="70"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0"/>
    <w:bookmarkStart w:id="71"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1"/>
    <w:bookmarkEnd w:id="72"/>
    <w:bookmarkStart w:id="75" w:name="algorithm-characteristics"/>
    <w:p>
      <w:pPr>
        <w:pStyle w:val="Heading2"/>
      </w:pPr>
      <w:r>
        <w:t xml:space="preserve">Algorithm Characteristics</w:t>
      </w:r>
    </w:p>
    <w:bookmarkStart w:id="73"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3"/>
    <w:bookmarkStart w:id="74"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4"/>
    <w:bookmarkEnd w:id="75"/>
    <w:bookmarkStart w:id="92" w:name="computational-performance"/>
    <w:p>
      <w:pPr>
        <w:pStyle w:val="Heading2"/>
      </w:pPr>
      <w:r>
        <w:t xml:space="preserve">Computational Performance</w:t>
      </w:r>
    </w:p>
    <w:bookmarkStart w:id="80"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79" w:name="fig:complexity"/>
    <w:p>
      <w:pPr>
        <w:pStyle w:val="CaptionedFigure"/>
      </w:pPr>
      <w:r>
        <w:drawing>
          <wp:inline>
            <wp:extent cx="5334000" cy="6237349"/>
            <wp:effectExtent b="0" l="0" r="0" t="0"/>
            <wp:docPr descr="Figure 4: Six-panel diagnostic from generate_complexity_visualization() (3×2 grid). Top left: bars give the empirical iteration count per configured \alpha, coloured by agency category; \alpha=1.0 achieves the global minimum of 1 step(s), while \alpha=0.01 saturates at the iteration cap N_{\max}=1000 (slow convergence) and \alpha=2.5 terminates early via a non_finite update (divergence). Top right: \log_{10}|f(x)-f(x^\ast)| at termination; the four converged rows reach \approx 10^{-16} (machine precision) while \alpha=0.01 stops near 10^{-9} at the cap. Dashed reference at \log_{10}\varepsilon for \varepsilon= experiment.convergence_tolerance. Middle left: empirical iterations (solid) versus the smooth proxy 1/(2\alpha(1-\alpha)) (dashed) on log axes — a shape comparison, not a tight count prediction for every \alpha. Middle right: per-step error contraction factor \rho=|1-\alpha| from the unit-Hessian linear recurrence (eq. ¿eq:scalar_linear_update?); the dashed reference at \rho=1 separates stable bars (left of it) from divergent ones (right). Bottom left: stable step-size region width 2/L per backend profile (H=I,2I,5I,10I) with the optimal \alpha^\ast=1/L overlaid. Bottom right: cross-profile contraction curves \rho(\alpha)=|1-\alpha L| with dotted verticals at each 2/L stability boundary." title="" id="77" name="Picture"/>
            <a:graphic>
              <a:graphicData uri="http://schemas.openxmlformats.org/drawingml/2006/picture">
                <pic:pic>
                  <pic:nvPicPr>
                    <pic:cNvPr descr="../figures/algorithm_complexity.png" id="78" name="Picture"/>
                    <pic:cNvPicPr>
                      <a:picLocks noChangeArrowheads="1" noChangeAspect="1"/>
                    </pic:cNvPicPr>
                  </pic:nvPicPr>
                  <pic:blipFill>
                    <a:blip r:embed="rId76"/>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r>
        <w:t xml:space="preserve"> </w:t>
      </w: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r>
        <w:t xml:space="preserve"> </w:t>
      </w: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bookmarkEnd w:id="79"/>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6"/>
        </w:numPr>
      </w:pPr>
      <w:r>
        <w:rPr>
          <w:b/>
          <w:bCs/>
        </w:rPr>
        <w:t xml:space="preserve">Scalability</w:t>
      </w:r>
      <w:r>
        <w:t xml:space="preserve">: Memory-efficient implementation suitable for high-dimensional problems</w:t>
      </w:r>
    </w:p>
    <w:bookmarkEnd w:id="80"/>
    <w:bookmarkStart w:id="85" w:name="performance-benchmarking-1"/>
    <w:p>
      <w:pPr>
        <w:pStyle w:val="Heading3"/>
      </w:pPr>
      <w:r>
        <w:t xml:space="preserve">Performance Benchmarking</w:t>
      </w:r>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4" w:name="fig:benchmark"/>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82" name="Picture"/>
            <a:graphic>
              <a:graphicData uri="http://schemas.openxmlformats.org/drawingml/2006/picture">
                <pic:pic>
                  <pic:nvPicPr>
                    <pic:cNvPr descr="../figures/performance_benchmark.png" id="83" name="Picture"/>
                    <pic:cNvPicPr>
                      <a:picLocks noChangeArrowheads="1" noChangeAspect="1"/>
                    </pic:cNvPicPr>
                  </pic:nvPicPr>
                  <pic:blipFill>
                    <a:blip r:embed="rId81"/>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sty m:val="p"/>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84"/>
    <w:bookmarkEnd w:id="85"/>
    <w:bookmarkStart w:id="90"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89"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7" name="Picture"/>
            <a:graphic>
              <a:graphicData uri="http://schemas.openxmlformats.org/drawingml/2006/picture">
                <pic:pic>
                  <pic:nvPicPr>
                    <pic:cNvPr descr="../figures/stability_analysis.png" id="88" name="Picture"/>
                    <pic:cNvPicPr>
                      <a:picLocks noChangeArrowheads="1" noChangeAspect="1"/>
                    </pic:cNvPicPr>
                  </pic:nvPicPr>
                  <pic:blipFill>
                    <a:blip r:embed="rId86"/>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89"/>
    <w:bookmarkEnd w:id="90"/>
    <w:bookmarkStart w:id="91"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351</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1"/>
    <w:bookmarkEnd w:id="92"/>
    <w:bookmarkStart w:id="93"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3"/>
    <w:bookmarkStart w:id="94"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4"/>
    <w:bookmarkEnd w:id="95"/>
    <w:bookmarkStart w:id="104"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6"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6"/>
    <w:bookmarkStart w:id="99" w:name="technical-contributions"/>
    <w:p>
      <w:pPr>
        <w:pStyle w:val="Heading2"/>
      </w:pPr>
      <w:r>
        <w:t xml:space="preserve">Technical Contributions</w:t>
      </w:r>
    </w:p>
    <w:bookmarkStart w:id="97"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7"/>
    <w:bookmarkStart w:id="98"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8"/>
    <w:bookmarkEnd w:id="99"/>
    <w:bookmarkStart w:id="100"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0"/>
    <w:bookmarkStart w:id="101"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1"/>
    <w:bookmarkStart w:id="102"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2"/>
    <w:bookmarkStart w:id="103"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3"/>
    <w:bookmarkEnd w:id="104"/>
    <w:bookmarkStart w:id="112"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5"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5"/>
    <w:bookmarkStart w:id="106"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6"/>
    <w:bookmarkStart w:id="107"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7"/>
    <w:bookmarkStart w:id="108"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bookmarkEnd w:id="108"/>
    <w:bookmarkStart w:id="109" w:name="computational-environment"/>
    <w:p>
      <w:pPr>
        <w:pStyle w:val="Heading2"/>
      </w:pPr>
      <w:r>
        <w:t xml:space="preserve">Computational Environment</w:t>
      </w:r>
    </w:p>
    <w:p>
      <w:pPr>
        <w:pStyle w:val="Compact"/>
        <w:numPr>
          <w:ilvl w:val="0"/>
          <w:numId w:val="1027"/>
        </w:numPr>
      </w:pPr>
      <w:r>
        <w:rPr>
          <w:b/>
          <w:bCs/>
        </w:rPr>
        <w:t xml:space="preserve">Python</w:t>
      </w:r>
      <w:r>
        <w:t xml:space="preserve">: 3.14.6</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2026-09-28T00:45:27Z</w:t>
      </w:r>
    </w:p>
    <w:bookmarkEnd w:id="109"/>
    <w:bookmarkStart w:id="110"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0"/>
    <w:bookmarkStart w:id="111"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1"/>
    <w:bookmarkEnd w:id="112"/>
    <w:bookmarkStart w:id="120"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3"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292643985e5af3f2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3"/>
    <w:bookmarkStart w:id="114"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bookmarkEnd w:id="114"/>
    <w:bookmarkStart w:id="118" w:name="numerical-validation-summary"/>
    <w:p>
      <w:pPr>
        <w:pStyle w:val="Heading2"/>
      </w:pPr>
      <w:r>
        <w:t xml:space="preserve">Numerical Validation Summary</w:t>
      </w:r>
    </w:p>
    <w:bookmarkStart w:id="115"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351</w:t>
      </w:r>
    </w:p>
    <w:bookmarkEnd w:id="115"/>
    <w:bookmarkStart w:id="116"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6"/>
    <w:bookmarkStart w:id="117"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bookmarkEnd w:id="117"/>
    <w:bookmarkEnd w:id="118"/>
    <w:bookmarkStart w:id="119"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19"/>
    <w:bookmarkEnd w:id="120"/>
    <w:bookmarkStart w:id="125"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1"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1"/>
    <w:bookmarkStart w:id="122"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2"/>
    <w:bookmarkStart w:id="123"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3"/>
    <w:bookmarkStart w:id="124"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4"/>
    <w:bookmarkEnd w:id="125"/>
    <w:bookmarkStart w:id="145" w:name="sec:references"/>
    <w:p>
      <w:pPr>
        <w:pStyle w:val="Heading1"/>
      </w:pPr>
      <w:r>
        <w:t xml:space="preserve">References</w:t>
      </w:r>
    </w:p>
    <w:p>
      <w:pPr>
        <w:pStyle w:val="FirstParagraph"/>
      </w:pPr>
      <w:r>
        <w:t xml:space="preserve">Bibliography lives in</w:t>
      </w:r>
      <w:r>
        <w:t xml:space="preserve"> </w:t>
      </w:r>
      <w:hyperlink r:id="rId12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7" name="Picture"/>
            <a:graphic>
              <a:graphicData uri="http://schemas.openxmlformats.org/drawingml/2006/picture">
                <pic:pic>
                  <pic:nvPicPr>
                    <pic:cNvPr descr="../figures/transmission_integrity_strip.png" id="128"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4" w:name="refs"/>
    <w:bookmarkStart w:id="129"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29"/>
    <w:bookmarkStart w:id="131"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0">
        <w:r>
          <w:rPr>
            <w:rStyle w:val="Hyperlink"/>
          </w:rPr>
          <w:t xml:space="preserve">https://doi.org/10.1017/CBO9780511804441</w:t>
        </w:r>
      </w:hyperlink>
      <w:r>
        <w:t xml:space="preserve">.</w:t>
      </w:r>
    </w:p>
    <w:bookmarkEnd w:id="131"/>
    <w:bookmarkStart w:id="133"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2">
        <w:r>
          <w:rPr>
            <w:rStyle w:val="Hyperlink"/>
          </w:rPr>
          <w:t xml:space="preserve">https://gallica.bnf.fr/ark:/12148/bpt6k2982c/f540</w:t>
        </w:r>
      </w:hyperlink>
      <w:r>
        <w:t xml:space="preserve">.</w:t>
      </w:r>
    </w:p>
    <w:bookmarkEnd w:id="133"/>
    <w:bookmarkStart w:id="135"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4">
        <w:r>
          <w:rPr>
            <w:rStyle w:val="Hyperlink"/>
          </w:rPr>
          <w:t xml:space="preserve">https://doi.org/10.48550/arXiv.1412.6980</w:t>
        </w:r>
      </w:hyperlink>
      <w:r>
        <w:t xml:space="preserve">.</w:t>
      </w:r>
    </w:p>
    <w:bookmarkEnd w:id="135"/>
    <w:bookmarkStart w:id="137"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6">
        <w:r>
          <w:rPr>
            <w:rStyle w:val="Hyperlink"/>
          </w:rPr>
          <w:t xml:space="preserve">https://doi.org/10.1007/s10107-012-0629-5</w:t>
        </w:r>
      </w:hyperlink>
      <w:r>
        <w:t xml:space="preserve">.</w:t>
      </w:r>
    </w:p>
    <w:bookmarkEnd w:id="137"/>
    <w:bookmarkStart w:id="139"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8">
        <w:r>
          <w:rPr>
            <w:rStyle w:val="Hyperlink"/>
          </w:rPr>
          <w:t xml:space="preserve">https://doi.org/10.1007/978-0-387-40065-5</w:t>
        </w:r>
      </w:hyperlink>
      <w:r>
        <w:t xml:space="preserve">.</w:t>
      </w:r>
    </w:p>
    <w:bookmarkEnd w:id="139"/>
    <w:bookmarkStart w:id="141"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0">
        <w:r>
          <w:rPr>
            <w:rStyle w:val="Hyperlink"/>
          </w:rPr>
          <w:t xml:space="preserve">https://doi.org/10.1126/science.1213847</w:t>
        </w:r>
      </w:hyperlink>
      <w:r>
        <w:t xml:space="preserve">.</w:t>
      </w:r>
    </w:p>
    <w:bookmarkEnd w:id="141"/>
    <w:bookmarkStart w:id="143"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2">
        <w:r>
          <w:rPr>
            <w:rStyle w:val="Hyperlink"/>
          </w:rPr>
          <w:t xml:space="preserve">https://doi.org/10.1016/0041-5553(64)90137-5</w:t>
        </w:r>
      </w:hyperlink>
      <w:r>
        <w:t xml:space="preserve">.</w:t>
      </w:r>
    </w:p>
    <w:bookmarkEnd w:id="143"/>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6" Target="media/rId76.png" /><Relationship Type="http://schemas.openxmlformats.org/officeDocument/2006/relationships/image" Id="rId48" Target="media/rId48.png" /><Relationship Type="http://schemas.openxmlformats.org/officeDocument/2006/relationships/image" Id="rId62" Target="media/rId62.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53" Target="media/rId53.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38" Target="https://doi.org/10.1007/978-0-387-40065-5" TargetMode="External" /><Relationship Type="http://schemas.openxmlformats.org/officeDocument/2006/relationships/hyperlink" Id="rId136" Target="https://doi.org/10.1007/s10107-012-0629-5" TargetMode="External" /><Relationship Type="http://schemas.openxmlformats.org/officeDocument/2006/relationships/hyperlink" Id="rId142" Target="https://doi.org/10.1016/0041-5553(64)90137-5" TargetMode="External" /><Relationship Type="http://schemas.openxmlformats.org/officeDocument/2006/relationships/hyperlink" Id="rId130" Target="https://doi.org/10.1017/CBO9780511804441" TargetMode="External" /><Relationship Type="http://schemas.openxmlformats.org/officeDocument/2006/relationships/hyperlink" Id="rId140" Target="https://doi.org/10.1126/science.1213847" TargetMode="External" /><Relationship Type="http://schemas.openxmlformats.org/officeDocument/2006/relationships/hyperlink" Id="rId134" Target="https://doi.org/10.48550/arXiv.1412.6980" TargetMode="External" /><Relationship Type="http://schemas.openxmlformats.org/officeDocument/2006/relationships/hyperlink" Id="rId132"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0" Target="https://github.com/docxology/template/blob/main/docs/_generated/COUNTS.md" TargetMode="External" /><Relationship Type="http://schemas.openxmlformats.org/officeDocument/2006/relationships/hyperlink" Id="rId45" Target="https://github.com/docxology/template/blob/main/infrastructure/core/progress.py" TargetMode="External" /><Relationship Type="http://schemas.openxmlformats.org/officeDocument/2006/relationships/hyperlink" Id="rId59"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template_code_project/core/optimizer.py" TargetMode="External" /><Relationship Type="http://schemas.openxmlformats.org/officeDocument/2006/relationships/hyperlink" Id="rId30" Target="https://github.com/docxology/template/blob/main/projects/templates/template_code_project/src/template_code_project/core/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core/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2026-09-28T00:47:31Z</dcterms:created>
  <dcterms:modified xsi:type="dcterms:W3CDTF">2026-09-28T00:47:31Z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