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6.png" ContentType="image/png"/>
  <Override PartName="/word/media/rId193.png" ContentType="image/png"/>
  <Override PartName="/word/media/rId433.png" ContentType="image/png"/>
  <Override PartName="/word/media/rId412.png" ContentType="image/png"/>
  <Override PartName="/word/media/rId424.png" ContentType="image/png"/>
  <Override PartName="/word/media/rId420.png" ContentType="image/png"/>
  <Override PartName="/word/media/rId77.png" ContentType="image/png"/>
  <Override PartName="/word/media/rId44.png" ContentType="image/png"/>
  <Override PartName="/word/media/rId28.png" ContentType="image/png"/>
  <Override PartName="/word/media/rId60.png" ContentType="image/png"/>
  <Override PartName="/word/media/rId177.png" ContentType="image/png"/>
  <Override PartName="/word/media/rId209.png" ContentType="image/png"/>
  <Override PartName="/word/media/rId144.png" ContentType="image/png"/>
  <Override PartName="/word/media/rId160.png" ContentType="image/png"/>
  <Override PartName="/word/media/rId128.png" ContentType="image/png"/>
  <Override PartName="/word/media/rId9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Daniel Ari Friedman</w:t>
      </w:r>
    </w:p>
    <w:bookmarkStart w:id="21" w:name="front-matter"/>
    <w:p>
      <w:pPr>
        <w:pStyle w:val="Heading1"/>
      </w:pPr>
      <w:r>
        <w:t xml:space="preserve">Front Matter</w:t>
      </w:r>
    </w:p>
    <w:bookmarkStart w:id="9" w:name="dedication"/>
    <w:p>
      <w:pPr>
        <w:pStyle w:val="Heading2"/>
      </w:pPr>
      <w:r>
        <w:t xml:space="preserve">Dedication</w:t>
      </w:r>
    </w:p>
    <w:p>
      <w:pPr>
        <w:pStyle w:val="FirstParagraph"/>
      </w:pPr>
      <w:r>
        <w:rPr>
          <w:i/>
          <w:iCs/>
        </w:rPr>
        <w:t xml:space="preserve">TKTK — dedicate this book to whom you choose. One or</w:t>
      </w:r>
      <w:r>
        <w:rPr>
          <w:i/>
          <w:iCs/>
        </w:rPr>
        <w:t xml:space="preserve"> </w:t>
      </w:r>
      <w:r>
        <w:rPr>
          <w:i/>
          <w:iCs/>
        </w:rPr>
        <w:t xml:space="preserve">two lines is conventional. Delete this comment and the placeholder once written.</w:t>
      </w:r>
    </w:p>
    <w:p>
      <w:r>
        <w:pict>
          <v:rect style="width:0;height:1.5pt" o:hralign="center" o:hrstd="t" o:hr="t"/>
        </w:pict>
      </w:r>
    </w:p>
    <w:bookmarkEnd w:id="9"/>
    <w:bookmarkStart w:id="15" w:name="about-this-template"/>
    <w:p>
      <w:pPr>
        <w:pStyle w:val="Heading2"/>
      </w:pPr>
      <w:r>
        <w:t xml:space="preserve">About This Template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a finished book</w:t>
      </w:r>
      <w:r>
        <w:t xml:space="preserve">. It is a</w:t>
      </w:r>
      <w:r>
        <w:t xml:space="preserve"> </w:t>
      </w:r>
      <w:r>
        <w:rPr>
          <w:i/>
          <w:iCs/>
        </w:rPr>
        <w:t xml:space="preserve">scaffold</w:t>
      </w:r>
      <w:r>
        <w:t xml:space="preserve"> </w:t>
      </w:r>
      <w:r>
        <w:t xml:space="preserve">— a complete, internally</w:t>
      </w:r>
      <w:r>
        <w:t xml:space="preserve"> </w:t>
      </w:r>
      <w:r>
        <w:t xml:space="preserve">consistent skeleton for a book-length technical work, with every structural</w:t>
      </w:r>
      <w:r>
        <w:t xml:space="preserve"> </w:t>
      </w:r>
      <w:r>
        <w:t xml:space="preserve">element in place and every author-specific passage left as a marked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for</w:t>
      </w:r>
      <w:r>
        <w:t xml:space="preserve"> </w:t>
      </w:r>
      <w:r>
        <w:t xml:space="preserve">you to fill.</w:t>
      </w:r>
    </w:p>
    <w:p>
      <w:pPr>
        <w:pStyle w:val="BodyText"/>
      </w:pPr>
      <w:r>
        <w:t xml:space="preserve">The whole book is</w:t>
      </w:r>
      <w:r>
        <w:t xml:space="preserve"> </w:t>
      </w:r>
      <w:r>
        <w:rPr>
          <w:b/>
          <w:bCs/>
        </w:rPr>
        <w:t xml:space="preserve">data-driven from a single source of truth</w:t>
      </w:r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config.yaml</w:t>
        </w:r>
      </w:hyperlink>
      <w:r>
        <w:t xml:space="preserve">. That file declares the parts, the chapters inside</w:t>
      </w:r>
      <w:r>
        <w:t xml:space="preserve"> </w:t>
      </w:r>
      <w:r>
        <w:t xml:space="preserve">each part, the front matter, the appendices, and the labs and question banks. The</w:t>
      </w:r>
      <w:r>
        <w:t xml:space="preserve"> </w:t>
      </w:r>
      <w:r>
        <w:t xml:space="preserve">table of contents, chapter numbering, figure numbering, and the</w:t>
      </w:r>
      <w:r>
        <w:t xml:space="preserve"> </w:t>
      </w:r>
      <w:r>
        <w:t xml:space="preserve">manuscript-integrity tests all read from it. You grow the book by editing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and then materialising any missing files — you never hand-number a</w:t>
      </w:r>
      <w:r>
        <w:t xml:space="preserve"> </w:t>
      </w:r>
      <w:r>
        <w:t xml:space="preserve">chapter, figure, equation, or table.</w:t>
      </w:r>
    </w:p>
    <w:p>
      <w:pPr>
        <w:pStyle w:val="BodyText"/>
      </w:pPr>
      <w:r>
        <w:t xml:space="preserve">What is already provided for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Twelve chapters</w:t>
      </w:r>
      <w:r>
        <w:t xml:space="preserve"> </w:t>
      </w:r>
      <w:r>
        <w:t xml:space="preserve">across four parts, each a valid chapter shell with a</w:t>
      </w:r>
      <w:r>
        <w:t xml:space="preserve"> </w:t>
      </w:r>
      <w:r>
        <w:t xml:space="preserve">labelled heading, a figure, a metadata badge, a Study Blueprint, Learning</w:t>
      </w:r>
      <w:r>
        <w:t xml:space="preserve"> </w:t>
      </w:r>
      <w:r>
        <w:t xml:space="preserve">Objectives, a worked formalism (equation + parameter table), an inline Mermaid</w:t>
      </w:r>
      <w:r>
        <w:t xml:space="preserve"> </w:t>
      </w:r>
      <w:r>
        <w:t xml:space="preserve">diagram, and Summary / Key Terms / Further Reading / Practice sections.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matching lab and question bank</w:t>
      </w:r>
      <w:r>
        <w:t xml:space="preserve"> </w:t>
      </w:r>
      <w:r>
        <w:t xml:space="preserve">for every chapter, under</w:t>
      </w:r>
      <w:r>
        <w:t xml:space="preserve"> </w:t>
      </w:r>
      <w:hyperlink r:id="rId11">
        <w:r>
          <w:rPr>
            <w:rStyle w:val="VerbatimChar"/>
          </w:rPr>
          <w:t xml:space="preserve">labs/</w:t>
        </w:r>
      </w:hyperlink>
      <w:r>
        <w:t xml:space="preserve"> </w:t>
      </w:r>
      <w:r>
        <w:t xml:space="preserve">and</w:t>
      </w:r>
      <w:r>
        <w:t xml:space="preserve"> </w:t>
      </w:r>
      <w:hyperlink r:id="rId12">
        <w:r>
          <w:rPr>
            <w:rStyle w:val="VerbatimChar"/>
          </w:rPr>
          <w:t xml:space="preserve">questions/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tested computational backbone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the worked equations are real,</w:t>
      </w:r>
      <w:r>
        <w:t xml:space="preserve"> </w:t>
      </w:r>
      <w:r>
        <w:t xml:space="preserve">tested Python functions (</w:t>
      </w:r>
      <w:r>
        <w:rPr>
          <w:rStyle w:val="VerbatimChar"/>
        </w:rPr>
        <w:t xml:space="preserve">textbook.models</w:t>
      </w:r>
      <w:r>
        <w:t xml:space="preserve">), and figures are generated</w:t>
      </w:r>
      <w:r>
        <w:t xml:space="preserve"> </w:t>
      </w:r>
      <w:r>
        <w:t xml:space="preserve">deterministically. Chapter prose</w:t>
      </w:r>
      <w:r>
        <w:t xml:space="preserve"> </w:t>
      </w:r>
      <w:r>
        <w:rPr>
          <w:i/>
          <w:iCs/>
        </w:rPr>
        <w:t xml:space="preserve">calls</w:t>
      </w:r>
      <w:r>
        <w:t xml:space="preserve"> </w:t>
      </w:r>
      <w:r>
        <w:t xml:space="preserve">these functions rather than retyping</w:t>
      </w:r>
      <w:r>
        <w:t xml:space="preserve"> </w:t>
      </w:r>
      <w:r>
        <w:t xml:space="preserve">the mathematics.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test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tests/test_manuscript_integrity.py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scripts/audit_textbook_quality.py</w:t>
      </w:r>
      <w:r>
        <w:t xml:space="preserve">) that checks the structural contract holds</w:t>
      </w:r>
      <w:r>
        <w:t xml:space="preserve"> </w:t>
      </w:r>
      <w:r>
        <w:t xml:space="preserve">as you write.</w:t>
      </w:r>
    </w:p>
    <w:p>
      <w:pPr>
        <w:pStyle w:val="FirstParagraph"/>
      </w:pPr>
      <w:r>
        <w:t xml:space="preserve">Everywhere author-specific content belongs, you will find a stub marker: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TKTK</w:t>
      </w:r>
      <w:r>
        <w:t xml:space="preserve">. The quality audit counts these, so your</w:t>
      </w:r>
      <w:r>
        <w:t xml:space="preserve"> </w:t>
      </w:r>
      <w:r>
        <w:t xml:space="preserve">progress toward a finished book is measurable. See</w:t>
      </w:r>
      <w:r>
        <w:t xml:space="preserve"> </w:t>
      </w:r>
      <w:hyperlink r:id="rId13">
        <w:r>
          <w:rPr>
            <w:rStyle w:val="Hyperlink"/>
          </w:rPr>
          <w:t xml:space="preserve">Appendix A — Authoring Guide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for the full filling workflow.</w:t>
      </w:r>
    </w:p>
    <w:p>
      <w:r>
        <w:pict>
          <v:rect style="width:0;height:1.5pt" o:hralign="center" o:hrstd="t" o:hr="t"/>
        </w:pict>
      </w:r>
    </w:p>
    <w:bookmarkEnd w:id="15"/>
    <w:bookmarkStart w:id="17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The book is organised into four parts that build on one another. A first-time</w:t>
      </w:r>
      <w:r>
        <w:t xml:space="preserve"> </w:t>
      </w:r>
      <w:r>
        <w:t xml:space="preserve">reader should move through them in order; an instructor can assign parts</w:t>
      </w:r>
      <w:r>
        <w:t xml:space="preserve"> </w:t>
      </w:r>
      <w:r>
        <w:t xml:space="preserve">independently.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0 — Orientation and Methods.</w:t>
      </w:r>
      <w:r>
        <w:t xml:space="preserve"> </w:t>
      </w:r>
      <w:r>
        <w:t xml:space="preserve">Where the field sits, the core methods</w:t>
      </w:r>
      <w:r>
        <w:t xml:space="preserve"> </w:t>
      </w:r>
      <w:r>
        <w:t xml:space="preserve">and tools, and the quantitative foundations the rest of the book assumes. Start</w:t>
      </w:r>
      <w:r>
        <w:t xml:space="preserve"> </w:t>
      </w:r>
      <w:r>
        <w:t xml:space="preserve">here even if you are experienced; it fixes notation and conventions.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 — Fundamentals.</w:t>
      </w:r>
      <w:r>
        <w:t xml:space="preserve"> </w:t>
      </w:r>
      <w:r>
        <w:t xml:space="preserve">First principles, the building blocks, and how</w:t>
      </w:r>
      <w:r>
        <w:t xml:space="preserve"> </w:t>
      </w:r>
      <w:r>
        <w:t xml:space="preserve">structure and form arise. The conceptual bedrock.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 — Core Systems.</w:t>
      </w:r>
      <w:r>
        <w:t xml:space="preserve"> </w:t>
      </w:r>
      <w:r>
        <w:t xml:space="preserve">A systems overview, dynamics and change, and</w:t>
      </w:r>
      <w:r>
        <w:t xml:space="preserve"> </w:t>
      </w:r>
      <w:r>
        <w:t xml:space="preserve">regulation and control. The working theory.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 III — Applications and Synthesis.</w:t>
      </w:r>
      <w:r>
        <w:t xml:space="preserve"> </w:t>
      </w:r>
      <w:r>
        <w:t xml:space="preserve">Applied models, case studies, and</w:t>
      </w:r>
      <w:r>
        <w:t xml:space="preserve"> </w:t>
      </w:r>
      <w:r>
        <w:t xml:space="preserve">frontiers with open problems. Where the ideas meet practice and the edge of</w:t>
      </w:r>
      <w:r>
        <w:t xml:space="preserve"> </w:t>
      </w:r>
      <w:r>
        <w:t xml:space="preserve">what is known.</w:t>
      </w:r>
    </w:p>
    <w:p>
      <w:pPr>
        <w:pStyle w:val="FirstParagraph"/>
      </w:pPr>
      <w:r>
        <w:t xml:space="preserve">Each chapter ends with a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section pointing to its</w:t>
      </w:r>
      <w:r>
        <w:t xml:space="preserve"> </w:t>
      </w:r>
      <w:r>
        <w:rPr>
          <w:b/>
          <w:bCs/>
        </w:rPr>
        <w:t xml:space="preserve">lab</w:t>
      </w:r>
      <w:r>
        <w:t xml:space="preserve"> </w:t>
      </w:r>
      <w:r>
        <w:t xml:space="preserve">(a guided,</w:t>
      </w:r>
      <w:r>
        <w:t xml:space="preserve"> </w:t>
      </w:r>
      <w:r>
        <w:t xml:space="preserve">hands-on exercise) and its</w:t>
      </w:r>
      <w:r>
        <w:t xml:space="preserve"> </w:t>
      </w:r>
      <w:r>
        <w:rPr>
          <w:b/>
          <w:bCs/>
        </w:rPr>
        <w:t xml:space="preserve">question bank</w:t>
      </w:r>
      <w:r>
        <w:t xml:space="preserve"> </w:t>
      </w:r>
      <w:r>
        <w:t xml:space="preserve">(self-check questions). Work the lab</w:t>
      </w:r>
      <w:r>
        <w:t xml:space="preserve"> </w:t>
      </w:r>
      <w:r>
        <w:t xml:space="preserve">after reading; use the question bank to confirm you can recall and apply the</w:t>
      </w:r>
      <w:r>
        <w:t xml:space="preserve"> </w:t>
      </w:r>
      <w:r>
        <w:t xml:space="preserve">material. New terms are linked to the</w:t>
      </w:r>
      <w:r>
        <w:t xml:space="preserve"> </w:t>
      </w:r>
      <w:hyperlink r:id="rId16">
        <w:r>
          <w:rPr>
            <w:rStyle w:val="Hyperlink"/>
          </w:rPr>
          <w:t xml:space="preserve">Master Glossary</w:t>
        </w:r>
      </w:hyperlink>
      <w:r>
        <w:t xml:space="preserve"> </w:t>
      </w:r>
      <w:r>
        <w:t xml:space="preserve">the first</w:t>
      </w:r>
      <w:r>
        <w:t xml:space="preserve"> </w:t>
      </w:r>
      <w:r>
        <w:t xml:space="preserve">time they appear.</w:t>
      </w:r>
    </w:p>
    <w:p>
      <w:r>
        <w:pict>
          <v:rect style="width:0;height:1.5pt" o:hralign="center" o:hrstd="t" o:hr="t"/>
        </w:pict>
      </w:r>
    </w:p>
    <w:bookmarkEnd w:id="17"/>
    <w:bookmarkStart w:id="20" w:name="methodology-how-this-book-is-generated"/>
    <w:p>
      <w:pPr>
        <w:pStyle w:val="Heading2"/>
      </w:pPr>
      <w:r>
        <w:t xml:space="preserve">Methodology: How This Book Is Generated</w:t>
      </w:r>
    </w:p>
    <w:p>
      <w:pPr>
        <w:pStyle w:val="FirstParagraph"/>
      </w:pPr>
      <w:r>
        <w:t xml:space="preserve">This manuscript is rendered, not typeset by hand. The pipeline reads</w:t>
      </w:r>
      <w:r>
        <w:t xml:space="preserve"> </w:t>
      </w:r>
      <w:hyperlink r:id="rId10">
        <w:r>
          <w:rPr>
            <w:rStyle w:val="VerbatimChar"/>
          </w:rPr>
          <w:t xml:space="preserve">config.yaml</w:t>
        </w:r>
      </w:hyperlink>
      <w:r>
        <w:t xml:space="preserve">, runs the analysis scripts that produce figures and</w:t>
      </w:r>
      <w:r>
        <w:t xml:space="preserve"> </w:t>
      </w:r>
      <w:r>
        <w:t xml:space="preserve">diagrams, assembles the Markdown sections in declared order, and renders a PDF</w:t>
      </w:r>
      <w:r>
        <w:t xml:space="preserve"> </w:t>
      </w:r>
      <w:r>
        <w:t xml:space="preserve">through Pandoc with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resolving every cross-reference and</w:t>
      </w:r>
      <w:r>
        <w:t xml:space="preserve"> </w:t>
      </w:r>
      <w:r>
        <w:t xml:space="preserve">citation.</w:t>
      </w:r>
    </w:p>
    <w:p>
      <w:pPr>
        <w:pStyle w:val="BodyText"/>
      </w:pPr>
      <w:r>
        <w:t xml:space="preserve">To build the book from the repository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scripts/02_run_analysis.py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templates/template_textbook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scripts/03_render_pdf.py   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templates/template_textbook</w:t>
      </w:r>
    </w:p>
    <w:p>
      <w:pPr>
        <w:pStyle w:val="FirstParagraph"/>
      </w:pPr>
      <w:r>
        <w:t xml:space="preserve">or run the full pipeline with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. See</w:t>
      </w:r>
      <w:r>
        <w:t xml:space="preserve"> </w:t>
      </w: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manuscript directory layout and</w:t>
      </w:r>
      <w:r>
        <w:t xml:space="preserve"> </w:t>
      </w:r>
      <w:hyperlink r:id="rId19">
        <w:r>
          <w:rPr>
            <w:rStyle w:val="VerbatimChar"/>
          </w:rPr>
          <w:t xml:space="preserve">SYNTAX.md</w:t>
        </w:r>
      </w:hyperlink>
      <w:r>
        <w:t xml:space="preserve"> </w:t>
      </w:r>
      <w:r>
        <w:t xml:space="preserve">for the exact authoring</w:t>
      </w:r>
      <w:r>
        <w:t xml:space="preserve"> </w:t>
      </w:r>
      <w:r>
        <w:t xml:space="preserve">syntax.</w:t>
      </w:r>
    </w:p>
    <w:bookmarkEnd w:id="20"/>
    <w:bookmarkEnd w:id="21"/>
    <w:bookmarkStart w:id="26" w:name="preface"/>
    <w:p>
      <w:pPr>
        <w:pStyle w:val="Heading1"/>
      </w:pPr>
      <w:r>
        <w:t xml:space="preserve">Preface</w:t>
      </w:r>
    </w:p>
    <w:bookmarkStart w:id="22" w:name="why-this-book-exists"/>
    <w:p>
      <w:pPr>
        <w:pStyle w:val="Heading2"/>
      </w:pPr>
      <w:r>
        <w:t xml:space="preserve">Why This Book Exists</w:t>
      </w:r>
    </w:p>
    <w:p>
      <w:pPr>
        <w:pStyle w:val="FirstParagraph"/>
      </w:pPr>
      <w:r>
        <w:rPr>
          <w:i/>
          <w:iCs/>
        </w:rPr>
        <w:t xml:space="preserve">TKTK — state, in two or three paragraphs, the problem</w:t>
      </w:r>
      <w:r>
        <w:rPr>
          <w:i/>
          <w:iCs/>
        </w:rPr>
        <w:t xml:space="preserve"> </w:t>
      </w:r>
      <w:r>
        <w:rPr>
          <w:i/>
          <w:iCs/>
        </w:rPr>
        <w:t xml:space="preserve">this book solves and why it is worth a reader’s time. What gap in the existing</w:t>
      </w:r>
      <w:r>
        <w:rPr>
          <w:i/>
          <w:iCs/>
        </w:rPr>
        <w:t xml:space="preserve"> </w:t>
      </w:r>
      <w:r>
        <w:rPr>
          <w:i/>
          <w:iCs/>
        </w:rPr>
        <w:t xml:space="preserve">literature does it fill? What will a reader be able to do after finishing it that</w:t>
      </w:r>
      <w:r>
        <w:rPr>
          <w:i/>
          <w:iCs/>
        </w:rPr>
        <w:t xml:space="preserve"> </w:t>
      </w:r>
      <w:r>
        <w:rPr>
          <w:i/>
          <w:iCs/>
        </w:rPr>
        <w:t xml:space="preserve">they could not do before?</w:t>
      </w:r>
    </w:p>
    <w:p>
      <w:pPr>
        <w:pStyle w:val="BodyText"/>
      </w:pPr>
      <w:r>
        <w:t xml:space="preserve">This template is domain-neutral by design. Wherever the sample chapters speak of</w:t>
      </w:r>
      <w:r>
        <w:t xml:space="preserve"> </w:t>
      </w:r>
      <w:r>
        <w:t xml:space="preserve">“systems”</w:t>
      </w:r>
      <w:r>
        <w:t xml:space="preserve">,</w:t>
      </w:r>
      <w:r>
        <w:t xml:space="preserve"> </w:t>
      </w:r>
      <w:r>
        <w:t xml:space="preserve">“dynamics”</w:t>
      </w:r>
      <w:r>
        <w:t xml:space="preserve">, or</w:t>
      </w:r>
      <w:r>
        <w:t xml:space="preserve"> </w:t>
      </w:r>
      <w:r>
        <w:t xml:space="preserve">“regulation”</w:t>
      </w:r>
      <w:r>
        <w:t xml:space="preserve">, substitute the concepts of your own</w:t>
      </w:r>
      <w:r>
        <w:t xml:space="preserve"> </w:t>
      </w:r>
      <w:r>
        <w:t xml:space="preserve">field. The structure — orientation, fundamentals, core systems, applications —</w:t>
      </w:r>
      <w:r>
        <w:t xml:space="preserve"> </w:t>
      </w:r>
      <w:r>
        <w:t xml:space="preserve">generalises across most technical subjects; the content is yours to supply.</w:t>
      </w:r>
    </w:p>
    <w:bookmarkEnd w:id="22"/>
    <w:bookmarkStart w:id="23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rPr>
          <w:i/>
          <w:iCs/>
        </w:rPr>
        <w:t xml:space="preserve">TKTK — describe the intended reader. Assumed background?</w:t>
      </w:r>
      <w:r>
        <w:rPr>
          <w:i/>
          <w:iCs/>
        </w:rPr>
        <w:t xml:space="preserve"> </w:t>
      </w:r>
      <w:r>
        <w:rPr>
          <w:i/>
          <w:iCs/>
        </w:rPr>
        <w:t xml:space="preserve">A prerequisite course or a specific level of mathematical maturity?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book suits self-study, a one-semester course, or a reference shelf.</w:t>
      </w:r>
    </w:p>
    <w:p>
      <w:pPr>
        <w:pStyle w:val="BodyText"/>
      </w:pPr>
      <w:r>
        <w:t xml:space="preserve">The book assumes the quantitative foundations laid out in</w:t>
      </w:r>
      <w:r>
        <w:t xml:space="preserve"> </w:t>
      </w:r>
      <w:r>
        <w:rPr>
          <w:b/>
          <w:bCs/>
        </w:rPr>
        <w:t xml:space="preserve">Part 0</w:t>
      </w:r>
      <w:r>
        <w:t xml:space="preserve"> </w:t>
      </w:r>
      <w:r>
        <w:t xml:space="preserve">and nothing</w:t>
      </w:r>
      <w:r>
        <w:t xml:space="preserve"> </w:t>
      </w:r>
      <w:r>
        <w:t xml:space="preserve">more. A reader comfortable with that material can follow every chapter.</w:t>
      </w:r>
    </w:p>
    <w:bookmarkEnd w:id="23"/>
    <w:bookmarkStart w:id="24" w:name="how-to-use-the-labs-and-question-banks"/>
    <w:p>
      <w:pPr>
        <w:pStyle w:val="Heading2"/>
      </w:pPr>
      <w:r>
        <w:t xml:space="preserve">How to Use the Labs and Question Banks</w:t>
      </w:r>
    </w:p>
    <w:p>
      <w:pPr>
        <w:pStyle w:val="FirstParagraph"/>
      </w:pPr>
      <w:r>
        <w:t xml:space="preserve">Each chapter is paired with two companion documents: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lab</w:t>
      </w:r>
      <w:r>
        <w:t xml:space="preserve"> </w:t>
      </w:r>
      <w:r>
        <w:t xml:space="preserve">(under</w:t>
      </w:r>
      <w:r>
        <w:t xml:space="preserve"> </w:t>
      </w:r>
      <w:hyperlink r:id="rId11">
        <w:r>
          <w:rPr>
            <w:rStyle w:val="VerbatimChar"/>
          </w:rPr>
          <w:t xml:space="preserve">labs/</w:t>
        </w:r>
      </w:hyperlink>
      <w:r>
        <w:t xml:space="preserve">) — a guided, hands-on exercise that puts the</w:t>
      </w:r>
      <w:r>
        <w:t xml:space="preserve"> </w:t>
      </w:r>
      <w:r>
        <w:t xml:space="preserve">chapter’s worked formalism to work. Labs are meant to be</w:t>
      </w:r>
      <w:r>
        <w:t xml:space="preserve"> </w:t>
      </w:r>
      <w:r>
        <w:rPr>
          <w:i/>
          <w:iCs/>
        </w:rPr>
        <w:t xml:space="preserve">done</w:t>
      </w:r>
      <w:r>
        <w:t xml:space="preserve">, not just read:</w:t>
      </w:r>
      <w:r>
        <w:t xml:space="preserve"> </w:t>
      </w:r>
      <w:r>
        <w:t xml:space="preserve">run the tested functions in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, vary the parameters, and observe</w:t>
      </w:r>
      <w:r>
        <w:t xml:space="preserve"> </w:t>
      </w:r>
      <w:r>
        <w:t xml:space="preserve">how the predictions change. Work the lab immediately after reading the chapter,</w:t>
      </w:r>
      <w:r>
        <w:t xml:space="preserve"> </w:t>
      </w:r>
      <w:r>
        <w:t xml:space="preserve">while the ideas are fresh.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question bank</w:t>
      </w:r>
      <w:r>
        <w:t xml:space="preserve"> </w:t>
      </w:r>
      <w:r>
        <w:t xml:space="preserve">(under</w:t>
      </w:r>
      <w:r>
        <w:t xml:space="preserve"> </w:t>
      </w:r>
      <w:hyperlink r:id="rId12">
        <w:r>
          <w:rPr>
            <w:rStyle w:val="VerbatimChar"/>
          </w:rPr>
          <w:t xml:space="preserve">questions/</w:t>
        </w:r>
      </w:hyperlink>
      <w:r>
        <w:t xml:space="preserve">) — self-check questions</w:t>
      </w:r>
      <w:r>
        <w:t xml:space="preserve"> </w:t>
      </w:r>
      <w:r>
        <w:t xml:space="preserve">that confirm you can recall and apply the chapter’s load-bearing claims. Use it</w:t>
      </w:r>
      <w:r>
        <w:t xml:space="preserve"> </w:t>
      </w:r>
      <w:r>
        <w:t xml:space="preserve">as a diagnostic: a question you cannot answer points you back to a specific</w:t>
      </w:r>
      <w:r>
        <w:t xml:space="preserve"> </w:t>
      </w:r>
      <w:r>
        <w:t xml:space="preserve">section.</w:t>
      </w:r>
    </w:p>
    <w:p>
      <w:pPr>
        <w:pStyle w:val="FirstParagraph"/>
      </w:pPr>
      <w:r>
        <w:t xml:space="preserve">Instructors can assign the lab as homework and draw exam or quiz items from the</w:t>
      </w:r>
      <w:r>
        <w:t xml:space="preserve"> </w:t>
      </w:r>
      <w:r>
        <w:t xml:space="preserve">question bank. Because both are generated from the same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as the</w:t>
      </w:r>
      <w:r>
        <w:t xml:space="preserve"> </w:t>
      </w:r>
      <w:r>
        <w:t xml:space="preserve">chapters, they stay in lockstep with the manuscript as it grows.</w:t>
      </w:r>
    </w:p>
    <w:bookmarkEnd w:id="24"/>
    <w:bookmarkStart w:id="25" w:name="a-note-on-reproducibility"/>
    <w:p>
      <w:pPr>
        <w:pStyle w:val="Heading2"/>
      </w:pPr>
      <w:r>
        <w:t xml:space="preserve">A Note on Reproducibility</w:t>
      </w:r>
    </w:p>
    <w:p>
      <w:pPr>
        <w:pStyle w:val="FirstParagraph"/>
      </w:pPr>
      <w:r>
        <w:t xml:space="preserve">Every equation in this book is implemented as a tested function and</w:t>
      </w:r>
      <w:r>
        <w:t xml:space="preserve"> </w:t>
      </w:r>
      <w:r>
        <w:t xml:space="preserve">every figure is generated deterministically from code. Nothing in the prose is</w:t>
      </w:r>
      <w:r>
        <w:t xml:space="preserve"> </w:t>
      </w:r>
      <w:r>
        <w:t xml:space="preserve">computed by hand. If you build the book yourself you will get byte-identical</w:t>
      </w:r>
      <w:r>
        <w:t xml:space="preserve"> </w:t>
      </w:r>
      <w:r>
        <w:t xml:space="preserve">figures and numbers — see</w:t>
      </w:r>
      <w:r>
        <w:t xml:space="preserve"> </w:t>
      </w: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the build commands.</w:t>
      </w:r>
    </w:p>
    <w:p>
      <w:pPr>
        <w:pStyle w:val="BodyText"/>
      </w:pPr>
      <w:r>
        <w:rPr>
          <w:i/>
          <w:iCs/>
        </w:rPr>
        <w:t xml:space="preserve">— The Author, TKTK (place), TKTK (date)</w:t>
      </w:r>
    </w:p>
    <w:bookmarkEnd w:id="25"/>
    <w:bookmarkEnd w:id="26"/>
    <w:bookmarkStart w:id="27" w:name="sec:part_0_intro"/>
    <w:p>
      <w:pPr>
        <w:pStyle w:val="Heading1"/>
      </w:pPr>
      <w:r>
        <w:t xml:space="preserve">Part 0: Orientation and Methods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orientation and methods</w:t>
      </w:r>
      <w:r>
        <w:t xml:space="preserve">. It contains the following chapters: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Orientation to the Field</w:t>
      </w:r>
      <w:r>
        <w:t xml:space="preserve"> </w:t>
      </w:r>
      <w:r>
        <w:t xml:space="preserve">— sec. 4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Core Methods and Tools</w:t>
      </w:r>
      <w:r>
        <w:t xml:space="preserve"> </w:t>
      </w:r>
      <w:r>
        <w:t xml:space="preserve">— sec. 5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Quantitative Foundations</w:t>
      </w:r>
      <w:r>
        <w:t xml:space="preserve"> </w:t>
      </w:r>
      <w:r>
        <w:t xml:space="preserve">— sec. 6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27"/>
    <w:bookmarkStart w:id="43" w:name="sec:part_0_orientation"/>
    <w:p>
      <w:pPr>
        <w:pStyle w:val="Heading1"/>
      </w:pPr>
      <w:r>
        <w:t xml:space="preserve">Orientation to the Field</w:t>
      </w:r>
    </w:p>
    <w:bookmarkStart w:id="31" w:name="fig:part_0_orientation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1: Overview schematic for “Orientation to the Field”. Replace this generated placeholder with a real figure produced by src/visualization/plots.py." title="" id="29" name="Picture"/>
            <a:graphic>
              <a:graphicData uri="http://schemas.openxmlformats.org/drawingml/2006/picture">
                <pic:pic>
                  <pic:nvPicPr>
                    <pic:cNvPr descr="../figures/part_0_orient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Overview schematic for</w:t>
      </w:r>
      <w:r>
        <w:t xml:space="preserve"> </w:t>
      </w:r>
      <w:r>
        <w:t xml:space="preserve">“Orientation to the Field”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31"/>
    <w:p>
      <w:pPr>
        <w:pStyle w:val="BlockText"/>
      </w:pPr>
      <w:r>
        <w:t xml:space="preserve">Level 1/3 · 30 min read · 45 min lecture · Prerequisites: none</w:t>
      </w:r>
    </w:p>
    <w:bookmarkStart w:id="3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05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05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05"/>
        </w:numPr>
      </w:pPr>
      <w:r>
        <w:t xml:space="preserve">TODO: state the third learning objective.</w:t>
      </w:r>
    </w:p>
    <w:bookmarkStart w:id="32" w:name="study-blueprint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19.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rientation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Orientation to the Field</w:t>
      </w:r>
      <w:r>
        <w:t xml:space="preserve">. Foundational treatments include</w:t>
      </w:r>
      <w:r>
        <w:t xml:space="preserve"> </w:t>
      </w:r>
      <w:r>
        <w:t xml:space="preserve">(Kim 2020; Brown 2017)</w:t>
      </w:r>
      <w:r>
        <w:t xml:space="preserve">. Key terms such as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are defined in the glossary.</w:t>
      </w:r>
    </w:p>
    <w:bookmarkEnd w:id="34"/>
    <w:bookmarkStart w:id="37" w:name="a-worked-formalism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1:</w:t>
      </w:r>
    </w:p>
    <w:p>
      <w:pPr>
        <w:pStyle w:val="BodyText"/>
      </w:pPr>
      <w:bookmarkStart w:id="35" w:name="eq:part_0_orientation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1.</w:t>
      </w:r>
    </w:p>
    <w:bookmarkStart w:id="36" w:name="tbl:part_0_orientation_parameters"/>
    <w:p>
      <w:pPr>
        <w:pStyle w:val="TableCaption"/>
      </w:pPr>
      <w:r>
        <w:t xml:space="preserve">Table 1: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36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37"/>
    <w:bookmarkStart w:id="38" w:name="going-deeper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1 and revisit the objectives above as you read. Further evidence:</w:t>
      </w:r>
      <w:r>
        <w:t xml:space="preserve"> </w:t>
      </w:r>
      <w:r>
        <w:t xml:space="preserve">(Kim 2020; Brown 2017)</w:t>
      </w:r>
      <w:r>
        <w:t xml:space="preserve">.</w:t>
      </w:r>
    </w:p>
    <w:bookmarkEnd w:id="38"/>
    <w:bookmarkStart w:id="39" w:name="summary"/>
    <w:p>
      <w:pPr>
        <w:pStyle w:val="Heading2"/>
      </w:pPr>
      <w:r>
        <w:t xml:space="preserve">Summary</w:t>
      </w:r>
    </w:p>
    <w:bookmarkEnd w:id="39"/>
    <w:bookmarkStart w:id="40" w:name="key-terms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.</w:t>
      </w:r>
    </w:p>
    <w:bookmarkEnd w:id="40"/>
    <w:bookmarkStart w:id="41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7"/>
        </w:numPr>
      </w:pPr>
      <w:r>
        <w:t xml:space="preserve">TODO: one-line annotation</w:t>
      </w:r>
      <w:r>
        <w:t xml:space="preserve"> </w:t>
      </w:r>
      <w:r>
        <w:t xml:space="preserve">(Wilson 2021)</w:t>
      </w:r>
      <w:r>
        <w:t xml:space="preserve">.</w:t>
      </w:r>
    </w:p>
    <w:bookmarkEnd w:id="41"/>
    <w:bookmarkStart w:id="42" w:name="practice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19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31</w:t>
      </w:r>
    </w:p>
    <w:bookmarkEnd w:id="42"/>
    <w:bookmarkEnd w:id="43"/>
    <w:bookmarkStart w:id="59" w:name="sec:part_0_core_methods"/>
    <w:p>
      <w:pPr>
        <w:pStyle w:val="Heading1"/>
      </w:pPr>
      <w:r>
        <w:t xml:space="preserve">Core Methods and Tools</w:t>
      </w:r>
    </w:p>
    <w:bookmarkStart w:id="47" w:name="fig:part_0_core_method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2: Overview schematic for “Core Methods and Tools”. Replace this generated placeholder with a real figure produced by src/visualization/plots.py." title="" id="45" name="Picture"/>
            <a:graphic>
              <a:graphicData uri="http://schemas.openxmlformats.org/drawingml/2006/picture">
                <pic:pic>
                  <pic:nvPicPr>
                    <pic:cNvPr descr="../figures/part_0_core_method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Overview schematic for</w:t>
      </w:r>
      <w:r>
        <w:t xml:space="preserve"> </w:t>
      </w:r>
      <w:r>
        <w:t xml:space="preserve">“Core Methods and Tools”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47"/>
    <w:p>
      <w:pPr>
        <w:pStyle w:val="BlockText"/>
      </w:pPr>
      <w:r>
        <w:t xml:space="preserve">Level 1/3 · 30 min read · 45 min lecture · Prerequisites: none</w:t>
      </w:r>
    </w:p>
    <w:bookmarkStart w:id="49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09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09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09"/>
        </w:numPr>
      </w:pPr>
      <w:r>
        <w:t xml:space="preserve">TODO: state the third learning objective.</w:t>
      </w:r>
    </w:p>
    <w:bookmarkStart w:id="48" w:name="study-blueprint-1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orientation-1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Core Methods and Tools</w:t>
      </w:r>
      <w:r>
        <w:t xml:space="preserve">. Foundational treatments include</w:t>
      </w:r>
      <w:r>
        <w:t xml:space="preserve"> </w:t>
      </w:r>
      <w:r>
        <w:t xml:space="preserve">(Kim 2020; Brown 2017)</w:t>
      </w:r>
      <w:r>
        <w:t xml:space="preserve">. Key terms such as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 </w:t>
      </w:r>
      <w:r>
        <w:t xml:space="preserve">are defined in the glossary.</w:t>
      </w:r>
    </w:p>
    <w:bookmarkEnd w:id="50"/>
    <w:bookmarkStart w:id="53" w:name="a-worked-formalism-1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2:</w:t>
      </w:r>
    </w:p>
    <w:p>
      <w:pPr>
        <w:pStyle w:val="BodyText"/>
      </w:pPr>
      <w:bookmarkStart w:id="51" w:name="eq:part_0_core_method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2.</w:t>
      </w:r>
    </w:p>
    <w:bookmarkStart w:id="52" w:name="tbl:part_0_core_methods_parameters"/>
    <w:p>
      <w:pPr>
        <w:pStyle w:val="TableCaption"/>
      </w:pPr>
      <w:r>
        <w:t xml:space="preserve">Table 2: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52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53"/>
    <w:bookmarkStart w:id="54" w:name="going-deeper-1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2 and revisit the objectives above as you read. Further evidence:</w:t>
      </w:r>
      <w:r>
        <w:t xml:space="preserve"> </w:t>
      </w:r>
      <w:r>
        <w:t xml:space="preserve">(Kim 2020; Brown 2017)</w:t>
      </w:r>
      <w:r>
        <w:t xml:space="preserve">.</w:t>
      </w:r>
    </w:p>
    <w:bookmarkEnd w:id="54"/>
    <w:bookmarkStart w:id="55" w:name="summary-1"/>
    <w:p>
      <w:pPr>
        <w:pStyle w:val="Heading2"/>
      </w:pPr>
      <w:r>
        <w:t xml:space="preserve">Summary</w:t>
      </w:r>
    </w:p>
    <w:bookmarkEnd w:id="55"/>
    <w:bookmarkStart w:id="56" w:name="key-terms-1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,</w:t>
      </w:r>
      <w:r>
        <w:t xml:space="preserve"> </w:t>
      </w: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bookmarkEnd w:id="56"/>
    <w:bookmarkStart w:id="57" w:name="further-reading-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1"/>
        </w:numPr>
      </w:pPr>
      <w:r>
        <w:t xml:space="preserve">TODO: one-line annotation</w:t>
      </w:r>
      <w:r>
        <w:t xml:space="preserve"> </w:t>
      </w:r>
      <w:r>
        <w:t xml:space="preserve">(Wilson 2021)</w:t>
      </w:r>
      <w:r>
        <w:t xml:space="preserve">.</w:t>
      </w:r>
    </w:p>
    <w:bookmarkEnd w:id="57"/>
    <w:bookmarkStart w:id="58" w:name="practice-1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32</w:t>
      </w:r>
    </w:p>
    <w:bookmarkEnd w:id="58"/>
    <w:bookmarkEnd w:id="59"/>
    <w:bookmarkStart w:id="75" w:name="sec:part_0_quantitative_foundations"/>
    <w:p>
      <w:pPr>
        <w:pStyle w:val="Heading1"/>
      </w:pPr>
      <w:r>
        <w:t xml:space="preserve">Quantitative Foundations</w:t>
      </w:r>
    </w:p>
    <w:bookmarkStart w:id="63" w:name="fig:part_0_quantitative_foundation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3: Overview schematic for “Quantitative Foundations”. Replace this generated placeholder with a real figure produced by src/visualization/plots.py." title="" id="61" name="Picture"/>
            <a:graphic>
              <a:graphicData uri="http://schemas.openxmlformats.org/drawingml/2006/picture">
                <pic:pic>
                  <pic:nvPicPr>
                    <pic:cNvPr descr="../figures/part_0_quantitative_foundation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Overview schematic for</w:t>
      </w:r>
      <w:r>
        <w:t xml:space="preserve"> </w:t>
      </w:r>
      <w:r>
        <w:t xml:space="preserve">“Quantitative Foundations”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63"/>
    <w:p>
      <w:pPr>
        <w:pStyle w:val="BlockText"/>
      </w:pPr>
      <w:r>
        <w:t xml:space="preserve">Level 1/3 · 30 min read · 45 min lecture · Prerequisites: none</w:t>
      </w:r>
    </w:p>
    <w:bookmarkStart w:id="65" w:name="learning-objectives-2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13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13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13"/>
        </w:numPr>
      </w:pPr>
      <w:r>
        <w:t xml:space="preserve">TODO: state the third learning objective.</w:t>
      </w:r>
    </w:p>
    <w:bookmarkStart w:id="64" w:name="study-blueprint-2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orientation-2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Quantitative Foundations</w:t>
      </w:r>
      <w:r>
        <w:t xml:space="preserve">. Foundational treatments include</w:t>
      </w:r>
      <w:r>
        <w:t xml:space="preserve"> </w:t>
      </w:r>
      <w:r>
        <w:t xml:space="preserve">(Smith 2020; Doe 2019)</w:t>
      </w:r>
      <w:r>
        <w:t xml:space="preserve">. Key terms such as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are defined in the glossary.</w:t>
      </w:r>
    </w:p>
    <w:bookmarkEnd w:id="66"/>
    <w:bookmarkStart w:id="69" w:name="a-worked-formalism-2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3:</w:t>
      </w:r>
    </w:p>
    <w:p>
      <w:pPr>
        <w:pStyle w:val="BodyText"/>
      </w:pPr>
      <w:bookmarkStart w:id="67" w:name="eq:part_0_quantitative_foundation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3.</w:t>
      </w:r>
    </w:p>
    <w:bookmarkStart w:id="68" w:name="X32d87042ee67a9e5c9b2d864aa80bcbf1a7488c"/>
    <w:p>
      <w:pPr>
        <w:pStyle w:val="TableCaption"/>
      </w:pPr>
      <w:r>
        <w:t xml:space="preserve">Table 3: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68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69"/>
    <w:bookmarkStart w:id="70" w:name="going-deeper-2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3 and revisit the objectives above as you read. Further evidence:</w:t>
      </w:r>
      <w:r>
        <w:t xml:space="preserve"> </w:t>
      </w:r>
      <w:r>
        <w:t xml:space="preserve">(Smith 2020; Doe 2019)</w:t>
      </w:r>
      <w:r>
        <w:t xml:space="preserve">.</w:t>
      </w:r>
    </w:p>
    <w:bookmarkEnd w:id="70"/>
    <w:bookmarkStart w:id="71" w:name="summary-2"/>
    <w:p>
      <w:pPr>
        <w:pStyle w:val="Heading2"/>
      </w:pPr>
      <w:r>
        <w:t xml:space="preserve">Summary</w:t>
      </w:r>
    </w:p>
    <w:bookmarkEnd w:id="71"/>
    <w:bookmarkStart w:id="72" w:name="key-terms-2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.</w:t>
      </w:r>
    </w:p>
    <w:bookmarkEnd w:id="72"/>
    <w:bookmarkStart w:id="73" w:name="further-reading-2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15"/>
        </w:numPr>
      </w:pPr>
      <w:r>
        <w:t xml:space="preserve">TODO: one-line annotation</w:t>
      </w:r>
      <w:r>
        <w:t xml:space="preserve"> </w:t>
      </w:r>
      <w:r>
        <w:t xml:space="preserve">(Lee 2021)</w:t>
      </w:r>
      <w:r>
        <w:t xml:space="preserve">.</w:t>
      </w:r>
    </w:p>
    <w:bookmarkEnd w:id="73"/>
    <w:bookmarkStart w:id="74" w:name="practice-2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33</w:t>
      </w:r>
    </w:p>
    <w:bookmarkEnd w:id="74"/>
    <w:bookmarkEnd w:id="75"/>
    <w:bookmarkStart w:id="76" w:name="sec:part_I_intro"/>
    <w:p>
      <w:pPr>
        <w:pStyle w:val="Heading1"/>
      </w:pPr>
      <w:r>
        <w:t xml:space="preserve">Part I: Fundamentals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fundamentals</w:t>
      </w:r>
      <w:r>
        <w:t xml:space="preserve">. It contains the following chapters: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First Principles</w:t>
      </w:r>
      <w:r>
        <w:t xml:space="preserve"> </w:t>
      </w:r>
      <w:r>
        <w:t xml:space="preserve">— sec. 8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Building Blocks</w:t>
      </w:r>
      <w:r>
        <w:t xml:space="preserve"> </w:t>
      </w:r>
      <w:r>
        <w:t xml:space="preserve">— sec. 9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Structure and Form</w:t>
      </w:r>
      <w:r>
        <w:t xml:space="preserve"> </w:t>
      </w:r>
      <w:r>
        <w:t xml:space="preserve">— sec. 10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76"/>
    <w:bookmarkStart w:id="94" w:name="sec:part_I_first_principles"/>
    <w:p>
      <w:pPr>
        <w:pStyle w:val="Heading1"/>
      </w:pPr>
      <w:r>
        <w:t xml:space="preserve">First Principles</w:t>
      </w:r>
    </w:p>
    <w:bookmarkStart w:id="80" w:name="fig:part_I_first_principles"/>
    <w:p>
      <w:pPr>
        <w:pStyle w:val="CaptionedFigure"/>
      </w:pPr>
      <w:r>
        <w:drawing>
          <wp:inline>
            <wp:extent cx="4533900" cy="2979859"/>
            <wp:effectExtent b="0" l="0" r="0" t="0"/>
            <wp:docPr descr="Figure 4: A logistic growth curve for three growth rates, approaching the carrying capacity K = 100. Produced deterministically by visualization.plots.plot_logistic_growth." title="" id="78" name="Picture"/>
            <a:graphic>
              <a:graphicData uri="http://schemas.openxmlformats.org/drawingml/2006/picture">
                <pic:pic>
                  <pic:nvPicPr>
                    <pic:cNvPr descr="../figures/logistic_growth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7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A logistic growth curve for three growth rates, approaching the carrying</w:t>
      </w:r>
      <w:r>
        <w:t xml:space="preserve"> </w:t>
      </w:r>
      <w:r>
        <w:t xml:space="preserve">capacity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. Produced deterministically by</w:t>
      </w:r>
      <w:r>
        <w:t xml:space="preserve"> </w:t>
      </w:r>
      <w:r>
        <w:rPr>
          <w:rStyle w:val="VerbatimChar"/>
        </w:rPr>
        <w:t xml:space="preserve">visualization.plots.plot_logistic_growth</w:t>
      </w:r>
      <w:r>
        <w:t xml:space="preserve">.</w:t>
      </w:r>
    </w:p>
    <w:bookmarkEnd w:id="80"/>
    <w:p>
      <w:pPr>
        <w:pStyle w:val="BlockText"/>
      </w:pPr>
      <w:r>
        <w:t xml:space="preserve">Level 1/3 · 25 min read · 40 min lecture · Prerequisites: none</w:t>
      </w:r>
    </w:p>
    <w:p>
      <w:pPr>
        <w:pStyle w:val="BlockText"/>
      </w:pPr>
      <w:r>
        <w:rPr>
          <w:b/>
          <w:bCs/>
        </w:rPr>
        <w:t xml:space="preserve">This chapter is a worked reference.</w:t>
      </w:r>
      <w:r>
        <w:t xml:space="preserve"> </w:t>
      </w:r>
      <w:r>
        <w:t xml:space="preserve">It is filled to completion to show what</w:t>
      </w:r>
      <w:r>
        <w:t xml:space="preserve"> </w:t>
      </w:r>
      <w:r>
        <w:t xml:space="preserve">a finished chapter looks like. The other chapters in this template ship as</w:t>
      </w:r>
      <w:r>
        <w:t xml:space="preserve"> </w:t>
      </w:r>
      <w:r>
        <w:t xml:space="preserve">structurally-complete stubs (marked with stub comments and TODO notes); fill</w:t>
      </w:r>
      <w:r>
        <w:t xml:space="preserve"> </w:t>
      </w:r>
      <w:r>
        <w:t xml:space="preserve">them the same way.</w:t>
      </w:r>
    </w:p>
    <w:bookmarkStart w:id="82" w:name="learning-objectives-3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18"/>
        </w:numPr>
      </w:pPr>
      <w:r>
        <w:t xml:space="preserve">Explain what it means to model a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as a small set of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 and a rule for how they change.</w:t>
      </w:r>
    </w:p>
    <w:p>
      <w:pPr>
        <w:pStyle w:val="Compact"/>
        <w:numPr>
          <w:ilvl w:val="0"/>
          <w:numId w:val="1018"/>
        </w:numPr>
      </w:pPr>
      <w:r>
        <w:t xml:space="preserve">Distinguish a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 </w:t>
      </w:r>
      <w:r>
        <w:t xml:space="preserve">from a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r>
        <w:t xml:space="preserve">and identify each in a worked model.</w:t>
      </w:r>
    </w:p>
    <w:p>
      <w:pPr>
        <w:pStyle w:val="Compact"/>
        <w:numPr>
          <w:ilvl w:val="0"/>
          <w:numId w:val="1018"/>
        </w:numPr>
      </w:pPr>
      <w:r>
        <w:t xml:space="preserve">Derive and interpret the logistic growth law and predict its long-run</w:t>
      </w:r>
      <w:r>
        <w:t xml:space="preserve"> </w:t>
      </w:r>
      <w:r>
        <w:t xml:space="preserve">behaviour toward an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model values with the tested function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 </w:t>
      </w:r>
      <w:r>
        <w:t xml:space="preserve">rather than re-deriving arithmetic by hand.</w:t>
      </w:r>
    </w:p>
    <w:bookmarkStart w:id="81" w:name="study-blueprint-3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Big idea:</w:t>
      </w:r>
      <w:r>
        <w:t xml:space="preserve"> </w:t>
      </w:r>
      <w:r>
        <w:t xml:space="preserve">A great deal of change in the world is captured by a handful of</w:t>
      </w:r>
      <w:r>
        <w:t xml:space="preserve"> </w:t>
      </w:r>
      <w:r>
        <w:t xml:space="preserve">variables and a single rule relating their rates — the</w:t>
      </w:r>
      <w:r>
        <w:t xml:space="preserve"> </w:t>
      </w:r>
      <w:r>
        <w:rPr>
          <w:i/>
          <w:iCs/>
        </w:rPr>
        <w:t xml:space="preserve">first principle</w:t>
      </w:r>
      <w:r>
        <w:t xml:space="preserve"> </w:t>
      </w:r>
      <w:r>
        <w:t xml:space="preserve">of</w:t>
      </w:r>
      <w:r>
        <w:t xml:space="preserve"> </w:t>
      </w:r>
      <w:r>
        <w:t xml:space="preserve">quantitative modelling.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logistic law in eq. 5.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skill:</w:t>
      </w:r>
      <w:r>
        <w:t xml:space="preserve"> </w:t>
      </w:r>
      <w:r>
        <w:t xml:space="preserve">read an S-curve and estimate its carrying capacity by eye, then</w:t>
      </w:r>
      <w:r>
        <w:t xml:space="preserve"> </w:t>
      </w:r>
      <w:r>
        <w:t xml:space="preserve">confirm numerically.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Common misconception to repair:</w:t>
      </w:r>
      <w:r>
        <w:t xml:space="preserve"> </w:t>
      </w:r>
      <w:r>
        <w:t xml:space="preserve">“exponential”</w:t>
      </w:r>
      <w:r>
        <w:t xml:space="preserve"> </w:t>
      </w:r>
      <w:r>
        <w:t xml:space="preserve">and</w:t>
      </w:r>
      <w:r>
        <w:t xml:space="preserve"> </w:t>
      </w:r>
      <w:r>
        <w:t xml:space="preserve">“logistic”</w:t>
      </w:r>
      <w:r>
        <w:t xml:space="preserve"> </w:t>
      </w:r>
      <w:r>
        <w:t xml:space="preserve">are not the</w:t>
      </w:r>
      <w:r>
        <w:t xml:space="preserve"> </w:t>
      </w:r>
      <w:r>
        <w:t xml:space="preserve">same — unbounded growth is an early-time approximation, not the rule.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22.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34.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Counting before you explain.</w:t>
      </w:r>
    </w:p>
    <w:p>
      <w:pPr>
        <w:pStyle w:val="BlockText"/>
      </w:pPr>
      <w:r>
        <w:t xml:space="preserve">A population biologist watches a colony double, then double again, then —</w:t>
      </w:r>
      <w:r>
        <w:t xml:space="preserve"> </w:t>
      </w:r>
      <w:r>
        <w:t xml:space="preserve">unexpectedly — slow. A start-up tracks users that grow the same way before the</w:t>
      </w:r>
      <w:r>
        <w:t xml:space="preserve"> </w:t>
      </w:r>
      <w:r>
        <w:t xml:space="preserve">market saturates. A chemist measures a reaction that races, then crawls as</w:t>
      </w:r>
      <w:r>
        <w:t xml:space="preserve"> </w:t>
      </w:r>
      <w:r>
        <w:t xml:space="preserve">substrate runs low. Three unrelated fields, one shape. The job of a first model</w:t>
      </w:r>
      <w:r>
        <w:t xml:space="preserve"> </w:t>
      </w:r>
      <w:r>
        <w:t xml:space="preserve">is not to capture everything; it is to capture</w:t>
      </w:r>
      <w:r>
        <w:t xml:space="preserve"> </w:t>
      </w:r>
      <w:r>
        <w:rPr>
          <w:i/>
          <w:iCs/>
        </w:rPr>
        <w:t xml:space="preserve">that shape</w:t>
      </w:r>
      <w:r>
        <w:t xml:space="preserve"> </w:t>
      </w:r>
      <w:r>
        <w:t xml:space="preserve">with as few moving</w:t>
      </w:r>
      <w:r>
        <w:t xml:space="preserve"> </w:t>
      </w:r>
      <w:r>
        <w:t xml:space="preserve">parts as possible.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rom-a-system-to-a-model"/>
    <w:p>
      <w:pPr>
        <w:pStyle w:val="Heading2"/>
      </w:pPr>
      <w:r>
        <w:t xml:space="preserve">From a system to a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is a deliberate simplification. We choose a small number of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 — here, a single quantity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and write a</w:t>
      </w:r>
      <w:r>
        <w:t xml:space="preserve"> </w:t>
      </w:r>
      <w:r>
        <w:t xml:space="preserve">rule for how the state changes. The art is leaving things out: a first model that</w:t>
      </w:r>
      <w:r>
        <w:t xml:space="preserve"> </w:t>
      </w:r>
      <w:r>
        <w:t xml:space="preserve">fits on one line teaches more than a faithful one that fills a page.</w:t>
      </w:r>
    </w:p>
    <w:p>
      <w:pPr>
        <w:pStyle w:val="BodyText"/>
      </w:pPr>
      <w:r>
        <w:t xml:space="preserve">The variables are what change; the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s are what we</w:t>
      </w:r>
      <w:r>
        <w:t xml:space="preserve"> </w:t>
      </w:r>
      <w:r>
        <w:t xml:space="preserve">hold fixed while we reason. In the growth model below,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variable, while</w:t>
      </w:r>
      <w:r>
        <w:t xml:space="preserve"> </w:t>
      </w:r>
      <w:r>
        <w:t xml:space="preserve">the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carrying 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parameters. Confusing the two is</w:t>
      </w:r>
      <w:r>
        <w:t xml:space="preserve"> </w:t>
      </w:r>
      <w:r>
        <w:t xml:space="preserve">the most common beginner error: if you find yourself</w:t>
      </w:r>
      <w:r>
        <w:t xml:space="preserve"> </w:t>
      </w:r>
      <w:r>
        <w:t xml:space="preserve">“solving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over time,”</w:t>
      </w:r>
      <w:r>
        <w:t xml:space="preserve"> </w:t>
      </w:r>
      <w:r>
        <w:t xml:space="preserve">you have mislabelled a parameter as a variable.</w:t>
      </w:r>
    </w:p>
    <w:bookmarkEnd w:id="83"/>
    <w:bookmarkStart w:id="87" w:name="a-first-quantitative-law"/>
    <w:p>
      <w:pPr>
        <w:pStyle w:val="Heading2"/>
      </w:pPr>
      <w:r>
        <w:t xml:space="preserve">A first quantitative law</w:t>
      </w:r>
    </w:p>
    <w:p>
      <w:pPr>
        <w:pStyle w:val="FirstParagraph"/>
      </w:pPr>
      <w:r>
        <w:t xml:space="preserve">Unbounded (exponential) growth assumes nothing ever pushes back. Real systems</w:t>
      </w:r>
      <w:r>
        <w:t xml:space="preserve"> </w:t>
      </w:r>
      <w:r>
        <w:t xml:space="preserve">saturate. The simplest law that grows fast when small and levels off when large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logistic</w:t>
      </w:r>
      <w:r>
        <w:t xml:space="preserve"> </w:t>
      </w:r>
      <w:r>
        <w:t xml:space="preserve">equation, written as a rate of change in</w:t>
      </w:r>
      <w:r>
        <w:t xml:space="preserve"> </w:t>
      </w:r>
      <w:r>
        <w:t xml:space="preserve">eq. 4 and in closed form in</w:t>
      </w:r>
      <w:r>
        <w:t xml:space="preserve"> </w:t>
      </w:r>
      <w:r>
        <w:t xml:space="preserve">eq. 5:</w:t>
      </w:r>
    </w:p>
    <w:p>
      <w:pPr>
        <w:pStyle w:val="BodyText"/>
      </w:pPr>
      <w:bookmarkStart w:id="84" w:name="eq:part_I_first_principles_rate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K</m:t>
                  </m:r>
                </m:den>
              </m:f>
            </m:e>
          </m:d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:part_I_first_principle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Read eq. 4 aloud: the rate of change is proportional</w:t>
      </w:r>
      <w:r>
        <w:t xml:space="preserve"> </w:t>
      </w:r>
      <w:r>
        <w:t xml:space="preserve">to how much there is (</w:t>
      </w:r>
      <m:oMath>
        <m:r>
          <m:t>r</m:t>
        </m:r>
        <m:r>
          <m:t>N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times</w:t>
      </w:r>
      <w:r>
        <w:t xml:space="preserve"> </w:t>
      </w:r>
      <w:r>
        <w:t xml:space="preserve">how much room remains (</w:t>
      </w:r>
      <m:oMath>
        <m:r>
          <m:t>1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).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 the second factor is near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growth is nearly exponential;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factor approaches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growth stalls. The parameters are</w:t>
      </w:r>
      <w:r>
        <w:t xml:space="preserve"> </w:t>
      </w:r>
      <w:r>
        <w:t xml:space="preserve">collected in tbl. 4.</w:t>
      </w:r>
    </w:p>
    <w:bookmarkStart w:id="86" w:name="tbl:part_I_first_principles_parameters"/>
    <w:p>
      <w:pPr>
        <w:pStyle w:val="TableCaption"/>
      </w:pPr>
      <w:r>
        <w:t xml:space="preserve">Table 4: Parameters of the logistic model. Variables change over time; parameters are</w:t>
      </w:r>
      <w:r>
        <w:t xml:space="preserve"> </w:t>
      </w:r>
      <w:r>
        <w:t xml:space="preserve">held fixed while reasoning.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: Parameters of the logistic model. Variables change over time; parameters are held fixed while reasoning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0.8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</m:oMath>
            <w:r>
              <w:t xml:space="preserve"> </w:t>
            </w: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 </w:t>
            </w:r>
            <w:r>
              <w:t xml:space="preserve">units</w:t>
            </w:r>
          </w:p>
        </w:tc>
      </w:tr>
    </w:tbl>
    <w:bookmarkEnd w:id="86"/>
    <w:bookmarkEnd w:id="87"/>
    <w:bookmarkStart w:id="8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t xml:space="preserve">Take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 Rather than evaluate the exponential by</w:t>
      </w:r>
      <w:r>
        <w:t xml:space="preserve"> </w:t>
      </w:r>
      <w:r>
        <w:t xml:space="preserve">hand, call the tested backbone: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 -&gt; [ 5.00, 20.68, 74.18, 99.37 ]</w:t>
      </w:r>
    </w:p>
    <w:p>
      <w:pPr>
        <w:pStyle w:val="FirstParagraph"/>
      </w:pPr>
      <w:r>
        <w:t xml:space="preserve">The trajectory starts at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5.00</m:t>
        </m:r>
      </m:oMath>
      <w:r>
        <w:t xml:space="preserve">, reaches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20.68</m:t>
        </m:r>
      </m:oMath>
      <w:r>
        <w:t xml:space="preserve">, passes the</w:t>
      </w:r>
      <w:r>
        <w:t xml:space="preserve"> </w:t>
      </w:r>
      <w:r>
        <w:t xml:space="preserve">steep middle near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74.18</m:t>
        </m:r>
      </m:oMath>
      <w:r>
        <w:t xml:space="preserve">, and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has all but</w:t>
      </w:r>
      <w:r>
        <w:t xml:space="preserve"> </w:t>
      </w:r>
      <w:r>
        <w:t xml:space="preserve">arrived at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99.37</m:t>
        </m:r>
      </m:oMath>
      <w:r>
        <w:t xml:space="preserve"> </w:t>
      </w:r>
      <w:r>
        <w:t xml:space="preserve">— within one part in a hundred of the carrying</w:t>
      </w:r>
      <w:r>
        <w:t xml:space="preserve"> </w:t>
      </w:r>
      <w:r>
        <w:t xml:space="preserve">capacity. This is the S-curve plotted in fig. 4: an early</w:t>
      </w:r>
      <w:r>
        <w:t xml:space="preserve"> </w:t>
      </w:r>
      <w:r>
        <w:t xml:space="preserve">near-exponential rise, an inflection, and a long approach to the asymptote.</w:t>
      </w:r>
    </w:p>
    <w:p>
      <w:pPr>
        <w:pStyle w:val="BodyText"/>
      </w:pPr>
      <w:r>
        <w:t xml:space="preserve">The long-run behaviour is exact, not approximate. Because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the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K</m:t>
        </m:r>
      </m:oMath>
      <w:r>
        <w:t xml:space="preserve">. The proof is one line and is recorded as</w:t>
      </w:r>
      <w:r>
        <w:t xml:space="preserve"> </w:t>
      </w:r>
      <w:r>
        <w:t xml:space="preserve">Theorem 1 in sec. 46; the same fact is asserted numerically by</w:t>
      </w:r>
      <w:r>
        <w:t xml:space="preserve"> </w:t>
      </w:r>
      <w:r>
        <w:t xml:space="preserve">the test suite, so the prose and the code cannot silently disagree.</w:t>
      </w:r>
    </w:p>
    <w:bookmarkEnd w:id="88"/>
    <w:bookmarkStart w:id="89" w:name="how-the-pieces-connect"/>
    <w:p>
      <w:pPr>
        <w:pStyle w:val="Heading2"/>
      </w:pPr>
      <w:r>
        <w:t xml:space="preserve">How the pieces connect</w:t>
      </w:r>
    </w:p>
    <w:p>
      <w:pPr>
        <w:pStyle w:val="FirstParagraph"/>
      </w:pPr>
      <w:r>
        <w:t xml:space="preserve">This loop — choose, write, solve, predict, compare — is the first principle the</w:t>
      </w:r>
      <w:r>
        <w:t xml:space="preserve"> </w:t>
      </w:r>
      <w:r>
        <w:t xml:space="preserve">rest of the book elaborates. Foundational treatments of model-building include</w:t>
      </w:r>
      <w:r>
        <w:t xml:space="preserve"> </w:t>
      </w:r>
      <w:r>
        <w:t xml:space="preserve">(Brown 2017)</w:t>
      </w:r>
      <w:r>
        <w:t xml:space="preserve"> </w:t>
      </w:r>
      <w:r>
        <w:t xml:space="preserve">and</w:t>
      </w:r>
      <w:r>
        <w:t xml:space="preserve"> </w:t>
      </w:r>
      <w:r>
        <w:t xml:space="preserve">(Patel 2018)</w:t>
      </w:r>
      <w:r>
        <w:t xml:space="preserve">.</w:t>
      </w:r>
    </w:p>
    <w:bookmarkEnd w:id="89"/>
    <w:bookmarkStart w:id="90" w:name="summary-3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model trades completeness for clarity: a few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 </w:t>
      </w:r>
      <w:r>
        <w:t xml:space="preserve">variables</w:t>
      </w:r>
      <w:r>
        <w:t xml:space="preserve"> </w:t>
      </w:r>
      <w:r>
        <w:t xml:space="preserve">and one rule. The logistic law adds a single idea — finite room — to exponential</w:t>
      </w:r>
      <w:r>
        <w:t xml:space="preserve"> </w:t>
      </w:r>
      <w:r>
        <w:t xml:space="preserve">growth, and that idea changes the long-run behaviour from unbounded increase to a</w:t>
      </w:r>
      <w:r>
        <w:t xml:space="preserve"> </w:t>
      </w:r>
      <w:r>
        <w:t xml:space="preserve">stable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 </w:t>
      </w:r>
      <w:r>
        <w:t xml:space="preserve">at the carrying capacity</w:t>
      </w:r>
      <w:r>
        <w:t xml:space="preserve"> </w:t>
      </w:r>
      <m:oMath>
        <m:r>
          <m:t>K</m:t>
        </m:r>
      </m:oMath>
      <w:r>
        <w:t xml:space="preserve">. Compute</w:t>
      </w:r>
      <w:r>
        <w:t xml:space="preserve"> </w:t>
      </w:r>
      <w:r>
        <w:t xml:space="preserve">with the tested</w:t>
      </w:r>
      <w:r>
        <w:t xml:space="preserve"> </w:t>
      </w:r>
      <w:r>
        <w:rPr>
          <w:rStyle w:val="VerbatimChar"/>
        </w:rPr>
        <w:t xml:space="preserve">logistic_growth</w:t>
      </w:r>
      <w:r>
        <w:t xml:space="preserve"> </w:t>
      </w:r>
      <w:r>
        <w:t xml:space="preserve">function so your worked numbers are reproducible</w:t>
      </w:r>
      <w:r>
        <w:t xml:space="preserve"> </w:t>
      </w:r>
      <w:r>
        <w:t xml:space="preserve">and correct by construction.</w:t>
      </w:r>
    </w:p>
    <w:bookmarkEnd w:id="90"/>
    <w:bookmarkStart w:id="91" w:name="key-terms-3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bookmarkEnd w:id="91"/>
    <w:bookmarkStart w:id="92" w:name="further-reading-3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0"/>
        </w:numPr>
      </w:pPr>
      <w:r>
        <w:t xml:space="preserve">Brown (2017)</w:t>
      </w:r>
      <w:r>
        <w:t xml:space="preserve"> </w:t>
      </w:r>
      <w:r>
        <w:t xml:space="preserve">— a readable introduction to reasoning from first</w:t>
      </w:r>
      <w:r>
        <w:t xml:space="preserve"> </w:t>
      </w:r>
      <w:r>
        <w:t xml:space="preserve">principles; start with its opening chapter on what a model is for.</w:t>
      </w:r>
    </w:p>
    <w:p>
      <w:pPr>
        <w:pStyle w:val="Compact"/>
        <w:numPr>
          <w:ilvl w:val="0"/>
          <w:numId w:val="1020"/>
        </w:numPr>
      </w:pPr>
      <w:r>
        <w:t xml:space="preserve">Patel (2018)</w:t>
      </w:r>
      <w:r>
        <w:t xml:space="preserve"> </w:t>
      </w:r>
      <w:r>
        <w:t xml:space="preserve">— a broader survey of model families; use it to see where the</w:t>
      </w:r>
      <w:r>
        <w:t xml:space="preserve"> </w:t>
      </w:r>
      <w:r>
        <w:t xml:space="preserve">logistic law sits among alternatives.</w:t>
      </w:r>
    </w:p>
    <w:bookmarkEnd w:id="92"/>
    <w:bookmarkStart w:id="93" w:name="practice-3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22 — measure an S-curve and estimate</w:t>
      </w:r>
      <w:r>
        <w:t xml:space="preserve"> </w:t>
      </w:r>
      <w:r>
        <w:t xml:space="preserve">its parameters.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34 — recall through synthesis.</w:t>
      </w:r>
    </w:p>
    <w:bookmarkEnd w:id="93"/>
    <w:bookmarkEnd w:id="94"/>
    <w:bookmarkStart w:id="110" w:name="sec:part_I_building_blocks"/>
    <w:p>
      <w:pPr>
        <w:pStyle w:val="Heading1"/>
      </w:pPr>
      <w:r>
        <w:t xml:space="preserve">Building Blocks</w:t>
      </w:r>
    </w:p>
    <w:bookmarkStart w:id="98" w:name="fig:part_I_building_block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5: Overview schematic for “Building Blocks”. Replace this generated placeholder with a real figure produced by src/visualization/plots.py." title="" id="96" name="Picture"/>
            <a:graphic>
              <a:graphicData uri="http://schemas.openxmlformats.org/drawingml/2006/picture">
                <pic:pic>
                  <pic:nvPicPr>
                    <pic:cNvPr descr="../figures/part_I_building_block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Overview schematic for</w:t>
      </w:r>
      <w:r>
        <w:t xml:space="preserve"> </w:t>
      </w:r>
      <w:r>
        <w:t xml:space="preserve">“Building Blocks”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98"/>
    <w:p>
      <w:pPr>
        <w:pStyle w:val="BlockText"/>
      </w:pPr>
      <w:r>
        <w:t xml:space="preserve">Level 1/3 · 30 min read · 45 min lecture · Prerequisites: none</w:t>
      </w:r>
    </w:p>
    <w:bookmarkStart w:id="100" w:name="learning-objectives-4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22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22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22"/>
        </w:numPr>
      </w:pPr>
      <w:r>
        <w:t xml:space="preserve">TODO: state the third learning objective.</w:t>
      </w:r>
    </w:p>
    <w:bookmarkStart w:id="99" w:name="study-blueprint-4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6.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23.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35.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orientation-3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Building Blocks</w:t>
      </w:r>
      <w:r>
        <w:t xml:space="preserve">. Foundational treatments include</w:t>
      </w:r>
      <w:r>
        <w:t xml:space="preserve"> </w:t>
      </w:r>
      <w:r>
        <w:t xml:space="preserve">(Taylor 2019; Smith 2020)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01"/>
    <w:bookmarkStart w:id="104" w:name="a-worked-formalism-3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6:</w:t>
      </w:r>
    </w:p>
    <w:p>
      <w:pPr>
        <w:pStyle w:val="BodyText"/>
      </w:pPr>
      <w:bookmarkStart w:id="102" w:name="eq:part_I_building_block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5.</w:t>
      </w:r>
    </w:p>
    <w:bookmarkStart w:id="103" w:name="tbl:part_I_building_blocks_parameters"/>
    <w:p>
      <w:pPr>
        <w:pStyle w:val="TableCaption"/>
      </w:pPr>
      <w:r>
        <w:t xml:space="preserve">Table 5: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03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04"/>
    <w:bookmarkStart w:id="105" w:name="going-deeper-3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5 and revisit the objectives above as you read. Further evidence:</w:t>
      </w:r>
      <w:r>
        <w:t xml:space="preserve"> </w:t>
      </w:r>
      <w:r>
        <w:t xml:space="preserve">(Taylor 2019; Smith 2020)</w:t>
      </w:r>
      <w:r>
        <w:t xml:space="preserve">.</w:t>
      </w:r>
    </w:p>
    <w:bookmarkEnd w:id="105"/>
    <w:bookmarkStart w:id="106" w:name="summary-4"/>
    <w:p>
      <w:pPr>
        <w:pStyle w:val="Heading2"/>
      </w:pPr>
      <w:r>
        <w:t xml:space="preserve">Summary</w:t>
      </w:r>
    </w:p>
    <w:bookmarkEnd w:id="106"/>
    <w:bookmarkStart w:id="107" w:name="key-terms-4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07"/>
    <w:bookmarkStart w:id="108" w:name="further-reading-4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4"/>
        </w:numPr>
      </w:pPr>
      <w:r>
        <w:t xml:space="preserve">TODO: one-line annotation</w:t>
      </w:r>
      <w:r>
        <w:t xml:space="preserve"> </w:t>
      </w:r>
      <w:r>
        <w:t xml:space="preserve">(Doe 2019)</w:t>
      </w:r>
      <w:r>
        <w:t xml:space="preserve">.</w:t>
      </w:r>
    </w:p>
    <w:bookmarkEnd w:id="108"/>
    <w:bookmarkStart w:id="109" w:name="practice-4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23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35</w:t>
      </w:r>
    </w:p>
    <w:bookmarkEnd w:id="109"/>
    <w:bookmarkEnd w:id="110"/>
    <w:bookmarkStart w:id="126" w:name="sec:part_I_structure_and_form"/>
    <w:p>
      <w:pPr>
        <w:pStyle w:val="Heading1"/>
      </w:pPr>
      <w:r>
        <w:t xml:space="preserve">Structure and Form</w:t>
      </w:r>
    </w:p>
    <w:bookmarkStart w:id="114" w:name="fig:part_I_structure_and_form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6: Overview schematic for “Structure and Form”. Replace this generated placeholder with a real figure produced by src/visualization/plots.py." title="" id="112" name="Picture"/>
            <a:graphic>
              <a:graphicData uri="http://schemas.openxmlformats.org/drawingml/2006/picture">
                <pic:pic>
                  <pic:nvPicPr>
                    <pic:cNvPr descr="../figures/part_I_structure_and_form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Overview schematic for</w:t>
      </w:r>
      <w:r>
        <w:t xml:space="preserve"> </w:t>
      </w:r>
      <w:r>
        <w:t xml:space="preserve">“Structure and Form”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14"/>
    <w:p>
      <w:pPr>
        <w:pStyle w:val="BlockText"/>
      </w:pPr>
      <w:r>
        <w:t xml:space="preserve">Level 1/3 · 30 min read · 45 min lecture · Prerequisites: none</w:t>
      </w:r>
    </w:p>
    <w:bookmarkStart w:id="116" w:name="learning-objectives-5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26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26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26"/>
        </w:numPr>
      </w:pPr>
      <w:r>
        <w:t xml:space="preserve">TODO: state the third learning objective.</w:t>
      </w:r>
    </w:p>
    <w:bookmarkStart w:id="115" w:name="study-blueprint-5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7.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24.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36.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orientation-4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Structure and Form</w:t>
      </w:r>
      <w:r>
        <w:t xml:space="preserve">. Foundational treatments include</w:t>
      </w:r>
      <w:r>
        <w:t xml:space="preserve"> </w:t>
      </w:r>
      <w:r>
        <w:t xml:space="preserve">(Lee 2021; Garcia 2022)</w:t>
      </w:r>
      <w:r>
        <w:t xml:space="preserve">. Key terms such as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 </w:t>
      </w:r>
      <w:r>
        <w:t xml:space="preserve">are defined in the glossary.</w:t>
      </w:r>
    </w:p>
    <w:bookmarkEnd w:id="117"/>
    <w:bookmarkStart w:id="120" w:name="a-worked-formalism-4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7:</w:t>
      </w:r>
    </w:p>
    <w:p>
      <w:pPr>
        <w:pStyle w:val="BodyText"/>
      </w:pPr>
      <w:bookmarkStart w:id="118" w:name="eq:part_I_structure_and_form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6.</w:t>
      </w:r>
    </w:p>
    <w:bookmarkStart w:id="119" w:name="tbl:part_I_structure_and_form_parameters"/>
    <w:p>
      <w:pPr>
        <w:pStyle w:val="TableCaption"/>
      </w:pPr>
      <w:r>
        <w:t xml:space="preserve">Table 6: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19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20"/>
    <w:bookmarkStart w:id="121" w:name="going-deeper-4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6 and revisit the objectives above as you read. Further evidence:</w:t>
      </w:r>
      <w:r>
        <w:t xml:space="preserve"> </w:t>
      </w:r>
      <w:r>
        <w:t xml:space="preserve">(Lee 2021; Garcia 2022)</w:t>
      </w:r>
      <w:r>
        <w:t xml:space="preserve">.</w:t>
      </w:r>
    </w:p>
    <w:bookmarkEnd w:id="121"/>
    <w:bookmarkStart w:id="122" w:name="summary-5"/>
    <w:p>
      <w:pPr>
        <w:pStyle w:val="Heading2"/>
      </w:pPr>
      <w:r>
        <w:t xml:space="preserve">Summary</w:t>
      </w:r>
    </w:p>
    <w:bookmarkEnd w:id="122"/>
    <w:bookmarkStart w:id="123" w:name="key-terms-5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bookmarkEnd w:id="123"/>
    <w:bookmarkStart w:id="124" w:name="further-reading-5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28"/>
        </w:numPr>
      </w:pPr>
      <w:r>
        <w:t xml:space="preserve">TODO: one-line annotation</w:t>
      </w:r>
      <w:r>
        <w:t xml:space="preserve"> </w:t>
      </w:r>
      <w:r>
        <w:t xml:space="preserve">(Patel 2018)</w:t>
      </w:r>
      <w:r>
        <w:t xml:space="preserve">.</w:t>
      </w:r>
    </w:p>
    <w:bookmarkEnd w:id="124"/>
    <w:bookmarkStart w:id="125" w:name="practice-5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24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36</w:t>
      </w:r>
    </w:p>
    <w:bookmarkEnd w:id="125"/>
    <w:bookmarkEnd w:id="126"/>
    <w:bookmarkStart w:id="127" w:name="sec:part_II_intro"/>
    <w:p>
      <w:pPr>
        <w:pStyle w:val="Heading1"/>
      </w:pPr>
      <w:r>
        <w:t xml:space="preserve">Part II: Core Systems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core systems</w:t>
      </w:r>
      <w:r>
        <w:t xml:space="preserve">. It contains the following chapters: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Systems Overview</w:t>
      </w:r>
      <w:r>
        <w:t xml:space="preserve"> </w:t>
      </w:r>
      <w:r>
        <w:t xml:space="preserve">— sec. 12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Dynamics and Change</w:t>
      </w:r>
      <w:r>
        <w:t xml:space="preserve"> </w:t>
      </w:r>
      <w:r>
        <w:t xml:space="preserve">— sec. 13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Regulation and Control</w:t>
      </w:r>
      <w:r>
        <w:t xml:space="preserve"> </w:t>
      </w:r>
      <w:r>
        <w:t xml:space="preserve">— sec. 14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127"/>
    <w:bookmarkStart w:id="143" w:name="sec:part_II_systems_overview"/>
    <w:p>
      <w:pPr>
        <w:pStyle w:val="Heading1"/>
      </w:pPr>
      <w:r>
        <w:t xml:space="preserve">Systems Overview</w:t>
      </w:r>
    </w:p>
    <w:bookmarkStart w:id="131" w:name="fig:part_II_systems_overview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7: Overview schematic for “Systems Overview”. Replace this generated placeholder with a real figure produced by src/visualization/plots.py." title="" id="129" name="Picture"/>
            <a:graphic>
              <a:graphicData uri="http://schemas.openxmlformats.org/drawingml/2006/picture">
                <pic:pic>
                  <pic:nvPicPr>
                    <pic:cNvPr descr="../figures/part_II_systems_overview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Overview schematic for</w:t>
      </w:r>
      <w:r>
        <w:t xml:space="preserve"> </w:t>
      </w:r>
      <w:r>
        <w:t xml:space="preserve">“Systems Overview”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31"/>
    <w:p>
      <w:pPr>
        <w:pStyle w:val="BlockText"/>
      </w:pPr>
      <w:r>
        <w:t xml:space="preserve">Level 1/3 · 30 min read · 45 min lecture · Prerequisites: none</w:t>
      </w:r>
    </w:p>
    <w:bookmarkStart w:id="133" w:name="learning-objectives-6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1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1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1"/>
        </w:numPr>
      </w:pPr>
      <w:r>
        <w:t xml:space="preserve">TODO: state the third learning objective.</w:t>
      </w:r>
    </w:p>
    <w:bookmarkStart w:id="132" w:name="study-blueprint-6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8.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25.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37.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rientation-5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Systems Overview</w:t>
      </w:r>
      <w:r>
        <w:t xml:space="preserve">. Foundational treatments include</w:t>
      </w:r>
      <w:r>
        <w:t xml:space="preserve"> </w:t>
      </w:r>
      <w:r>
        <w:t xml:space="preserve">(Patel 2018; Nguyen 2023)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34"/>
    <w:bookmarkStart w:id="137" w:name="a-worked-formalism-5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8:</w:t>
      </w:r>
    </w:p>
    <w:p>
      <w:pPr>
        <w:pStyle w:val="BodyText"/>
      </w:pPr>
      <w:bookmarkStart w:id="135" w:name="eq:part_II_systems_overview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135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7.</w:t>
      </w:r>
    </w:p>
    <w:bookmarkStart w:id="136" w:name="tbl:part_II_systems_overview_parameters"/>
    <w:p>
      <w:pPr>
        <w:pStyle w:val="TableCaption"/>
      </w:pPr>
      <w:r>
        <w:t xml:space="preserve">Table 7: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36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37"/>
    <w:bookmarkStart w:id="138" w:name="going-deeper-5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7 and revisit the objectives above as you read. Further evidence:</w:t>
      </w:r>
      <w:r>
        <w:t xml:space="preserve"> </w:t>
      </w:r>
      <w:r>
        <w:t xml:space="preserve">(Patel 2018; Nguyen 2023)</w:t>
      </w:r>
      <w:r>
        <w:t xml:space="preserve">.</w:t>
      </w:r>
    </w:p>
    <w:bookmarkEnd w:id="138"/>
    <w:bookmarkStart w:id="139" w:name="summary-6"/>
    <w:p>
      <w:pPr>
        <w:pStyle w:val="Heading2"/>
      </w:pPr>
      <w:r>
        <w:t xml:space="preserve">Summary</w:t>
      </w:r>
    </w:p>
    <w:bookmarkEnd w:id="139"/>
    <w:bookmarkStart w:id="140" w:name="key-terms-6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40"/>
    <w:bookmarkStart w:id="141" w:name="further-reading-6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3"/>
        </w:numPr>
      </w:pPr>
      <w:r>
        <w:t xml:space="preserve">TODO: one-line annotation</w:t>
      </w:r>
      <w:r>
        <w:t xml:space="preserve"> </w:t>
      </w:r>
      <w:r>
        <w:t xml:space="preserve">(Kim 2020)</w:t>
      </w:r>
      <w:r>
        <w:t xml:space="preserve">.</w:t>
      </w:r>
    </w:p>
    <w:bookmarkEnd w:id="141"/>
    <w:bookmarkStart w:id="142" w:name="practice-6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25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37</w:t>
      </w:r>
    </w:p>
    <w:bookmarkEnd w:id="142"/>
    <w:bookmarkEnd w:id="143"/>
    <w:bookmarkStart w:id="159" w:name="sec:part_II_dynamics_and_change"/>
    <w:p>
      <w:pPr>
        <w:pStyle w:val="Heading1"/>
      </w:pPr>
      <w:r>
        <w:t xml:space="preserve">Dynamics and Change</w:t>
      </w:r>
    </w:p>
    <w:bookmarkStart w:id="147" w:name="fig:part_II_dynamics_and_change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8: Overview schematic for “Dynamics and Change”. Replace this generated placeholder with a real figure produced by src/visualization/plots.py." title="" id="145" name="Picture"/>
            <a:graphic>
              <a:graphicData uri="http://schemas.openxmlformats.org/drawingml/2006/picture">
                <pic:pic>
                  <pic:nvPicPr>
                    <pic:cNvPr descr="../figures/part_II_dynamics_and_chang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Overview schematic for</w:t>
      </w:r>
      <w:r>
        <w:t xml:space="preserve"> </w:t>
      </w:r>
      <w:r>
        <w:t xml:space="preserve">“Dynamics and Change”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47"/>
    <w:p>
      <w:pPr>
        <w:pStyle w:val="BlockText"/>
      </w:pPr>
      <w:r>
        <w:t xml:space="preserve">Level 1/3 · 30 min read · 45 min lecture · Prerequisites: none</w:t>
      </w:r>
    </w:p>
    <w:bookmarkStart w:id="149" w:name="learning-objectives-7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5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5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5"/>
        </w:numPr>
      </w:pPr>
      <w:r>
        <w:t xml:space="preserve">TODO: state the third learning objective.</w:t>
      </w:r>
    </w:p>
    <w:bookmarkStart w:id="148" w:name="study-blueprint-7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9.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26.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38.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orientation-6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Dynamics and Change</w:t>
      </w:r>
      <w:r>
        <w:t xml:space="preserve">. Foundational treatments include</w:t>
      </w:r>
      <w:r>
        <w:t xml:space="preserve"> </w:t>
      </w:r>
      <w:r>
        <w:t xml:space="preserve">(Brown 2017; Wilson 2021)</w:t>
      </w:r>
      <w:r>
        <w:t xml:space="preserve">. Key terms such as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 </w:t>
      </w:r>
      <w:r>
        <w:t xml:space="preserve">are defined in the glossary.</w:t>
      </w:r>
    </w:p>
    <w:bookmarkEnd w:id="150"/>
    <w:bookmarkStart w:id="153" w:name="a-worked-formalism-6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9:</w:t>
      </w:r>
    </w:p>
    <w:p>
      <w:pPr>
        <w:pStyle w:val="BodyText"/>
      </w:pPr>
      <w:bookmarkStart w:id="151" w:name="eq:part_II_dynamics_and_change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8.</w:t>
      </w:r>
    </w:p>
    <w:bookmarkStart w:id="152" w:name="X2985130281a2374d980351503047236680d6784"/>
    <w:p>
      <w:pPr>
        <w:pStyle w:val="TableCaption"/>
      </w:pPr>
      <w:r>
        <w:t xml:space="preserve">Table 8: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52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53"/>
    <w:bookmarkStart w:id="154" w:name="going-deeper-6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8 and revisit the objectives above as you read. Further evidence:</w:t>
      </w:r>
      <w:r>
        <w:t xml:space="preserve"> </w:t>
      </w:r>
      <w:r>
        <w:t xml:space="preserve">(Brown 2017; Wilson 2021)</w:t>
      </w:r>
      <w:r>
        <w:t xml:space="preserve">.</w:t>
      </w:r>
    </w:p>
    <w:bookmarkEnd w:id="154"/>
    <w:bookmarkStart w:id="155" w:name="summary-7"/>
    <w:p>
      <w:pPr>
        <w:pStyle w:val="Heading2"/>
      </w:pPr>
      <w:r>
        <w:t xml:space="preserve">Summary</w:t>
      </w:r>
    </w:p>
    <w:bookmarkEnd w:id="155"/>
    <w:bookmarkStart w:id="156" w:name="key-terms-7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regulation">
        <w:r>
          <w:rPr>
            <w:rStyle w:val="Hyperlink"/>
            <w:b/>
            <w:bCs/>
          </w:rPr>
          <w:t xml:space="preserve">regulation</w:t>
        </w:r>
      </w:hyperlink>
      <w:r>
        <w:t xml:space="preserve">,</w:t>
      </w:r>
      <w:r>
        <w:t xml:space="preserve"> </w:t>
      </w:r>
      <w:hyperlink w:anchor="gl:boundary">
        <w:r>
          <w:rPr>
            <w:rStyle w:val="Hyperlink"/>
            <w:b/>
            <w:bCs/>
          </w:rPr>
          <w:t xml:space="preserve">boundary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.</w:t>
      </w:r>
    </w:p>
    <w:bookmarkEnd w:id="156"/>
    <w:bookmarkStart w:id="157" w:name="further-reading-7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37"/>
        </w:numPr>
      </w:pPr>
      <w:r>
        <w:t xml:space="preserve">TODO: one-line annotation</w:t>
      </w:r>
      <w:r>
        <w:t xml:space="preserve"> </w:t>
      </w:r>
      <w:r>
        <w:t xml:space="preserve">(Taylor 2019)</w:t>
      </w:r>
      <w:r>
        <w:t xml:space="preserve">.</w:t>
      </w:r>
    </w:p>
    <w:bookmarkEnd w:id="157"/>
    <w:bookmarkStart w:id="158" w:name="practice-7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26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38</w:t>
      </w:r>
    </w:p>
    <w:bookmarkEnd w:id="158"/>
    <w:bookmarkEnd w:id="159"/>
    <w:bookmarkStart w:id="175" w:name="sec:part_II_regulation_and_control"/>
    <w:p>
      <w:pPr>
        <w:pStyle w:val="Heading1"/>
      </w:pPr>
      <w:r>
        <w:t xml:space="preserve">Regulation and Control</w:t>
      </w:r>
    </w:p>
    <w:bookmarkStart w:id="163" w:name="fig:part_II_regulation_and_control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9: Overview schematic for “Regulation and Control”. Replace this generated placeholder with a real figure produced by src/visualization/plots.py." title="" id="161" name="Picture"/>
            <a:graphic>
              <a:graphicData uri="http://schemas.openxmlformats.org/drawingml/2006/picture">
                <pic:pic>
                  <pic:nvPicPr>
                    <pic:cNvPr descr="../figures/part_II_regulation_and_contro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Overview schematic for</w:t>
      </w:r>
      <w:r>
        <w:t xml:space="preserve"> </w:t>
      </w:r>
      <w:r>
        <w:t xml:space="preserve">“Regulation and Control”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63"/>
    <w:p>
      <w:pPr>
        <w:pStyle w:val="BlockText"/>
      </w:pPr>
      <w:r>
        <w:t xml:space="preserve">Level 1/3 · 30 min read · 45 min lecture · Prerequisites: none</w:t>
      </w:r>
    </w:p>
    <w:bookmarkStart w:id="165" w:name="learning-objectives-8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39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39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39"/>
        </w:numPr>
      </w:pPr>
      <w:r>
        <w:t xml:space="preserve">TODO: state the third learning objective.</w:t>
      </w:r>
    </w:p>
    <w:bookmarkStart w:id="164" w:name="study-blueprint-8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10.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27.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39.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orientation-7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Regulation and Control</w:t>
      </w:r>
      <w:r>
        <w:t xml:space="preserve">. Foundational treatments include</w:t>
      </w:r>
      <w:r>
        <w:t xml:space="preserve"> </w:t>
      </w:r>
      <w:r>
        <w:t xml:space="preserve">(Wilson 2021; Taylor 2019)</w:t>
      </w:r>
      <w:r>
        <w:t xml:space="preserve">. Key terms such as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 </w:t>
      </w:r>
      <w:r>
        <w:t xml:space="preserve">are defined in the glossary.</w:t>
      </w:r>
    </w:p>
    <w:bookmarkEnd w:id="166"/>
    <w:bookmarkStart w:id="169" w:name="a-worked-formalism-7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10:</w:t>
      </w:r>
    </w:p>
    <w:p>
      <w:pPr>
        <w:pStyle w:val="BodyText"/>
      </w:pPr>
      <w:bookmarkStart w:id="167" w:name="eq:part_II_regulation_and_control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9.</w:t>
      </w:r>
    </w:p>
    <w:bookmarkStart w:id="168" w:name="Xd75e879881b65694511c1785e7e4476f24970d5"/>
    <w:p>
      <w:pPr>
        <w:pStyle w:val="TableCaption"/>
      </w:pPr>
      <w:r>
        <w:t xml:space="preserve">Table 9: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68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69"/>
    <w:bookmarkStart w:id="170" w:name="going-deeper-7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9 and revisit the objectives above as you read. Further evidence:</w:t>
      </w:r>
      <w:r>
        <w:t xml:space="preserve"> </w:t>
      </w:r>
      <w:r>
        <w:t xml:space="preserve">(Wilson 2021; Taylor 2019)</w:t>
      </w:r>
      <w:r>
        <w:t xml:space="preserve">.</w:t>
      </w:r>
    </w:p>
    <w:bookmarkEnd w:id="170"/>
    <w:bookmarkStart w:id="171" w:name="summary-8"/>
    <w:p>
      <w:pPr>
        <w:pStyle w:val="Heading2"/>
      </w:pPr>
      <w:r>
        <w:t xml:space="preserve">Summary</w:t>
      </w:r>
    </w:p>
    <w:bookmarkEnd w:id="171"/>
    <w:bookmarkStart w:id="172" w:name="key-terms-8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,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.</w:t>
      </w:r>
    </w:p>
    <w:bookmarkEnd w:id="172"/>
    <w:bookmarkStart w:id="173" w:name="further-reading-8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1"/>
        </w:numPr>
      </w:pPr>
      <w:r>
        <w:t xml:space="preserve">TODO: one-line annotation</w:t>
      </w:r>
      <w:r>
        <w:t xml:space="preserve"> </w:t>
      </w:r>
      <w:r>
        <w:t xml:space="preserve">(Smith 2020)</w:t>
      </w:r>
      <w:r>
        <w:t xml:space="preserve">.</w:t>
      </w:r>
    </w:p>
    <w:bookmarkEnd w:id="173"/>
    <w:bookmarkStart w:id="174" w:name="practice-8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27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39</w:t>
      </w:r>
    </w:p>
    <w:bookmarkEnd w:id="174"/>
    <w:bookmarkEnd w:id="175"/>
    <w:bookmarkStart w:id="176" w:name="sec:part_III_intro"/>
    <w:p>
      <w:pPr>
        <w:pStyle w:val="Heading1"/>
      </w:pPr>
      <w:r>
        <w:t xml:space="preserve">Part III: Applications and Synthesis</w:t>
      </w:r>
    </w:p>
    <w:p>
      <w:pPr>
        <w:pStyle w:val="FirstParagraph"/>
      </w:pPr>
      <w:r>
        <w:t xml:space="preserve">This part covers</w:t>
      </w:r>
      <w:r>
        <w:t xml:space="preserve"> </w:t>
      </w:r>
      <w:r>
        <w:rPr>
          <w:b/>
          <w:bCs/>
        </w:rPr>
        <w:t xml:space="preserve">applications and synthesis</w:t>
      </w:r>
      <w:r>
        <w:t xml:space="preserve">. It contains the following chapters: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Applied Models</w:t>
      </w:r>
      <w:r>
        <w:t xml:space="preserve"> </w:t>
      </w:r>
      <w:r>
        <w:t xml:space="preserve">— sec. 16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Case Studies</w:t>
      </w:r>
      <w:r>
        <w:t xml:space="preserve"> </w:t>
      </w:r>
      <w:r>
        <w:t xml:space="preserve">— sec. 17</w:t>
      </w:r>
    </w:p>
    <w:p>
      <w:pPr>
        <w:pStyle w:val="Compact"/>
        <w:numPr>
          <w:ilvl w:val="0"/>
          <w:numId w:val="1043"/>
        </w:numPr>
      </w:pPr>
      <w:r>
        <w:rPr>
          <w:i/>
          <w:iCs/>
        </w:rPr>
        <w:t xml:space="preserve">Frontiers and Open Problems</w:t>
      </w:r>
      <w:r>
        <w:t xml:space="preserve"> </w:t>
      </w:r>
      <w:r>
        <w:t xml:space="preserve">— sec. 18</w:t>
      </w:r>
    </w:p>
    <w:p>
      <w:pPr>
        <w:pStyle w:val="BlockText"/>
      </w:pPr>
      <w:r>
        <w:rPr>
          <w:b/>
          <w:bCs/>
        </w:rPr>
        <w:t xml:space="preserve">How to use this part.</w:t>
      </w:r>
      <w:r>
        <w:t xml:space="preserve"> </w:t>
      </w:r>
    </w:p>
    <w:bookmarkEnd w:id="176"/>
    <w:bookmarkStart w:id="192" w:name="sec:part_III_applied_models"/>
    <w:p>
      <w:pPr>
        <w:pStyle w:val="Heading1"/>
      </w:pPr>
      <w:r>
        <w:t xml:space="preserve">Applied Models</w:t>
      </w:r>
    </w:p>
    <w:bookmarkStart w:id="180" w:name="fig:part_III_applied_model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10: Overview schematic for “Applied Models”. Replace this generated placeholder with a real figure produced by src/visualization/plots.py." title="" id="178" name="Picture"/>
            <a:graphic>
              <a:graphicData uri="http://schemas.openxmlformats.org/drawingml/2006/picture">
                <pic:pic>
                  <pic:nvPicPr>
                    <pic:cNvPr descr="../figures/part_III_applied_model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Overview schematic for</w:t>
      </w:r>
      <w:r>
        <w:t xml:space="preserve"> </w:t>
      </w:r>
      <w:r>
        <w:t xml:space="preserve">“Applied Models”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180"/>
    <w:p>
      <w:pPr>
        <w:pStyle w:val="BlockText"/>
      </w:pPr>
      <w:r>
        <w:t xml:space="preserve">Level 1/3 · 30 min read · 45 min lecture · Prerequisites: none</w:t>
      </w:r>
    </w:p>
    <w:bookmarkStart w:id="182" w:name="learning-objectives-9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44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44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44"/>
        </w:numPr>
      </w:pPr>
      <w:r>
        <w:t xml:space="preserve">TODO: state the third learning objective.</w:t>
      </w:r>
    </w:p>
    <w:bookmarkStart w:id="181" w:name="study-blueprint-9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11.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28.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40.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orientation-8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Applied Models</w:t>
      </w:r>
      <w:r>
        <w:t xml:space="preserve">. Foundational treatments include</w:t>
      </w:r>
      <w:r>
        <w:t xml:space="preserve"> </w:t>
      </w:r>
      <w:r>
        <w:t xml:space="preserve">(Patel 2018; Nguyen 2023)</w:t>
      </w:r>
      <w:r>
        <w:t xml:space="preserve">. Key terms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,</w:t>
      </w:r>
      <w:r>
        <w:t xml:space="preserve"> </w:t>
      </w:r>
      <w:hyperlink w:anchor="gl:feedback">
        <w:r>
          <w:rPr>
            <w:rStyle w:val="Hyperlink"/>
            <w:b/>
            <w:bCs/>
          </w:rPr>
          <w:t xml:space="preserve">feedback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are defined in the glossary.</w:t>
      </w:r>
    </w:p>
    <w:bookmarkEnd w:id="183"/>
    <w:bookmarkStart w:id="186" w:name="a-worked-formalism-8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11:</w:t>
      </w:r>
    </w:p>
    <w:p>
      <w:pPr>
        <w:pStyle w:val="BodyText"/>
      </w:pPr>
      <w:bookmarkStart w:id="184" w:name="eq:part_III_applied_model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10.</w:t>
      </w:r>
    </w:p>
    <w:bookmarkStart w:id="185" w:name="tbl:part_III_applied_models_parameters"/>
    <w:p>
      <w:pPr>
        <w:pStyle w:val="TableCaption"/>
      </w:pPr>
      <w:r>
        <w:t xml:space="preserve">Table 10: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185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186"/>
    <w:bookmarkStart w:id="187" w:name="going-deeper-8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10 and revisit the objectives above as you read. Further evidence:</w:t>
      </w:r>
      <w:r>
        <w:t xml:space="preserve"> </w:t>
      </w:r>
      <w:r>
        <w:t xml:space="preserve">(Patel 2018; Nguyen 2023)</w:t>
      </w:r>
      <w:r>
        <w:t xml:space="preserve">.</w:t>
      </w:r>
    </w:p>
    <w:bookmarkEnd w:id="187"/>
    <w:bookmarkStart w:id="188" w:name="summary-9"/>
    <w:p>
      <w:pPr>
        <w:pStyle w:val="Heading2"/>
      </w:pPr>
      <w:r>
        <w:t xml:space="preserve">Summary</w:t>
      </w:r>
    </w:p>
    <w:bookmarkEnd w:id="188"/>
    <w:bookmarkStart w:id="189" w:name="key-terms-9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189"/>
    <w:bookmarkStart w:id="190" w:name="further-reading-9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46"/>
        </w:numPr>
      </w:pPr>
      <w:r>
        <w:t xml:space="preserve">TODO: one-line annotation</w:t>
      </w:r>
      <w:r>
        <w:t xml:space="preserve"> </w:t>
      </w:r>
      <w:r>
        <w:t xml:space="preserve">(Kim 2020)</w:t>
      </w:r>
      <w:r>
        <w:t xml:space="preserve">.</w:t>
      </w:r>
    </w:p>
    <w:bookmarkEnd w:id="190"/>
    <w:bookmarkStart w:id="191" w:name="practice-9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28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40</w:t>
      </w:r>
    </w:p>
    <w:bookmarkEnd w:id="191"/>
    <w:bookmarkEnd w:id="192"/>
    <w:bookmarkStart w:id="208" w:name="sec:part_III_case_studies"/>
    <w:p>
      <w:pPr>
        <w:pStyle w:val="Heading1"/>
      </w:pPr>
      <w:r>
        <w:t xml:space="preserve">Case Studies</w:t>
      </w:r>
    </w:p>
    <w:bookmarkStart w:id="196" w:name="fig:part_III_case_studies"/>
    <w:p>
      <w:pPr>
        <w:pStyle w:val="CaptionedFigure"/>
      </w:pPr>
      <w:r>
        <w:drawing>
          <wp:inline>
            <wp:extent cx="4000500" cy="2629287"/>
            <wp:effectExtent b="0" l="0" r="0" t="0"/>
            <wp:docPr descr="Figure 11: Group means with standard-error bars across six synthetic conditions, generated by visualization.gallery.errorbar_plot. In a real case study you would replace this gallery placeholder with your own measured group means." title="" id="194" name="Picture"/>
            <a:graphic>
              <a:graphicData uri="http://schemas.openxmlformats.org/drawingml/2006/picture">
                <pic:pic>
                  <pic:nvPicPr>
                    <pic:cNvPr descr="../figures/gallery/gallery_errorbar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Group means with standard-error bars across six synthetic conditions,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visualization.gallery.errorbar_plot</w:t>
      </w:r>
      <w:r>
        <w:t xml:space="preserve">. In a real case study you would</w:t>
      </w:r>
      <w:r>
        <w:t xml:space="preserve"> </w:t>
      </w:r>
      <w:r>
        <w:t xml:space="preserve">replace this gallery placeholder with your own measured group means.</w:t>
      </w:r>
    </w:p>
    <w:bookmarkEnd w:id="196"/>
    <w:p>
      <w:pPr>
        <w:pStyle w:val="BlockText"/>
      </w:pPr>
      <w:r>
        <w:t xml:space="preserve">Level 2/3 · 30 min read · 45 min lecture · Prerequisites: First Principles</w:t>
      </w:r>
    </w:p>
    <w:p>
      <w:pPr>
        <w:pStyle w:val="BlockText"/>
      </w:pPr>
      <w:r>
        <w:rPr>
          <w:b/>
          <w:bCs/>
        </w:rPr>
        <w:t xml:space="preserve">This chapter is a worked reference</w:t>
      </w:r>
      <w:r>
        <w:t xml:space="preserve"> </w:t>
      </w:r>
      <w:r>
        <w:t xml:space="preserve">in a different style from</w:t>
      </w:r>
      <w:r>
        <w:t xml:space="preserve"> </w:t>
      </w:r>
      <w:r>
        <w:t xml:space="preserve">sec. 8: where that chapter</w:t>
      </w:r>
      <w:r>
        <w:t xml:space="preserve"> </w:t>
      </w:r>
      <w:r>
        <w:rPr>
          <w:i/>
          <w:iCs/>
        </w:rPr>
        <w:t xml:space="preserve">derives</w:t>
      </w:r>
      <w:r>
        <w:t xml:space="preserve"> </w:t>
      </w:r>
      <w:r>
        <w:t xml:space="preserve">a model, this one</w:t>
      </w:r>
      <w:r>
        <w:t xml:space="preserve"> </w:t>
      </w:r>
      <w:r>
        <w:rPr>
          <w:i/>
          <w:iCs/>
        </w:rPr>
        <w:t xml:space="preserve">applies</w:t>
      </w:r>
      <w:r>
        <w:t xml:space="preserve"> </w:t>
      </w:r>
      <w:r>
        <w:t xml:space="preserve">one to a small dataset. The remaining chapters ship as stubs.</w:t>
      </w:r>
    </w:p>
    <w:bookmarkStart w:id="198" w:name="learning-objectives-10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48"/>
        </w:numPr>
      </w:pPr>
      <w:r>
        <w:t xml:space="preserve">Frame a real question as a comparison between a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under</w:t>
      </w:r>
      <w:r>
        <w:t xml:space="preserve"> </w:t>
      </w:r>
      <w:r>
        <w:t xml:space="preserve">control and treatment conditions.</w:t>
      </w:r>
    </w:p>
    <w:p>
      <w:pPr>
        <w:pStyle w:val="Compact"/>
        <w:numPr>
          <w:ilvl w:val="0"/>
          <w:numId w:val="1048"/>
        </w:numPr>
      </w:pPr>
      <w:r>
        <w:t xml:space="preserve">Summarise grouped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 </w:t>
      </w:r>
      <w:r>
        <w:t xml:space="preserve">data with means and a</w:t>
      </w:r>
      <w:r>
        <w:t xml:space="preserve"> </w:t>
      </w:r>
      <w:r>
        <w:t xml:space="preserve">measure of spread, and read an error-bar figure.</w:t>
      </w:r>
    </w:p>
    <w:p>
      <w:pPr>
        <w:pStyle w:val="Compact"/>
        <w:numPr>
          <w:ilvl w:val="0"/>
          <w:numId w:val="1048"/>
        </w:numPr>
      </w:pPr>
      <w:r>
        <w:t xml:space="preserve">Fit a simple dose–response trend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 </w:t>
      </w:r>
      <w:r>
        <w:t xml:space="preserve">and state</w:t>
      </w:r>
      <w:r>
        <w:t xml:space="preserve"> </w:t>
      </w:r>
      <w:r>
        <w:t xml:space="preserve">what its slope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mean.</w:t>
      </w:r>
    </w:p>
    <w:p>
      <w:pPr>
        <w:pStyle w:val="Compact"/>
        <w:numPr>
          <w:ilvl w:val="0"/>
          <w:numId w:val="1048"/>
        </w:numPr>
      </w:pPr>
      <w:r>
        <w:t xml:space="preserve">Distinguish a defensible interpolation from an unjustified extrapolation.</w:t>
      </w:r>
    </w:p>
    <w:bookmarkStart w:id="197" w:name="study-blueprint-10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Big idea:</w:t>
      </w:r>
      <w:r>
        <w:t xml:space="preserve"> </w:t>
      </w:r>
      <w:r>
        <w:t xml:space="preserve">A case study turns a general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 </w:t>
      </w:r>
      <w:r>
        <w:t xml:space="preserve">into a</w:t>
      </w:r>
      <w:r>
        <w:t xml:space="preserve"> </w:t>
      </w:r>
      <w:r>
        <w:t xml:space="preserve">decision about a specific dataset — and into an honest statement of its limits.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a linear dose–response fit, eq. 12.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 skill:</w:t>
      </w:r>
      <w:r>
        <w:t xml:space="preserve"> </w:t>
      </w:r>
      <w:r>
        <w:t xml:space="preserve">group, average, and fit; then sanity-check the fit against the</w:t>
      </w:r>
      <w:r>
        <w:t xml:space="preserve"> </w:t>
      </w:r>
      <w:r>
        <w:t xml:space="preserve">raw numbers in tbl. 11.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Common misconception to repair:</w:t>
      </w:r>
      <w:r>
        <w:t xml:space="preserve"> </w:t>
      </w:r>
      <w:r>
        <w:t xml:space="preserve">a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three points is not strong</w:t>
      </w:r>
      <w:r>
        <w:t xml:space="preserve"> </w:t>
      </w:r>
      <w:r>
        <w:t xml:space="preserve">evidence — it is an invitation to collect more.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29.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41.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descriptive_statistics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From a spreadsheet to a decision.</w:t>
      </w:r>
    </w:p>
    <w:p>
      <w:pPr>
        <w:pStyle w:val="BlockText"/>
      </w:pPr>
      <w:r>
        <w:t xml:space="preserve">A team runs a small pilot: a control condition and two treatment levels, two</w:t>
      </w:r>
      <w:r>
        <w:t xml:space="preserve"> </w:t>
      </w:r>
      <w:r>
        <w:t xml:space="preserve">replicates each. The numbers land in a spreadsheet. The question is not</w:t>
      </w:r>
      <w:r>
        <w:t xml:space="preserve"> </w:t>
      </w:r>
      <w:r>
        <w:t xml:space="preserve">“are</w:t>
      </w:r>
      <w:r>
        <w:t xml:space="preserve"> </w:t>
      </w:r>
      <w:r>
        <w:t xml:space="preserve">they different?”</w:t>
      </w:r>
      <w:r>
        <w:t xml:space="preserve"> </w:t>
      </w:r>
      <w:r>
        <w:t xml:space="preserve">— they obviously are — but</w:t>
      </w:r>
      <w:r>
        <w:t xml:space="preserve"> </w:t>
      </w:r>
      <w:r>
        <w:t xml:space="preserve">“by how much, how confidently, and</w:t>
      </w:r>
      <w:r>
        <w:t xml:space="preserve"> </w:t>
      </w:r>
      <w:r>
        <w:t xml:space="preserve">what should we predict next?”</w:t>
      </w:r>
      <w:r>
        <w:t xml:space="preserve"> </w:t>
      </w:r>
      <w:r>
        <w:t xml:space="preserve">A case study is the discipline of answering those</w:t>
      </w:r>
      <w:r>
        <w:t xml:space="preserve"> </w:t>
      </w:r>
      <w:r>
        <w:t xml:space="preserve">three questions without overreaching.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the-data"/>
    <w:p>
      <w:pPr>
        <w:pStyle w:val="Heading2"/>
      </w:pPr>
      <w:r>
        <w:t xml:space="preserve">The data</w:t>
      </w:r>
    </w:p>
    <w:p>
      <w:pPr>
        <w:pStyle w:val="FirstParagraph"/>
      </w:pPr>
      <w:r>
        <w:t xml:space="preserve">The pilot produced six measurements across three conditions, recorded in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and reproduced in</w:t>
      </w:r>
      <w:r>
        <w:t xml:space="preserve"> </w:t>
      </w:r>
      <w:r>
        <w:t xml:space="preserve">tbl. 11.</w:t>
      </w:r>
    </w:p>
    <w:bookmarkStart w:id="199" w:name="tbl:part_III_case_studies_data"/>
    <w:p>
      <w:pPr>
        <w:pStyle w:val="TableCaption"/>
      </w:pPr>
      <w:r>
        <w:t xml:space="preserve">Table 11: The pilot dataset: two replicates per condition.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: The pilot dataset: two replicates per condi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(low)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(low)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(high)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(high)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bookmarkEnd w:id="199"/>
    <w:p>
      <w:pPr>
        <w:pStyle w:val="BodyText"/>
      </w:pPr>
      <w:r>
        <w:t xml:space="preserve">Grouping and averaging — the first move in almost every case study — gives means</w:t>
      </w:r>
      <w:r>
        <w:t xml:space="preserve"> </w:t>
      </w:r>
      <w:r>
        <w:t xml:space="preserve">of</w:t>
      </w:r>
      <w:r>
        <w:t xml:space="preserve"> </w:t>
      </w:r>
      <m:oMath>
        <m:r>
          <m:t>2.20</m:t>
        </m:r>
      </m:oMath>
      <w:r>
        <w:t xml:space="preserve"> </w:t>
      </w:r>
      <w:r>
        <w:t xml:space="preserve">(control),</w:t>
      </w:r>
      <w:r>
        <w:t xml:space="preserve"> </w:t>
      </w:r>
      <m:oMath>
        <m:r>
          <m:t>3.50</m:t>
        </m:r>
      </m:oMath>
      <w:r>
        <w:t xml:space="preserve"> </w:t>
      </w:r>
      <w:r>
        <w:t xml:space="preserve">(low), and</w:t>
      </w:r>
      <w:r>
        <w:t xml:space="preserve"> </w:t>
      </w:r>
      <m:oMath>
        <m:r>
          <m:t>4.95</m:t>
        </m:r>
      </m:oMath>
      <w:r>
        <w:t xml:space="preserve"> </w:t>
      </w:r>
      <w:r>
        <w:t xml:space="preserve">(high). Across all six points the</w:t>
      </w:r>
      <w:r>
        <w:t xml:space="preserve"> </w:t>
      </w:r>
      <w:r>
        <w:t xml:space="preserve">mean is</w:t>
      </w:r>
      <w:r>
        <w:t xml:space="preserve"> </w:t>
      </w:r>
      <m:oMath>
        <m:r>
          <m:t>3.55</m:t>
        </m:r>
      </m:oMath>
      <w:r>
        <w:t xml:space="preserve"> </w:t>
      </w:r>
      <w:r>
        <w:t xml:space="preserve">with a standard deviation of</w:t>
      </w:r>
      <w:r>
        <w:t xml:space="preserve"> </w:t>
      </w:r>
      <m:oMath>
        <m:r>
          <m:t>1.13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textbook.models.descriptive_statistics</w:t>
      </w:r>
      <w:r>
        <w:t xml:space="preserve">). The error-bar view is</w:t>
      </w:r>
      <w:r>
        <w:t xml:space="preserve"> </w:t>
      </w:r>
      <w:r>
        <w:t xml:space="preserve">fig. 11.</w:t>
      </w:r>
    </w:p>
    <w:bookmarkEnd w:id="200"/>
    <w:bookmarkStart w:id="202" w:name="fitting-a-trend"/>
    <w:p>
      <w:pPr>
        <w:pStyle w:val="Heading2"/>
      </w:pPr>
      <w:r>
        <w:t xml:space="preserve">Fitting a trend</w:t>
      </w:r>
    </w:p>
    <w:p>
      <w:pPr>
        <w:pStyle w:val="FirstParagraph"/>
      </w:pPr>
      <w:r>
        <w:t xml:space="preserve">Encode the dose 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for control, low, and high, and fit a line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4.95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condition means</w:t>
      </w:r>
      <w:r>
        <w:br/>
      </w:r>
      <w:r>
        <w:rPr>
          <w:rStyle w:val="NormalTok"/>
        </w:rPr>
        <w:t xml:space="preserve">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models.linear_fit(dose, response)</w:t>
      </w:r>
      <w:r>
        <w:br/>
      </w:r>
      <w:r>
        <w:rPr>
          <w:rStyle w:val="CommentTok"/>
        </w:rPr>
        <w:t xml:space="preserve"># fit.slope ≈ 1.375, fit.intercept ≈ 2.175, fit.r_squared ≈ 0.999</w:t>
      </w:r>
    </w:p>
    <w:p>
      <w:pPr>
        <w:pStyle w:val="FirstParagraph"/>
      </w:pPr>
      <w:r>
        <w:t xml:space="preserve">The fitted relationship in eq. 12 is</w:t>
      </w:r>
    </w:p>
    <w:p>
      <w:pPr>
        <w:pStyle w:val="BodyText"/>
      </w:pPr>
      <w:bookmarkStart w:id="201" w:name="eq:part_III_case_studies_fit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1.375</m:t>
          </m:r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2.175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201"/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. The slope says each dose step adds about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units of</w:t>
      </w:r>
      <w:r>
        <w:t xml:space="preserve"> </w:t>
      </w:r>
      <w:r>
        <w:t xml:space="preserve">response; the intercept,</w:t>
      </w:r>
      <w:r>
        <w:t xml:space="preserve"> </w:t>
      </w:r>
      <m:oMath>
        <m:r>
          <m:t>2.175</m:t>
        </m:r>
      </m:oMath>
      <w:r>
        <w:t xml:space="preserve">, is close to the measured control mean of</w:t>
      </w:r>
      <w:r>
        <w:t xml:space="preserve"> </w:t>
      </w:r>
      <m:oMath>
        <m:r>
          <m:t>2.20</m:t>
        </m:r>
      </m:oMath>
      <w:r>
        <w:t xml:space="preserve">, a reassuring internal check.</w:t>
      </w:r>
    </w:p>
    <w:bookmarkEnd w:id="202"/>
    <w:bookmarkStart w:id="203" w:name="interpolation-versus-extrapolation"/>
    <w:p>
      <w:pPr>
        <w:pStyle w:val="Heading2"/>
      </w:pPr>
      <w:r>
        <w:t xml:space="preserve">Interpolation versus extrapolation</w:t>
      </w:r>
    </w:p>
    <w:p>
      <w:pPr>
        <w:pStyle w:val="FirstParagraph"/>
      </w:pPr>
      <w:r>
        <w:t xml:space="preserve">Using eq. 12 to estimate the response at an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 </w:t>
      </w:r>
      <w:r>
        <w:t xml:space="preserve">dose is reasonable: the model interpolates within the range it was</w:t>
      </w:r>
      <w:r>
        <w:t xml:space="preserve"> </w:t>
      </w:r>
      <w:r>
        <w:t xml:space="preserve">fit on. Using it to predict a</w:t>
      </w:r>
      <w:r>
        <w:t xml:space="preserve"> </w:t>
      </w:r>
      <w:r>
        <w:rPr>
          <w:i/>
          <w:iCs/>
        </w:rPr>
        <w:t xml:space="preserve">much higher</w:t>
      </w:r>
      <w:r>
        <w:t xml:space="preserve"> </w:t>
      </w:r>
      <w:r>
        <w:t xml:space="preserve">dose — say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 giving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6.3</m:t>
        </m:r>
      </m:oMath>
      <w:r>
        <w:t xml:space="preserve"> </w:t>
      </w:r>
      <w:r>
        <w:t xml:space="preserve">— is an</w:t>
      </w:r>
      <w:r>
        <w:t xml:space="preserve"> </w:t>
      </w:r>
      <w:r>
        <w:rPr>
          <w:b/>
          <w:bCs/>
        </w:rPr>
        <w:t xml:space="preserve">extrapolation</w:t>
      </w:r>
      <w:r>
        <w:t xml:space="preserve"> </w:t>
      </w:r>
      <w:r>
        <w:t xml:space="preserve">the data cannot support. Real</w:t>
      </w:r>
      <w:r>
        <w:t xml:space="preserve"> </w:t>
      </w:r>
      <w:r>
        <w:t xml:space="preserve">dose–response curves usually saturate (recall the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behaviour of the saturating response in</w:t>
      </w:r>
      <w:r>
        <w:t xml:space="preserve"> </w:t>
      </w:r>
      <w:r>
        <w:t xml:space="preserve">sec. 8); a straight line will overpredict once the system</w:t>
      </w:r>
      <w:r>
        <w:t xml:space="preserve"> </w:t>
      </w:r>
      <w:r>
        <w:t xml:space="preserve">approaches its ceiling.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 linear fit through three averaged points reports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w:r>
        <w:t xml:space="preserve">but that number describes how well the line passes through three dots — not how</w:t>
      </w:r>
      <w:r>
        <w:t xml:space="preserve"> </w:t>
      </w:r>
      <w:r>
        <w:t xml:space="preserve">well it predicts the next experiment. Treat it as a reason to collect more data,</w:t>
      </w:r>
      <w:r>
        <w:t xml:space="preserve"> </w:t>
      </w:r>
      <w:r>
        <w:t xml:space="preserve">not as a conclusion. Foundational guidance on this trap appears in</w:t>
      </w:r>
      <w:r>
        <w:t xml:space="preserve"> </w:t>
      </w:r>
      <w:r>
        <w:t xml:space="preserve">(Kim 2020)</w:t>
      </w:r>
      <w:r>
        <w:t xml:space="preserve"> </w:t>
      </w:r>
      <w:r>
        <w:t xml:space="preserve">and</w:t>
      </w:r>
      <w:r>
        <w:t xml:space="preserve"> </w:t>
      </w:r>
      <w:r>
        <w:t xml:space="preserve">(Wilson 2021)</w:t>
      </w:r>
      <w:r>
        <w:t xml:space="preserve">.</w:t>
      </w:r>
    </w:p>
    <w:bookmarkEnd w:id="203"/>
    <w:bookmarkStart w:id="204" w:name="summary-10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case study moves from raw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s to a summary, a</w:t>
      </w:r>
      <w:r>
        <w:t xml:space="preserve"> </w:t>
      </w:r>
      <w:r>
        <w:t xml:space="preserve">fitted trend, and — crucially — an honest boundary around what the trend can</w:t>
      </w:r>
      <w:r>
        <w:t xml:space="preserve"> </w:t>
      </w:r>
      <w:r>
        <w:t xml:space="preserve">claim. Here, averaging and a</w:t>
      </w:r>
      <w:r>
        <w:t xml:space="preserve"> </w:t>
      </w:r>
      <w:r>
        <w:rPr>
          <w:rStyle w:val="VerbatimChar"/>
        </w:rPr>
        <w:t xml:space="preserve">linear_fit</w:t>
      </w:r>
      <w:r>
        <w:t xml:space="preserve"> </w:t>
      </w:r>
      <w:r>
        <w:t xml:space="preserve">recovered a clean dose–response slope of</w:t>
      </w:r>
      <w:r>
        <w:t xml:space="preserve"> </w:t>
      </w:r>
      <w:r>
        <w:t xml:space="preserve">about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units per step with an intercept that matched the control, but the</w:t>
      </w:r>
      <w:r>
        <w:t xml:space="preserve"> </w:t>
      </w:r>
      <w:r>
        <w:t xml:space="preserve">same fit must not be pushed beyond the measured range. The reusable move is:</w:t>
      </w:r>
      <w:r>
        <w:t xml:space="preserve"> </w:t>
      </w:r>
      <w:r>
        <w:t xml:space="preserve">summarise, fit, then state the limits.</w:t>
      </w:r>
    </w:p>
    <w:bookmarkEnd w:id="204"/>
    <w:bookmarkStart w:id="205" w:name="key-terms-10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,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205"/>
    <w:bookmarkStart w:id="206" w:name="further-reading-10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0"/>
        </w:numPr>
      </w:pPr>
      <w:r>
        <w:t xml:space="preserve">Kim (2020)</w:t>
      </w:r>
      <w:r>
        <w:t xml:space="preserve"> </w:t>
      </w:r>
      <w:r>
        <w:t xml:space="preserve">— practical guidance on summarising and visualising small datasets</w:t>
      </w:r>
      <w:r>
        <w:t xml:space="preserve"> </w:t>
      </w:r>
      <w:r>
        <w:t xml:space="preserve">before fitting anything.</w:t>
      </w:r>
    </w:p>
    <w:p>
      <w:pPr>
        <w:pStyle w:val="Compact"/>
        <w:numPr>
          <w:ilvl w:val="0"/>
          <w:numId w:val="1050"/>
        </w:numPr>
      </w:pPr>
      <w:r>
        <w:t xml:space="preserve">Wilson (2021)</w:t>
      </w:r>
      <w:r>
        <w:t xml:space="preserve"> </w:t>
      </w:r>
      <w:r>
        <w:t xml:space="preserve">— on the difference between a good fit and a good prediction.</w:t>
      </w:r>
    </w:p>
    <w:bookmarkEnd w:id="206"/>
    <w:bookmarkStart w:id="207" w:name="practice-10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29 — re-run the grouping and fit, then</w:t>
      </w:r>
      <w:r>
        <w:t xml:space="preserve"> </w:t>
      </w:r>
      <w:r>
        <w:t xml:space="preserve">add a fourth condition and watch the fit change.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41 — recall through synthesis.</w:t>
      </w:r>
    </w:p>
    <w:bookmarkEnd w:id="207"/>
    <w:bookmarkEnd w:id="208"/>
    <w:bookmarkStart w:id="224" w:name="sec:part_III_frontiers"/>
    <w:p>
      <w:pPr>
        <w:pStyle w:val="Heading1"/>
      </w:pPr>
      <w:r>
        <w:t xml:space="preserve">Frontiers and Open Problems</w:t>
      </w:r>
    </w:p>
    <w:bookmarkStart w:id="212" w:name="fig:part_III_frontiers"/>
    <w:p>
      <w:pPr>
        <w:pStyle w:val="CaptionedFigure"/>
      </w:pPr>
      <w:r>
        <w:drawing>
          <wp:inline>
            <wp:extent cx="4800600" cy="2661920"/>
            <wp:effectExtent b="0" l="0" r="0" t="0"/>
            <wp:docPr descr="Figure 12: Overview schematic for “Frontiers and Open Problems”. Replace this generated placeholder with a real figure produced by src/visualization/plots.py." title="" id="210" name="Picture"/>
            <a:graphic>
              <a:graphicData uri="http://schemas.openxmlformats.org/drawingml/2006/picture">
                <pic:pic>
                  <pic:nvPicPr>
                    <pic:cNvPr descr="../figures/part_III_frontiers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Overview schematic for</w:t>
      </w:r>
      <w:r>
        <w:t xml:space="preserve"> </w:t>
      </w:r>
      <w:r>
        <w:t xml:space="preserve">“Frontiers and Open Problems”</w:t>
      </w:r>
      <w:r>
        <w:t xml:space="preserve">. Replace this generated placeholder with a real figure produced by</w:t>
      </w:r>
      <w:r>
        <w:t xml:space="preserve"> </w:t>
      </w:r>
      <w:r>
        <w:rPr>
          <w:rStyle w:val="VerbatimChar"/>
        </w:rPr>
        <w:t xml:space="preserve">src/visualization/plots.py</w:t>
      </w:r>
      <w:r>
        <w:t xml:space="preserve">.</w:t>
      </w:r>
    </w:p>
    <w:bookmarkEnd w:id="212"/>
    <w:p>
      <w:pPr>
        <w:pStyle w:val="BlockText"/>
      </w:pPr>
      <w:r>
        <w:t xml:space="preserve">Level 1/3 · 30 min read · 45 min lecture · Prerequisites: none</w:t>
      </w:r>
    </w:p>
    <w:bookmarkStart w:id="214" w:name="learning-objectives-1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 you should be able to:</w:t>
      </w:r>
    </w:p>
    <w:p>
      <w:pPr>
        <w:pStyle w:val="Compact"/>
        <w:numPr>
          <w:ilvl w:val="0"/>
          <w:numId w:val="1052"/>
        </w:numPr>
      </w:pPr>
      <w:r>
        <w:t xml:space="preserve">TODO: state the first measurable learning objective.</w:t>
      </w:r>
    </w:p>
    <w:p>
      <w:pPr>
        <w:pStyle w:val="Compact"/>
        <w:numPr>
          <w:ilvl w:val="0"/>
          <w:numId w:val="1052"/>
        </w:numPr>
      </w:pPr>
      <w:r>
        <w:t xml:space="preserve">TODO: state the second learning objective.</w:t>
      </w:r>
    </w:p>
    <w:p>
      <w:pPr>
        <w:pStyle w:val="Compact"/>
        <w:numPr>
          <w:ilvl w:val="0"/>
          <w:numId w:val="1052"/>
        </w:numPr>
      </w:pPr>
      <w:r>
        <w:t xml:space="preserve">TODO: state the third learning objective.</w:t>
      </w:r>
    </w:p>
    <w:bookmarkStart w:id="213" w:name="study-blueprint-11"/>
    <w:p>
      <w:pPr>
        <w:pStyle w:val="Heading3"/>
      </w:pPr>
      <w:r>
        <w:t xml:space="preserve">Study Blueprint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Big idea: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Core concepts: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Quantitative lens:</w:t>
      </w:r>
      <w:r>
        <w:t xml:space="preserve"> </w:t>
      </w:r>
      <w:r>
        <w:t xml:space="preserve">the worked formalism in eq. 13.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 skill: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Common misconception to repair:</w:t>
      </w:r>
      <w:r>
        <w:t xml:space="preserve"> 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Primary lab:</w:t>
      </w:r>
      <w:r>
        <w:t xml:space="preserve"> </w:t>
      </w:r>
      <w:r>
        <w:t xml:space="preserve">sec. 30.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42.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Bridge to computation: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.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Opening Vignette: TKTK — a motivating story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orientation-9"/>
    <w:p>
      <w:pPr>
        <w:pStyle w:val="Heading2"/>
      </w:pPr>
      <w:r>
        <w:t xml:space="preserve">Orientation</w:t>
      </w:r>
    </w:p>
    <w:p>
      <w:pPr>
        <w:pStyle w:val="FirstParagraph"/>
      </w:pPr>
      <w:r>
        <w:t xml:space="preserve">This section introduces</w:t>
      </w:r>
      <w:r>
        <w:t xml:space="preserve"> </w:t>
      </w:r>
      <w:r>
        <w:t xml:space="preserve">the central ideas of</w:t>
      </w:r>
      <w:r>
        <w:t xml:space="preserve"> </w:t>
      </w:r>
      <w:r>
        <w:rPr>
          <w:i/>
          <w:iCs/>
        </w:rPr>
        <w:t xml:space="preserve">Frontiers and Open Problems</w:t>
      </w:r>
      <w:r>
        <w:t xml:space="preserve">. Foundational treatments include</w:t>
      </w:r>
      <w:r>
        <w:t xml:space="preserve"> </w:t>
      </w:r>
      <w:r>
        <w:t xml:space="preserve">(Wilson 2021; Taylor 2019)</w:t>
      </w:r>
      <w:r>
        <w:t xml:space="preserve">. Key terms such as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,</w:t>
      </w:r>
      <w:r>
        <w:t xml:space="preserve"> </w:t>
      </w:r>
      <w:hyperlink w:anchor="gl:observable">
        <w:r>
          <w:rPr>
            <w:rStyle w:val="Hyperlink"/>
            <w:b/>
            <w:bCs/>
          </w:rPr>
          <w:t xml:space="preserve">observable</w:t>
        </w:r>
      </w:hyperlink>
      <w:r>
        <w:t xml:space="preserve">,</w:t>
      </w:r>
      <w:r>
        <w:t xml:space="preserve"> </w:t>
      </w:r>
      <w:hyperlink w:anchor="gl:system">
        <w:r>
          <w:rPr>
            <w:rStyle w:val="Hyperlink"/>
            <w:b/>
            <w:bCs/>
          </w:rPr>
          <w:t xml:space="preserve">system</w:t>
        </w:r>
      </w:hyperlink>
      <w:r>
        <w:t xml:space="preserve"> </w:t>
      </w:r>
      <w:r>
        <w:t xml:space="preserve">are defined in the glossary.</w:t>
      </w:r>
    </w:p>
    <w:bookmarkEnd w:id="215"/>
    <w:bookmarkStart w:id="218" w:name="a-worked-formalism-9"/>
    <w:p>
      <w:pPr>
        <w:pStyle w:val="Heading2"/>
      </w:pPr>
      <w:r>
        <w:t xml:space="preserve">A Worked Formalism</w:t>
      </w:r>
    </w:p>
    <w:p>
      <w:pPr>
        <w:pStyle w:val="FirstParagraph"/>
      </w:pPr>
      <w:r>
        <w:t xml:space="preserve">The recurring quantitative model for this chapter is shown in eq. 13:</w:t>
      </w:r>
    </w:p>
    <w:p>
      <w:pPr>
        <w:pStyle w:val="BodyText"/>
      </w:pPr>
      <w:bookmarkStart w:id="216" w:name="eq:part_III_frontiers_model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216"/>
    </w:p>
    <w:p>
      <w:pPr>
        <w:pStyle w:val="FirstParagraph"/>
      </w:pPr>
      <w:r>
        <w:t xml:space="preserve">It is implemented and tested in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; never retype</w:t>
      </w:r>
      <w:r>
        <w:t xml:space="preserve"> </w:t>
      </w:r>
      <w:r>
        <w:t xml:space="preserve">the maths in prose or scripts — call the tested function. The parameters appear</w:t>
      </w:r>
      <w:r>
        <w:t xml:space="preserve"> </w:t>
      </w:r>
      <w:r>
        <w:t xml:space="preserve">in tbl. 12.</w:t>
      </w:r>
    </w:p>
    <w:bookmarkStart w:id="217" w:name="tbl:part_III_frontiers_parameters"/>
    <w:p>
      <w:pPr>
        <w:pStyle w:val="TableCaption"/>
      </w:pPr>
      <w:r>
        <w:t xml:space="preserve">Table 12: Parameters of the worked model for this chapter.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Parameters of the worked model for this chapter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</w:tr>
    </w:tbl>
    <w:bookmarkEnd w:id="217"/>
    <w:p>
      <w:pPr>
        <w:pStyle w:val="BodyText"/>
      </w:pPr>
      <w:r>
        <w:t xml:space="preserve">A concept map of how the pieces fit together:</w:t>
      </w:r>
    </w:p>
    <w:p>
      <w:pPr>
        <w:pStyle w:val="BlockText"/>
      </w:pPr>
      <w:r>
        <w:rPr>
          <w:b/>
          <w:bCs/>
        </w:rPr>
        <w:t xml:space="preserve">Note</w:t>
      </w:r>
    </w:p>
    <w:bookmarkEnd w:id="218"/>
    <w:bookmarkStart w:id="219" w:name="going-deeper-9"/>
    <w:p>
      <w:pPr>
        <w:pStyle w:val="Heading2"/>
      </w:pPr>
      <w:r>
        <w:t xml:space="preserve">Going Deeper</w:t>
      </w:r>
    </w:p>
    <w:p>
      <w:pPr>
        <w:pStyle w:val="FirstParagraph"/>
      </w:pPr>
      <w:r>
        <w:t xml:space="preserve">See the overview in</w:t>
      </w:r>
      <w:r>
        <w:t xml:space="preserve"> </w:t>
      </w:r>
      <w:r>
        <w:t xml:space="preserve">fig. 12 and revisit the objectives above as you read. Further evidence:</w:t>
      </w:r>
      <w:r>
        <w:t xml:space="preserve"> </w:t>
      </w:r>
      <w:r>
        <w:t xml:space="preserve">(Wilson 2021; Taylor 2019)</w:t>
      </w:r>
      <w:r>
        <w:t xml:space="preserve">.</w:t>
      </w:r>
    </w:p>
    <w:bookmarkEnd w:id="219"/>
    <w:bookmarkStart w:id="220" w:name="summary-11"/>
    <w:p>
      <w:pPr>
        <w:pStyle w:val="Heading2"/>
      </w:pPr>
      <w:r>
        <w:t xml:space="preserve">Summary</w:t>
      </w:r>
    </w:p>
    <w:bookmarkEnd w:id="220"/>
    <w:bookmarkStart w:id="221" w:name="key-terms-11"/>
    <w:p>
      <w:pPr>
        <w:pStyle w:val="Heading2"/>
      </w:pPr>
      <w:r>
        <w:t xml:space="preserve">Key Terms</w:t>
      </w:r>
    </w:p>
    <w:p>
      <w:pPr>
        <w:pStyle w:val="FirstParagraph"/>
      </w:pP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,</w:t>
      </w:r>
      <w:r>
        <w:t xml:space="preserve"> </w:t>
      </w:r>
      <w:hyperlink w:anchor="gl:network">
        <w:r>
          <w:rPr>
            <w:rStyle w:val="Hyperlink"/>
            <w:b/>
            <w:bCs/>
          </w:rPr>
          <w:t xml:space="preserve">network</w:t>
        </w:r>
      </w:hyperlink>
      <w:r>
        <w:t xml:space="preserve">,</w:t>
      </w:r>
      <w:r>
        <w:t xml:space="preserve"> </w:t>
      </w:r>
      <w:hyperlink w:anchor="gl:dynamics">
        <w:r>
          <w:rPr>
            <w:rStyle w:val="Hyperlink"/>
            <w:b/>
            <w:bCs/>
          </w:rPr>
          <w:t xml:space="preserve">dynamics</w:t>
        </w:r>
      </w:hyperlink>
      <w:r>
        <w:t xml:space="preserve">,</w:t>
      </w:r>
      <w:r>
        <w:t xml:space="preserve"> </w:t>
      </w:r>
      <w:hyperlink w:anchor="gl:emergence">
        <w:r>
          <w:rPr>
            <w:rStyle w:val="Hyperlink"/>
            <w:b/>
            <w:bCs/>
          </w:rPr>
          <w:t xml:space="preserve">emergence</w:t>
        </w:r>
      </w:hyperlink>
      <w:r>
        <w:t xml:space="preserve">.</w:t>
      </w:r>
    </w:p>
    <w:bookmarkEnd w:id="221"/>
    <w:bookmarkStart w:id="222" w:name="further-reading-11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54"/>
        </w:numPr>
      </w:pPr>
      <w:r>
        <w:t xml:space="preserve">TODO: one-line annotation</w:t>
      </w:r>
      <w:r>
        <w:t xml:space="preserve"> </w:t>
      </w:r>
      <w:r>
        <w:t xml:space="preserve">(Smith 2020)</w:t>
      </w:r>
      <w:r>
        <w:t xml:space="preserve">.</w:t>
      </w:r>
    </w:p>
    <w:bookmarkEnd w:id="222"/>
    <w:bookmarkStart w:id="223" w:name="practice-11"/>
    <w:p>
      <w:pPr>
        <w:pStyle w:val="Heading2"/>
      </w:pPr>
      <w:r>
        <w:t xml:space="preserve">Practice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Lab:</w:t>
      </w:r>
      <w:r>
        <w:t xml:space="preserve"> </w:t>
      </w:r>
      <w:r>
        <w:t xml:space="preserve">sec. 30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Question bank:</w:t>
      </w:r>
      <w:r>
        <w:t xml:space="preserve"> </w:t>
      </w:r>
      <w:r>
        <w:t xml:space="preserve">sec. 42</w:t>
      </w:r>
    </w:p>
    <w:bookmarkEnd w:id="223"/>
    <w:bookmarkEnd w:id="224"/>
    <w:bookmarkStart w:id="231" w:name="sec:lab_part_0_orientation"/>
    <w:p>
      <w:pPr>
        <w:pStyle w:val="Heading1"/>
      </w:pPr>
      <w:r>
        <w:t xml:space="preserve">Lab — Orientation to the Field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25" w:name="objectives"/>
    <w:p>
      <w:pPr>
        <w:pStyle w:val="Heading2"/>
      </w:pPr>
      <w:r>
        <w:t xml:space="preserve">Objectives</w:t>
      </w:r>
    </w:p>
    <w:bookmarkEnd w:id="225"/>
    <w:bookmarkStart w:id="226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4.</w:t>
      </w:r>
      <w:r>
        <w:t xml:space="preserve"> </w:t>
      </w:r>
    </w:p>
    <w:bookmarkEnd w:id="226"/>
    <w:bookmarkStart w:id="227" w:name="procedure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6"/>
        </w:numPr>
      </w:pPr>
      <w:r>
        <w:t xml:space="preserve">TODO: first step.</w:t>
      </w:r>
    </w:p>
    <w:p>
      <w:pPr>
        <w:pStyle w:val="Compact"/>
        <w:numPr>
          <w:ilvl w:val="0"/>
          <w:numId w:val="1056"/>
        </w:numPr>
      </w:pPr>
      <w:r>
        <w:t xml:space="preserve">TODO: second step.</w:t>
      </w:r>
    </w:p>
    <w:bookmarkEnd w:id="227"/>
    <w:bookmarkStart w:id="22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28"/>
    <w:bookmarkStart w:id="229" w:name="computational-workflow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29"/>
    <w:bookmarkStart w:id="230" w:name="reflection"/>
    <w:p>
      <w:pPr>
        <w:pStyle w:val="Heading2"/>
      </w:pPr>
      <w:r>
        <w:t xml:space="preserve">Reflection</w:t>
      </w:r>
    </w:p>
    <w:bookmarkEnd w:id="230"/>
    <w:bookmarkEnd w:id="231"/>
    <w:bookmarkStart w:id="238" w:name="sec:lab_part_0_core_methods"/>
    <w:p>
      <w:pPr>
        <w:pStyle w:val="Heading1"/>
      </w:pPr>
      <w:r>
        <w:t xml:space="preserve">Lab — Core Methods and Tools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32" w:name="objectives-1"/>
    <w:p>
      <w:pPr>
        <w:pStyle w:val="Heading2"/>
      </w:pPr>
      <w:r>
        <w:t xml:space="preserve">Objectives</w:t>
      </w:r>
    </w:p>
    <w:bookmarkEnd w:id="232"/>
    <w:bookmarkStart w:id="233" w:name="background-1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5.</w:t>
      </w:r>
      <w:r>
        <w:t xml:space="preserve"> </w:t>
      </w:r>
    </w:p>
    <w:bookmarkEnd w:id="233"/>
    <w:bookmarkStart w:id="234" w:name="procedure-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7"/>
        </w:numPr>
      </w:pPr>
      <w:r>
        <w:t xml:space="preserve">TODO: first step.</w:t>
      </w:r>
    </w:p>
    <w:p>
      <w:pPr>
        <w:pStyle w:val="Compact"/>
        <w:numPr>
          <w:ilvl w:val="0"/>
          <w:numId w:val="1057"/>
        </w:numPr>
      </w:pPr>
      <w:r>
        <w:t xml:space="preserve">TODO: second step.</w:t>
      </w:r>
    </w:p>
    <w:bookmarkEnd w:id="234"/>
    <w:bookmarkStart w:id="235" w:name="analysis-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35"/>
    <w:bookmarkStart w:id="236" w:name="computational-workflow-1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36"/>
    <w:bookmarkStart w:id="237" w:name="reflection-1"/>
    <w:p>
      <w:pPr>
        <w:pStyle w:val="Heading2"/>
      </w:pPr>
      <w:r>
        <w:t xml:space="preserve">Reflection</w:t>
      </w:r>
    </w:p>
    <w:bookmarkEnd w:id="237"/>
    <w:bookmarkEnd w:id="238"/>
    <w:bookmarkStart w:id="245" w:name="sec:lab_part_0_quantitative_foundations"/>
    <w:p>
      <w:pPr>
        <w:pStyle w:val="Heading1"/>
      </w:pPr>
      <w:r>
        <w:t xml:space="preserve">Lab — Quantitative Foundations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39" w:name="objectives-2"/>
    <w:p>
      <w:pPr>
        <w:pStyle w:val="Heading2"/>
      </w:pPr>
      <w:r>
        <w:t xml:space="preserve">Objectives</w:t>
      </w:r>
    </w:p>
    <w:bookmarkEnd w:id="239"/>
    <w:bookmarkStart w:id="240" w:name="background-2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6.</w:t>
      </w:r>
      <w:r>
        <w:t xml:space="preserve"> </w:t>
      </w:r>
    </w:p>
    <w:bookmarkEnd w:id="240"/>
    <w:bookmarkStart w:id="241" w:name="procedure-2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8"/>
        </w:numPr>
      </w:pPr>
      <w:r>
        <w:t xml:space="preserve">TODO: first step.</w:t>
      </w:r>
    </w:p>
    <w:p>
      <w:pPr>
        <w:pStyle w:val="Compact"/>
        <w:numPr>
          <w:ilvl w:val="0"/>
          <w:numId w:val="1058"/>
        </w:numPr>
      </w:pPr>
      <w:r>
        <w:t xml:space="preserve">TODO: second step.</w:t>
      </w:r>
    </w:p>
    <w:bookmarkEnd w:id="241"/>
    <w:bookmarkStart w:id="242" w:name="analysis-2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42"/>
    <w:bookmarkStart w:id="243" w:name="computational-workflow-2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43"/>
    <w:bookmarkStart w:id="244" w:name="reflection-2"/>
    <w:p>
      <w:pPr>
        <w:pStyle w:val="Heading2"/>
      </w:pPr>
      <w:r>
        <w:t xml:space="preserve">Reflection</w:t>
      </w:r>
    </w:p>
    <w:bookmarkEnd w:id="244"/>
    <w:bookmarkEnd w:id="245"/>
    <w:bookmarkStart w:id="252" w:name="sec:lab_part_I_first_principles"/>
    <w:p>
      <w:pPr>
        <w:pStyle w:val="Heading1"/>
      </w:pPr>
      <w:r>
        <w:t xml:space="preserve">Lab — First Principles</w:t>
      </w:r>
    </w:p>
    <w:p>
      <w:pPr>
        <w:pStyle w:val="BlockText"/>
      </w:pPr>
      <w:r>
        <w:t xml:space="preserve">Lab · 60 min · Materials: a computer with the project installed (</w:t>
      </w:r>
      <w:r>
        <w:rPr>
          <w:rStyle w:val="VerbatimChar"/>
        </w:rPr>
        <w:t xml:space="preserve">uv sync</w:t>
      </w:r>
      <w:r>
        <w:t xml:space="preserve">), or</w:t>
      </w:r>
      <w:r>
        <w:t xml:space="preserve"> </w:t>
      </w:r>
      <w:r>
        <w:t xml:space="preserve">graph paper and a calculator</w:t>
      </w:r>
    </w:p>
    <w:bookmarkStart w:id="246" w:name="objectives-3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After this lab you will be able to (1) generate a logistic trajectory for chosen</w:t>
      </w:r>
      <w:r>
        <w:t xml:space="preserve"> </w:t>
      </w:r>
      <w:r>
        <w:t xml:space="preserve">parameters, (2) read its carrying capacity and half-rise time from a plot, and</w:t>
      </w:r>
      <w:r>
        <w:t xml:space="preserve"> </w:t>
      </w:r>
      <w:r>
        <w:t xml:space="preserve">(3) recover the growth rate from data with a simple fit.</w:t>
      </w:r>
    </w:p>
    <w:bookmarkEnd w:id="246"/>
    <w:bookmarkStart w:id="247" w:name="background-3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lab makes the chapter concrete: see sec. 8 for the</w:t>
      </w:r>
      <w:r>
        <w:t xml:space="preserve"> </w:t>
      </w:r>
      <w:r>
        <w:t xml:space="preserve">logistic law and the meaning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You will produce the same</w:t>
      </w:r>
      <w:r>
        <w:t xml:space="preserve"> </w:t>
      </w:r>
      <w:r>
        <w:t xml:space="preserve">S-curve shown in fig. 4 and then work backwards from</w:t>
      </w:r>
      <w:r>
        <w:t xml:space="preserve"> </w:t>
      </w:r>
      <w:r>
        <w:t xml:space="preserve">numbers to parameters.</w:t>
      </w:r>
    </w:p>
    <w:bookmarkEnd w:id="247"/>
    <w:bookmarkStart w:id="248" w:name="procedure-3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59"/>
        </w:numPr>
      </w:pPr>
      <w:r>
        <w:t xml:space="preserve">Install the project: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. Confirm the tests pass:</w:t>
      </w:r>
      <w:r>
        <w:t xml:space="preserve"> </w:t>
      </w:r>
      <w:r>
        <w:rPr>
          <w:rStyle w:val="VerbatimChar"/>
        </w:rPr>
        <w:t xml:space="preserve">uv run --extra dev python -m pytest tests/test_models.py -q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Generate a trajectory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using the computational workflow below.</w:t>
      </w:r>
    </w:p>
    <w:p>
      <w:pPr>
        <w:pStyle w:val="Compact"/>
        <w:numPr>
          <w:ilvl w:val="0"/>
          <w:numId w:val="1059"/>
        </w:numPr>
      </w:pPr>
      <w:r>
        <w:t xml:space="preserve">Plot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t</m:t>
        </m:r>
      </m:oMath>
      <w:r>
        <w:t xml:space="preserve">. Mark the value the curve approaches and the time at</w:t>
      </w:r>
      <w:r>
        <w:t xml:space="preserve"> </w:t>
      </w:r>
      <w:r>
        <w:t xml:space="preserve">which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first exceeds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Repeat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1.2</m:t>
        </m:r>
      </m:oMath>
      <w:r>
        <w:t xml:space="preserve">, keeping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fixed. Overlay the</w:t>
      </w:r>
      <w:r>
        <w:t xml:space="preserve"> </w:t>
      </w:r>
      <w:r>
        <w:t xml:space="preserve">three curves.</w:t>
      </w:r>
    </w:p>
    <w:bookmarkEnd w:id="248"/>
    <w:bookmarkStart w:id="249" w:name="analysis-3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each trajectory with</w:t>
      </w:r>
      <w:r>
        <w:t xml:space="preserve"> </w:t>
      </w:r>
      <w:r>
        <w:rPr>
          <w:rStyle w:val="VerbatimChar"/>
        </w:rPr>
        <w:t xml:space="preserve">textbook.models.descriptive_statistics(N)</w:t>
      </w:r>
      <w:r>
        <w:t xml:space="preserve"> </w:t>
      </w:r>
      <w:r>
        <w:t xml:space="preserve">and tabulate the maximum value and</w:t>
      </w:r>
      <w:r>
        <w:t xml:space="preserve"> </w:t>
      </w:r>
      <w:r>
        <w:t xml:space="preserve">the time-to-half-capacity for each</w:t>
      </w:r>
      <w:r>
        <w:t xml:space="preserve"> </w:t>
      </w:r>
      <m:oMath>
        <m:r>
          <m:t>r</m:t>
        </m:r>
      </m:oMath>
      <w:r>
        <w:t xml:space="preserve">. Describe, in one sentence, how increasing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changes the curve without changing where it ends.</w:t>
      </w:r>
    </w:p>
    <w:bookmarkEnd w:id="249"/>
    <w:bookmarkStart w:id="250" w:name="computational-workflow-3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t[np.argmax(N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N(12)=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first t with N&gt;50 is 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t_half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stats:"</w:t>
      </w:r>
      <w:r>
        <w:rPr>
          <w:rStyle w:val="NormalTok"/>
        </w:rPr>
        <w:t xml:space="preserve">, models.descriptive_statistics(N))</w:t>
      </w:r>
    </w:p>
    <w:bookmarkEnd w:id="250"/>
    <w:bookmarkStart w:id="251" w:name="reflection-3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60"/>
        </w:numPr>
      </w:pPr>
      <w:r>
        <w:t xml:space="preserve">Two of your three curves end at almost the same value. Which parameter sets</w:t>
      </w:r>
      <w:r>
        <w:t xml:space="preserve"> </w:t>
      </w:r>
      <w:r>
        <w:t xml:space="preserve">that value, and why is it independent of</w:t>
      </w:r>
      <w:r>
        <w:t xml:space="preserve"> </w:t>
      </w:r>
      <m:oMath>
        <m:r>
          <m:t>r</m:t>
        </m:r>
      </m:oMath>
      <w:r>
        <w:t xml:space="preserve">?</w:t>
      </w:r>
    </w:p>
    <w:p>
      <w:pPr>
        <w:pStyle w:val="Compact"/>
        <w:numPr>
          <w:ilvl w:val="0"/>
          <w:numId w:val="1060"/>
        </w:numPr>
      </w:pPr>
      <w:r>
        <w:t xml:space="preserve">A colleague claims the population</w:t>
      </w:r>
      <w:r>
        <w:t xml:space="preserve"> </w:t>
      </w:r>
      <w:r>
        <w:t xml:space="preserve">“will keep growing forever.”</w:t>
      </w:r>
      <w:r>
        <w:t xml:space="preserve"> </w:t>
      </w:r>
      <w:r>
        <w:t xml:space="preserve">Using</w:t>
      </w:r>
      <w:r>
        <w:t xml:space="preserve"> </w:t>
      </w:r>
      <w:r>
        <w:t xml:space="preserve">eq. 5, explain in one sentence why it will not.</w:t>
      </w:r>
    </w:p>
    <w:p>
      <w:pPr>
        <w:pStyle w:val="Compact"/>
        <w:numPr>
          <w:ilvl w:val="0"/>
          <w:numId w:val="1060"/>
        </w:numPr>
      </w:pPr>
      <w:r>
        <w:t xml:space="preserve">If your measured data rose past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then fell back, what would that tell</w:t>
      </w:r>
      <w:r>
        <w:t xml:space="preserve"> </w:t>
      </w:r>
      <w:r>
        <w:t xml:space="preserve">you about the adequacy of the logistic model for that system?</w:t>
      </w:r>
    </w:p>
    <w:bookmarkEnd w:id="251"/>
    <w:bookmarkEnd w:id="252"/>
    <w:bookmarkStart w:id="259" w:name="sec:lab_part_I_building_blocks"/>
    <w:p>
      <w:pPr>
        <w:pStyle w:val="Heading1"/>
      </w:pPr>
      <w:r>
        <w:t xml:space="preserve">Lab — Building Blocks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53" w:name="objectives-4"/>
    <w:p>
      <w:pPr>
        <w:pStyle w:val="Heading2"/>
      </w:pPr>
      <w:r>
        <w:t xml:space="preserve">Objectives</w:t>
      </w:r>
    </w:p>
    <w:bookmarkEnd w:id="253"/>
    <w:bookmarkStart w:id="254" w:name="background-4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9.</w:t>
      </w:r>
      <w:r>
        <w:t xml:space="preserve"> </w:t>
      </w:r>
    </w:p>
    <w:bookmarkEnd w:id="254"/>
    <w:bookmarkStart w:id="255" w:name="procedure-4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1"/>
        </w:numPr>
      </w:pPr>
      <w:r>
        <w:t xml:space="preserve">TODO: first step.</w:t>
      </w:r>
    </w:p>
    <w:p>
      <w:pPr>
        <w:pStyle w:val="Compact"/>
        <w:numPr>
          <w:ilvl w:val="0"/>
          <w:numId w:val="1061"/>
        </w:numPr>
      </w:pPr>
      <w:r>
        <w:t xml:space="preserve">TODO: second step.</w:t>
      </w:r>
    </w:p>
    <w:bookmarkEnd w:id="255"/>
    <w:bookmarkStart w:id="256" w:name="analysis-4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56"/>
    <w:bookmarkStart w:id="257" w:name="computational-workflow-4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57"/>
    <w:bookmarkStart w:id="258" w:name="reflection-4"/>
    <w:p>
      <w:pPr>
        <w:pStyle w:val="Heading2"/>
      </w:pPr>
      <w:r>
        <w:t xml:space="preserve">Reflection</w:t>
      </w:r>
    </w:p>
    <w:bookmarkEnd w:id="258"/>
    <w:bookmarkEnd w:id="259"/>
    <w:bookmarkStart w:id="266" w:name="sec:lab_part_I_structure_and_form"/>
    <w:p>
      <w:pPr>
        <w:pStyle w:val="Heading1"/>
      </w:pPr>
      <w:r>
        <w:t xml:space="preserve">Lab — Structure and Form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60" w:name="objectives-5"/>
    <w:p>
      <w:pPr>
        <w:pStyle w:val="Heading2"/>
      </w:pPr>
      <w:r>
        <w:t xml:space="preserve">Objectives</w:t>
      </w:r>
    </w:p>
    <w:bookmarkEnd w:id="260"/>
    <w:bookmarkStart w:id="261" w:name="background-5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10.</w:t>
      </w:r>
      <w:r>
        <w:t xml:space="preserve"> </w:t>
      </w:r>
    </w:p>
    <w:bookmarkEnd w:id="261"/>
    <w:bookmarkStart w:id="262" w:name="procedure-5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2"/>
        </w:numPr>
      </w:pPr>
      <w:r>
        <w:t xml:space="preserve">TODO: first step.</w:t>
      </w:r>
    </w:p>
    <w:p>
      <w:pPr>
        <w:pStyle w:val="Compact"/>
        <w:numPr>
          <w:ilvl w:val="0"/>
          <w:numId w:val="1062"/>
        </w:numPr>
      </w:pPr>
      <w:r>
        <w:t xml:space="preserve">TODO: second step.</w:t>
      </w:r>
    </w:p>
    <w:bookmarkEnd w:id="262"/>
    <w:bookmarkStart w:id="263" w:name="analysis-5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63"/>
    <w:bookmarkStart w:id="264" w:name="computational-workflow-5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64"/>
    <w:bookmarkStart w:id="265" w:name="reflection-5"/>
    <w:p>
      <w:pPr>
        <w:pStyle w:val="Heading2"/>
      </w:pPr>
      <w:r>
        <w:t xml:space="preserve">Reflection</w:t>
      </w:r>
    </w:p>
    <w:bookmarkEnd w:id="265"/>
    <w:bookmarkEnd w:id="266"/>
    <w:bookmarkStart w:id="273" w:name="sec:lab_part_II_systems_overview"/>
    <w:p>
      <w:pPr>
        <w:pStyle w:val="Heading1"/>
      </w:pPr>
      <w:r>
        <w:t xml:space="preserve">Lab — Systems Overview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67" w:name="objectives-6"/>
    <w:p>
      <w:pPr>
        <w:pStyle w:val="Heading2"/>
      </w:pPr>
      <w:r>
        <w:t xml:space="preserve">Objectives</w:t>
      </w:r>
    </w:p>
    <w:bookmarkEnd w:id="267"/>
    <w:bookmarkStart w:id="268" w:name="background-6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12.</w:t>
      </w:r>
      <w:r>
        <w:t xml:space="preserve"> </w:t>
      </w:r>
    </w:p>
    <w:bookmarkEnd w:id="268"/>
    <w:bookmarkStart w:id="269" w:name="procedure-6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3"/>
        </w:numPr>
      </w:pPr>
      <w:r>
        <w:t xml:space="preserve">TODO: first step.</w:t>
      </w:r>
    </w:p>
    <w:p>
      <w:pPr>
        <w:pStyle w:val="Compact"/>
        <w:numPr>
          <w:ilvl w:val="0"/>
          <w:numId w:val="1063"/>
        </w:numPr>
      </w:pPr>
      <w:r>
        <w:t xml:space="preserve">TODO: second step.</w:t>
      </w:r>
    </w:p>
    <w:bookmarkEnd w:id="269"/>
    <w:bookmarkStart w:id="270" w:name="analysis-6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70"/>
    <w:bookmarkStart w:id="271" w:name="computational-workflow-6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71"/>
    <w:bookmarkStart w:id="272" w:name="reflection-6"/>
    <w:p>
      <w:pPr>
        <w:pStyle w:val="Heading2"/>
      </w:pPr>
      <w:r>
        <w:t xml:space="preserve">Reflection</w:t>
      </w:r>
    </w:p>
    <w:bookmarkEnd w:id="272"/>
    <w:bookmarkEnd w:id="273"/>
    <w:bookmarkStart w:id="280" w:name="sec:lab_part_II_dynamics_and_change"/>
    <w:p>
      <w:pPr>
        <w:pStyle w:val="Heading1"/>
      </w:pPr>
      <w:r>
        <w:t xml:space="preserve">Lab — Dynamics and Change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74" w:name="objectives-7"/>
    <w:p>
      <w:pPr>
        <w:pStyle w:val="Heading2"/>
      </w:pPr>
      <w:r>
        <w:t xml:space="preserve">Objectives</w:t>
      </w:r>
    </w:p>
    <w:bookmarkEnd w:id="274"/>
    <w:bookmarkStart w:id="275" w:name="background-7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13.</w:t>
      </w:r>
      <w:r>
        <w:t xml:space="preserve"> </w:t>
      </w:r>
    </w:p>
    <w:bookmarkEnd w:id="275"/>
    <w:bookmarkStart w:id="276" w:name="procedure-7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4"/>
        </w:numPr>
      </w:pPr>
      <w:r>
        <w:t xml:space="preserve">TODO: first step.</w:t>
      </w:r>
    </w:p>
    <w:p>
      <w:pPr>
        <w:pStyle w:val="Compact"/>
        <w:numPr>
          <w:ilvl w:val="0"/>
          <w:numId w:val="1064"/>
        </w:numPr>
      </w:pPr>
      <w:r>
        <w:t xml:space="preserve">TODO: second step.</w:t>
      </w:r>
    </w:p>
    <w:bookmarkEnd w:id="276"/>
    <w:bookmarkStart w:id="277" w:name="analysis-7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77"/>
    <w:bookmarkStart w:id="278" w:name="computational-workflow-7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78"/>
    <w:bookmarkStart w:id="279" w:name="reflection-7"/>
    <w:p>
      <w:pPr>
        <w:pStyle w:val="Heading2"/>
      </w:pPr>
      <w:r>
        <w:t xml:space="preserve">Reflection</w:t>
      </w:r>
    </w:p>
    <w:bookmarkEnd w:id="279"/>
    <w:bookmarkEnd w:id="280"/>
    <w:bookmarkStart w:id="287" w:name="sec:lab_part_II_regulation_and_control"/>
    <w:p>
      <w:pPr>
        <w:pStyle w:val="Heading1"/>
      </w:pPr>
      <w:r>
        <w:t xml:space="preserve">Lab — Regulation and Control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81" w:name="objectives-8"/>
    <w:p>
      <w:pPr>
        <w:pStyle w:val="Heading2"/>
      </w:pPr>
      <w:r>
        <w:t xml:space="preserve">Objectives</w:t>
      </w:r>
    </w:p>
    <w:bookmarkEnd w:id="281"/>
    <w:bookmarkStart w:id="282" w:name="background-8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14.</w:t>
      </w:r>
      <w:r>
        <w:t xml:space="preserve"> </w:t>
      </w:r>
    </w:p>
    <w:bookmarkEnd w:id="282"/>
    <w:bookmarkStart w:id="283" w:name="procedure-8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5"/>
        </w:numPr>
      </w:pPr>
      <w:r>
        <w:t xml:space="preserve">TODO: first step.</w:t>
      </w:r>
    </w:p>
    <w:p>
      <w:pPr>
        <w:pStyle w:val="Compact"/>
        <w:numPr>
          <w:ilvl w:val="0"/>
          <w:numId w:val="1065"/>
        </w:numPr>
      </w:pPr>
      <w:r>
        <w:t xml:space="preserve">TODO: second step.</w:t>
      </w:r>
    </w:p>
    <w:bookmarkEnd w:id="283"/>
    <w:bookmarkStart w:id="284" w:name="analysis-8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84"/>
    <w:bookmarkStart w:id="285" w:name="computational-workflow-8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85"/>
    <w:bookmarkStart w:id="286" w:name="reflection-8"/>
    <w:p>
      <w:pPr>
        <w:pStyle w:val="Heading2"/>
      </w:pPr>
      <w:r>
        <w:t xml:space="preserve">Reflection</w:t>
      </w:r>
    </w:p>
    <w:bookmarkEnd w:id="286"/>
    <w:bookmarkEnd w:id="287"/>
    <w:bookmarkStart w:id="294" w:name="sec:lab_part_III_applied_models"/>
    <w:p>
      <w:pPr>
        <w:pStyle w:val="Heading1"/>
      </w:pPr>
      <w:r>
        <w:t xml:space="preserve">Lab — Applied Models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288" w:name="objectives-9"/>
    <w:p>
      <w:pPr>
        <w:pStyle w:val="Heading2"/>
      </w:pPr>
      <w:r>
        <w:t xml:space="preserve">Objectives</w:t>
      </w:r>
    </w:p>
    <w:bookmarkEnd w:id="288"/>
    <w:bookmarkStart w:id="289" w:name="background-9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16.</w:t>
      </w:r>
      <w:r>
        <w:t xml:space="preserve"> </w:t>
      </w:r>
    </w:p>
    <w:bookmarkEnd w:id="289"/>
    <w:bookmarkStart w:id="290" w:name="procedure-9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6"/>
        </w:numPr>
      </w:pPr>
      <w:r>
        <w:t xml:space="preserve">TODO: first step.</w:t>
      </w:r>
    </w:p>
    <w:p>
      <w:pPr>
        <w:pStyle w:val="Compact"/>
        <w:numPr>
          <w:ilvl w:val="0"/>
          <w:numId w:val="1066"/>
        </w:numPr>
      </w:pPr>
      <w:r>
        <w:t xml:space="preserve">TODO: second step.</w:t>
      </w:r>
    </w:p>
    <w:bookmarkEnd w:id="290"/>
    <w:bookmarkStart w:id="291" w:name="analysis-9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291"/>
    <w:bookmarkStart w:id="292" w:name="computational-workflow-9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292"/>
    <w:bookmarkStart w:id="293" w:name="reflection-9"/>
    <w:p>
      <w:pPr>
        <w:pStyle w:val="Heading2"/>
      </w:pPr>
      <w:r>
        <w:t xml:space="preserve">Reflection</w:t>
      </w:r>
    </w:p>
    <w:bookmarkEnd w:id="293"/>
    <w:bookmarkEnd w:id="294"/>
    <w:bookmarkStart w:id="301" w:name="sec:lab_part_III_case_studies"/>
    <w:p>
      <w:pPr>
        <w:pStyle w:val="Heading1"/>
      </w:pPr>
      <w:r>
        <w:t xml:space="preserve">Lab — Case Studies</w:t>
      </w:r>
    </w:p>
    <w:p>
      <w:pPr>
        <w:pStyle w:val="BlockText"/>
      </w:pPr>
      <w:r>
        <w:t xml:space="preserve">Lab · 75 min · Materials: the project installed (</w:t>
      </w:r>
      <w:r>
        <w:rPr>
          <w:rStyle w:val="VerbatimChar"/>
        </w:rPr>
        <w:t xml:space="preserve">uv sync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assets/data/sample_dataset.csv</w:t>
      </w:r>
    </w:p>
    <w:bookmarkStart w:id="295" w:name="objectives-10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After this lab you will be able to (1) load grouped data, (2) compute per-group</w:t>
      </w:r>
      <w:r>
        <w:t xml:space="preserve"> </w:t>
      </w:r>
      <w:r>
        <w:t xml:space="preserve">means and an overall summary, (3) fit a dose–response trend, and (4) state where</w:t>
      </w:r>
      <w:r>
        <w:t xml:space="preserve"> </w:t>
      </w:r>
      <w:r>
        <w:t xml:space="preserve">the fit may and may not be trusted.</w:t>
      </w:r>
    </w:p>
    <w:bookmarkEnd w:id="295"/>
    <w:bookmarkStart w:id="296" w:name="background-10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lab operationalises sec. 17. You will reproduce the</w:t>
      </w:r>
      <w:r>
        <w:t xml:space="preserve"> </w:t>
      </w:r>
      <w:r>
        <w:t xml:space="preserve">chapter’s numbers (group means</w:t>
      </w:r>
      <w:r>
        <w:t xml:space="preserve"> </w:t>
      </w:r>
      <m:oMath>
        <m:r>
          <m:t>2.20</m:t>
        </m:r>
      </m:oMath>
      <w:r>
        <w:t xml:space="preserve">,</w:t>
      </w:r>
      <w:r>
        <w:t xml:space="preserve"> </w:t>
      </w:r>
      <m:oMath>
        <m:r>
          <m:t>3.50</m:t>
        </m:r>
      </m:oMath>
      <w:r>
        <w:t xml:space="preserve">,</w:t>
      </w:r>
      <w:r>
        <w:t xml:space="preserve"> </w:t>
      </w:r>
      <m:oMath>
        <m:r>
          <m:t>4.95</m:t>
        </m:r>
      </m:oMath>
      <w:r>
        <w:t xml:space="preserve">; fitted slope</w:t>
      </w:r>
      <w:r>
        <w:t xml:space="preserve"> </w:t>
      </w:r>
      <m:oMath>
        <m:r>
          <m:rPr>
            <m:sty m:val="p"/>
          </m:rPr>
          <m:t>≈</m:t>
        </m:r>
        <m:r>
          <m:t>1.375</m:t>
        </m:r>
      </m:oMath>
      <w:r>
        <w:t xml:space="preserve">) and then probe the fit’s limits by adding a condition.</w:t>
      </w:r>
    </w:p>
    <w:bookmarkEnd w:id="296"/>
    <w:bookmarkStart w:id="297" w:name="procedure-10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7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 </w:t>
      </w:r>
      <w:r>
        <w:t xml:space="preserve">into three groups (control, low, high).</w:t>
      </w:r>
    </w:p>
    <w:p>
      <w:pPr>
        <w:pStyle w:val="Compact"/>
        <w:numPr>
          <w:ilvl w:val="0"/>
          <w:numId w:val="1067"/>
        </w:numPr>
      </w:pPr>
      <w:r>
        <w:t xml:space="preserve">Compute each group’s mean and the overall summary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Encode dose 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fit a line with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.</w:t>
      </w:r>
      <w:r>
        <w:t xml:space="preserve"> </w:t>
      </w:r>
      <w:r>
        <w:t xml:space="preserve">Confirm slope</w:t>
      </w:r>
      <w:r>
        <w:t xml:space="preserve"> </w:t>
      </w:r>
      <m:oMath>
        <m:r>
          <m:rPr>
            <m:sty m:val="p"/>
          </m:rPr>
          <m:t>≈</m:t>
        </m:r>
        <m:r>
          <m:t>1.375</m:t>
        </m:r>
      </m:oMath>
      <w:r>
        <w:t xml:space="preserve">, intercept</w:t>
      </w:r>
      <w:r>
        <w:t xml:space="preserve"> </w:t>
      </w:r>
      <m:oMath>
        <m:r>
          <m:rPr>
            <m:sty m:val="p"/>
          </m:rPr>
          <m:t>≈</m:t>
        </m:r>
        <m:r>
          <m:t>2.175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0.999</m:t>
        </m:r>
      </m:oMath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Add a hypothetical fourth condition (dose</w:t>
      </w:r>
      <w:r>
        <w:t xml:space="preserve"> </w:t>
      </w:r>
      <m:oMath>
        <m:r>
          <m:t>3</m:t>
        </m:r>
      </m:oMath>
      <w:r>
        <w:t xml:space="preserve">) with a</w:t>
      </w:r>
      <w:r>
        <w:t xml:space="preserve"> </w:t>
      </w:r>
      <w:r>
        <w:rPr>
          <w:i/>
          <w:iCs/>
        </w:rPr>
        <w:t xml:space="preserve">saturating</w:t>
      </w:r>
      <w:r>
        <w:t xml:space="preserve"> </w:t>
      </w:r>
      <w:r>
        <w:t xml:space="preserve">response —</w:t>
      </w:r>
      <w:r>
        <w:t xml:space="preserve"> </w:t>
      </w:r>
      <w:r>
        <w:t xml:space="preserve">say a mean of</w:t>
      </w:r>
      <w:r>
        <w:t xml:space="preserve"> </w:t>
      </w:r>
      <m:oMath>
        <m:r>
          <m:t>5.3</m:t>
        </m:r>
      </m:oMath>
      <w:r>
        <w:t xml:space="preserve"> </w:t>
      </w:r>
      <w:r>
        <w:t xml:space="preserve">rather than the linear prediction of</w:t>
      </w:r>
      <w:r>
        <w:t xml:space="preserve"> </w:t>
      </w:r>
      <m:oMath>
        <m:r>
          <m:t>6.3</m:t>
        </m:r>
      </m:oMath>
      <w:r>
        <w:t xml:space="preserve"> </w:t>
      </w:r>
      <w:r>
        <w:t xml:space="preserve">— refit, and</w:t>
      </w:r>
      <w:r>
        <w:t xml:space="preserve"> </w:t>
      </w:r>
      <w:r>
        <w:t xml:space="preserve">compare the new slope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97"/>
    <w:bookmarkStart w:id="298" w:name="analysis-10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Tabulate the slope, intercept,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three-point and four-point fits.</w:t>
      </w:r>
      <w:r>
        <w:t xml:space="preserve"> </w:t>
      </w:r>
      <w:r>
        <w:t xml:space="preserve">In two sentences, explain why the four-point fit’s slope falls and what that</w:t>
      </w:r>
      <w:r>
        <w:t xml:space="preserve"> </w:t>
      </w:r>
      <w:r>
        <w:t xml:space="preserve">implies about extrapolating the original line.</w:t>
      </w:r>
    </w:p>
    <w:bookmarkEnd w:id="298"/>
    <w:bookmarkStart w:id="299" w:name="computational-workflow-10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(csv.DictReader(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"manuscript/assets/data/sample_dataset.csv"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groups: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groups.setdefault(r[</w:t>
      </w:r>
      <w:r>
        <w:rPr>
          <w:rStyle w:val="StringTok"/>
        </w:rPr>
        <w:t xml:space="preserve">"condition"</w:t>
      </w:r>
      <w:r>
        <w:rPr>
          <w:rStyle w:val="NormalTok"/>
        </w:rPr>
        <w:t xml:space="preserve">], []).append(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(np.mean(v))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groups.items()}</w:t>
      </w:r>
      <w:r>
        <w:br/>
      </w:r>
      <w:r>
        <w:rPr>
          <w:rStyle w:val="NormalTok"/>
        </w:rPr>
        <w:t xml:space="preserve">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np.array([means[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], means[</w:t>
      </w:r>
      <w:r>
        <w:rPr>
          <w:rStyle w:val="StringTok"/>
        </w:rPr>
        <w:t xml:space="preserve">"treatment_low"</w:t>
      </w:r>
      <w:r>
        <w:rPr>
          <w:rStyle w:val="NormalTok"/>
        </w:rPr>
        <w:t xml:space="preserve">], means[</w:t>
      </w:r>
      <w:r>
        <w:rPr>
          <w:rStyle w:val="StringTok"/>
        </w:rPr>
        <w:t xml:space="preserve">"treatment_high"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(models.linear_fit(dose, response))</w:t>
      </w:r>
    </w:p>
    <w:bookmarkEnd w:id="299"/>
    <w:bookmarkStart w:id="300" w:name="reflection-10"/>
    <w:p>
      <w:pPr>
        <w:pStyle w:val="Heading2"/>
      </w:pPr>
      <w:r>
        <w:t xml:space="preserve">Reflection</w:t>
      </w:r>
    </w:p>
    <w:p>
      <w:pPr>
        <w:pStyle w:val="Compact"/>
        <w:numPr>
          <w:ilvl w:val="0"/>
          <w:numId w:val="1068"/>
        </w:numPr>
      </w:pPr>
      <w:r>
        <w:t xml:space="preserve">The intercept of the fit was close to the control mean. Why is that a useful</w:t>
      </w:r>
      <w:r>
        <w:t xml:space="preserve"> </w:t>
      </w:r>
      <w:r>
        <w:t xml:space="preserve">internal consistency check?</w:t>
      </w:r>
    </w:p>
    <w:p>
      <w:pPr>
        <w:pStyle w:val="Compact"/>
        <w:numPr>
          <w:ilvl w:val="0"/>
          <w:numId w:val="1068"/>
        </w:numPr>
      </w:pPr>
      <w:r>
        <w:t xml:space="preserve">Your four-point fit changed the slope. Which is the more honest summary of the</w:t>
      </w:r>
      <w:r>
        <w:t xml:space="preserve"> </w:t>
      </w:r>
      <w:r>
        <w:t xml:space="preserve">system, and what would you measure next to decide?</w:t>
      </w:r>
    </w:p>
    <w:p>
      <w:pPr>
        <w:pStyle w:val="Compact"/>
        <w:numPr>
          <w:ilvl w:val="0"/>
          <w:numId w:val="1068"/>
        </w:numPr>
      </w:pPr>
      <w:r>
        <w:t xml:space="preserve">When is a straight-line dose–response model adequate, and when does the</w:t>
      </w:r>
      <w:r>
        <w:t xml:space="preserve"> </w:t>
      </w:r>
      <w:r>
        <w:t xml:space="preserve">saturating model from sec. 8 become necessary?</w:t>
      </w:r>
    </w:p>
    <w:bookmarkEnd w:id="300"/>
    <w:bookmarkEnd w:id="301"/>
    <w:bookmarkStart w:id="308" w:name="sec:lab_part_III_frontiers"/>
    <w:p>
      <w:pPr>
        <w:pStyle w:val="Heading1"/>
      </w:pPr>
      <w:r>
        <w:t xml:space="preserve">Lab — Frontiers and Open Problems</w:t>
      </w:r>
    </w:p>
    <w:p>
      <w:pPr>
        <w:pStyle w:val="BlockText"/>
      </w:pPr>
      <w:r>
        <w:t xml:space="preserve">Lab · 60 min · Materials: notebook, calculator (or</w:t>
      </w:r>
      <w:r>
        <w:t xml:space="preserve"> </w:t>
      </w:r>
      <w:r>
        <w:rPr>
          <w:rStyle w:val="VerbatimChar"/>
        </w:rPr>
        <w:t xml:space="preserve">textbook.models</w:t>
      </w:r>
      <w:r>
        <w:t xml:space="preserve">)</w:t>
      </w:r>
    </w:p>
    <w:bookmarkStart w:id="302" w:name="objectives-11"/>
    <w:p>
      <w:pPr>
        <w:pStyle w:val="Heading2"/>
      </w:pPr>
      <w:r>
        <w:t xml:space="preserve">Objectives</w:t>
      </w:r>
    </w:p>
    <w:bookmarkEnd w:id="302"/>
    <w:bookmarkStart w:id="303" w:name="background-11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Linked chapter: sec. 18.</w:t>
      </w:r>
      <w:r>
        <w:t xml:space="preserve"> </w:t>
      </w:r>
    </w:p>
    <w:bookmarkEnd w:id="303"/>
    <w:bookmarkStart w:id="304" w:name="procedure-11"/>
    <w:p>
      <w:pPr>
        <w:pStyle w:val="Heading2"/>
      </w:pPr>
      <w:r>
        <w:t xml:space="preserve">Procedure</w:t>
      </w:r>
    </w:p>
    <w:p>
      <w:pPr>
        <w:pStyle w:val="Compact"/>
        <w:numPr>
          <w:ilvl w:val="0"/>
          <w:numId w:val="1069"/>
        </w:numPr>
      </w:pPr>
      <w:r>
        <w:t xml:space="preserve">TODO: first step.</w:t>
      </w:r>
    </w:p>
    <w:p>
      <w:pPr>
        <w:pStyle w:val="Compact"/>
        <w:numPr>
          <w:ilvl w:val="0"/>
          <w:numId w:val="1069"/>
        </w:numPr>
      </w:pPr>
      <w:r>
        <w:t xml:space="preserve">TODO: second step.</w:t>
      </w:r>
    </w:p>
    <w:bookmarkEnd w:id="304"/>
    <w:bookmarkStart w:id="305" w:name="analysis-1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Summarise results with</w:t>
      </w:r>
      <w:r>
        <w:t xml:space="preserve"> </w:t>
      </w:r>
      <w:r>
        <w:rPr>
          <w:rStyle w:val="VerbatimChar"/>
        </w:rPr>
        <w:t xml:space="preserve">textbook.models.descriptive_statistics</w:t>
      </w:r>
      <w:r>
        <w:t xml:space="preserve">.</w:t>
      </w:r>
    </w:p>
    <w:bookmarkEnd w:id="305"/>
    <w:bookmarkStart w:id="306" w:name="computational-workflow-11"/>
    <w:p>
      <w:pPr>
        <w:pStyle w:val="Heading2"/>
      </w:pPr>
      <w:r>
        <w:t xml:space="preserve">Computational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logistic_growth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parameterise and plot the model for this lab's scenario.</w:t>
      </w:r>
    </w:p>
    <w:bookmarkEnd w:id="306"/>
    <w:bookmarkStart w:id="307" w:name="reflection-11"/>
    <w:p>
      <w:pPr>
        <w:pStyle w:val="Heading2"/>
      </w:pPr>
      <w:r>
        <w:t xml:space="preserve">Reflection</w:t>
      </w:r>
    </w:p>
    <w:bookmarkEnd w:id="307"/>
    <w:bookmarkEnd w:id="308"/>
    <w:bookmarkStart w:id="312" w:name="sec:q_part_0_orientation"/>
    <w:p>
      <w:pPr>
        <w:pStyle w:val="Heading1"/>
      </w:pPr>
      <w:r>
        <w:t xml:space="preserve">Question Bank — Orientation to the Field</w:t>
      </w:r>
    </w:p>
    <w:p>
      <w:pPr>
        <w:pStyle w:val="FirstParagraph"/>
      </w:pPr>
      <w:r>
        <w:t xml:space="preserve">Linked chapter: sec. 4.</w:t>
      </w:r>
    </w:p>
    <w:bookmarkStart w:id="309" w:name="recall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09"/>
    <w:bookmarkStart w:id="310" w:name="application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0"/>
    <w:bookmarkStart w:id="311" w:name="synthesis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1"/>
    <w:bookmarkEnd w:id="312"/>
    <w:bookmarkStart w:id="316" w:name="sec:q_part_0_core_methods"/>
    <w:p>
      <w:pPr>
        <w:pStyle w:val="Heading1"/>
      </w:pPr>
      <w:r>
        <w:t xml:space="preserve">Question Bank — Core Methods and Tools</w:t>
      </w:r>
    </w:p>
    <w:p>
      <w:pPr>
        <w:pStyle w:val="FirstParagraph"/>
      </w:pPr>
      <w:r>
        <w:t xml:space="preserve">Linked chapter: sec. 5.</w:t>
      </w:r>
    </w:p>
    <w:bookmarkStart w:id="313" w:name="recall-1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3"/>
    <w:bookmarkStart w:id="314" w:name="application-1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4"/>
    <w:bookmarkStart w:id="315" w:name="synthesis-1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5"/>
    <w:bookmarkEnd w:id="316"/>
    <w:bookmarkStart w:id="320" w:name="sec:q_part_0_quantitative_foundations"/>
    <w:p>
      <w:pPr>
        <w:pStyle w:val="Heading1"/>
      </w:pPr>
      <w:r>
        <w:t xml:space="preserve">Question Bank — Quantitative Foundations</w:t>
      </w:r>
    </w:p>
    <w:p>
      <w:pPr>
        <w:pStyle w:val="FirstParagraph"/>
      </w:pPr>
      <w:r>
        <w:t xml:space="preserve">Linked chapter: sec. 6.</w:t>
      </w:r>
    </w:p>
    <w:bookmarkStart w:id="317" w:name="recall-2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7"/>
    <w:bookmarkStart w:id="318" w:name="application-2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7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8"/>
    <w:bookmarkStart w:id="319" w:name="synthesis-2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7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19"/>
    <w:bookmarkEnd w:id="320"/>
    <w:bookmarkStart w:id="324" w:name="sec:q_part_I_first_principles"/>
    <w:p>
      <w:pPr>
        <w:pStyle w:val="Heading1"/>
      </w:pPr>
      <w:r>
        <w:t xml:space="preserve">Question Bank — First Principles</w:t>
      </w:r>
    </w:p>
    <w:p>
      <w:pPr>
        <w:pStyle w:val="FirstParagraph"/>
      </w:pPr>
      <w:r>
        <w:t xml:space="preserve">Linked chapter: sec. 8. Answers follow each question in</w:t>
      </w:r>
      <w:r>
        <w:t xml:space="preserve"> </w:t>
      </w:r>
      <w:r>
        <w:t xml:space="preserve">italics; in a print build, move them to an answer key if you prefer.</w:t>
      </w:r>
    </w:p>
    <w:bookmarkStart w:id="321" w:name="recall-3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79"/>
        </w:numPr>
      </w:pPr>
      <w:r>
        <w:t xml:space="preserve">In the logistic model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symbols are parameters and which is the</w:t>
      </w:r>
      <w:r>
        <w:t xml:space="preserve"> </w:t>
      </w:r>
      <w:r>
        <w:t xml:space="preserve">variable?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parameters held fixed;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variable</w:t>
      </w:r>
      <w:r>
        <w:rPr>
          <w:i/>
          <w:iCs/>
        </w:rPr>
        <w:t xml:space="preserve"> </w:t>
      </w:r>
      <w:r>
        <w:rPr>
          <w:i/>
          <w:iCs/>
        </w:rPr>
        <w:t xml:space="preserve">that changes with time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79"/>
        </w:numPr>
      </w:pPr>
      <w:r>
        <w:t xml:space="preserve">What value does a logistic trajectory approach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?</w:t>
      </w:r>
      <w:r>
        <w:t xml:space="preserve"> </w:t>
      </w:r>
      <w:r>
        <w:rPr>
          <w:i/>
          <w:iCs/>
        </w:rPr>
        <w:t xml:space="preserve">(Answer: the carrying capacity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.)</w:t>
      </w:r>
    </w:p>
    <w:bookmarkEnd w:id="321"/>
    <w:bookmarkStart w:id="322" w:name="application-3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0"/>
        </w:numPr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the chapter reports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74.18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99.37</m:t>
        </m:r>
      </m:oMath>
      <w:r>
        <w:t xml:space="preserve">. Roughly what fraction of the carrying capacity remains</w:t>
      </w:r>
      <w:r>
        <w:t xml:space="preserve"> </w:t>
      </w:r>
      <w:r>
        <w:t xml:space="preserve">unfilled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?</w:t>
      </w:r>
      <w:r>
        <w:t xml:space="preserve"> </w:t>
      </w:r>
      <w:r>
        <w:rPr>
          <w:i/>
          <w:iCs/>
        </w:rPr>
        <w:t xml:space="preserve">(Answer: about</w:t>
      </w:r>
      <w:r>
        <w:rPr>
          <w:i/>
          <w:iCs/>
        </w:rPr>
        <w:t xml:space="preserve"> </w:t>
      </w:r>
      <m:oMath>
        <m:r>
          <m:t>0.63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within one part in a hundred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80"/>
        </w:numPr>
      </w:pPr>
      <w:r>
        <w:t xml:space="preserve">Doubling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changes the curve in what way, and what does</w:t>
      </w:r>
      <w:r>
        <w:t xml:space="preserve"> </w:t>
      </w:r>
      <w:r>
        <w:t xml:space="preserve">it leave unchanged?</w:t>
      </w:r>
      <w:r>
        <w:t xml:space="preserve"> </w:t>
      </w:r>
      <w:r>
        <w:rPr>
          <w:i/>
          <w:iCs/>
        </w:rPr>
        <w:t xml:space="preserve">(Answer: the curve rises and reaches the neighbourhood of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sooner — a</w:t>
      </w:r>
      <w:r>
        <w:rPr>
          <w:i/>
          <w:iCs/>
        </w:rPr>
        <w:t xml:space="preserve"> </w:t>
      </w:r>
      <w:r>
        <w:rPr>
          <w:i/>
          <w:iCs/>
        </w:rPr>
        <w:t xml:space="preserve">steeper S — but the final level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unchanged because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separate</w:t>
      </w:r>
      <w:r>
        <w:rPr>
          <w:i/>
          <w:iCs/>
        </w:rPr>
        <w:t xml:space="preserve"> </w:t>
      </w:r>
      <w:r>
        <w:rPr>
          <w:i/>
          <w:iCs/>
        </w:rPr>
        <w:t xml:space="preserve">parameter.)</w:t>
      </w:r>
    </w:p>
    <w:bookmarkEnd w:id="322"/>
    <w:bookmarkStart w:id="323" w:name="synthesis-3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1"/>
        </w:numPr>
      </w:pPr>
      <w:r>
        <w:t xml:space="preserve">A dataset grows nearly exponentially at first, then levels off, but the plateau</w:t>
      </w:r>
      <w:r>
        <w:t xml:space="preserve"> </w:t>
      </w:r>
      <w:r>
        <w:t xml:space="preserve">sits well below the resources you believe are available. Propose one</w:t>
      </w:r>
      <w:r>
        <w:t xml:space="preserve"> </w:t>
      </w:r>
      <w:r>
        <w:t xml:space="preserve">modification to the logistic model that could explain a lower-than-expected</w:t>
      </w:r>
      <w:r>
        <w:t xml:space="preserve"> </w:t>
      </w:r>
      <w:r>
        <w:t xml:space="preserve">plateau, and name the parameter it would change.</w:t>
      </w:r>
      <w:r>
        <w:t xml:space="preserve"> </w:t>
      </w:r>
      <w:r>
        <w:rPr>
          <w:i/>
          <w:iCs/>
        </w:rPr>
        <w:t xml:space="preserve">(Answer: any mechanism that effectively lowers the carrying capacity —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competition, a toxin, or a resource cap — would reduce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; the plateau tracks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 not the nominal resource supply. Accept reasoned alternatives.)</w:t>
      </w:r>
    </w:p>
    <w:bookmarkEnd w:id="323"/>
    <w:bookmarkEnd w:id="324"/>
    <w:bookmarkStart w:id="328" w:name="sec:q_part_I_building_blocks"/>
    <w:p>
      <w:pPr>
        <w:pStyle w:val="Heading1"/>
      </w:pPr>
      <w:r>
        <w:t xml:space="preserve">Question Bank — Building Blocks</w:t>
      </w:r>
    </w:p>
    <w:p>
      <w:pPr>
        <w:pStyle w:val="FirstParagraph"/>
      </w:pPr>
      <w:r>
        <w:t xml:space="preserve">Linked chapter: sec. 9.</w:t>
      </w:r>
    </w:p>
    <w:bookmarkStart w:id="325" w:name="recall-4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5"/>
    <w:bookmarkStart w:id="326" w:name="application-4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6"/>
    <w:bookmarkStart w:id="327" w:name="synthesis-4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7"/>
    <w:bookmarkEnd w:id="328"/>
    <w:bookmarkStart w:id="332" w:name="sec:q_part_I_structure_and_form"/>
    <w:p>
      <w:pPr>
        <w:pStyle w:val="Heading1"/>
      </w:pPr>
      <w:r>
        <w:t xml:space="preserve">Question Bank — Structure and Form</w:t>
      </w:r>
    </w:p>
    <w:p>
      <w:pPr>
        <w:pStyle w:val="FirstParagraph"/>
      </w:pPr>
      <w:r>
        <w:t xml:space="preserve">Linked chapter: sec. 10.</w:t>
      </w:r>
    </w:p>
    <w:bookmarkStart w:id="329" w:name="recall-5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29"/>
    <w:bookmarkStart w:id="330" w:name="application-5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0"/>
    <w:bookmarkStart w:id="331" w:name="synthesis-5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8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1"/>
    <w:bookmarkEnd w:id="332"/>
    <w:bookmarkStart w:id="336" w:name="sec:q_part_II_systems_overview"/>
    <w:p>
      <w:pPr>
        <w:pStyle w:val="Heading1"/>
      </w:pPr>
      <w:r>
        <w:t xml:space="preserve">Question Bank — Systems Overview</w:t>
      </w:r>
    </w:p>
    <w:p>
      <w:pPr>
        <w:pStyle w:val="FirstParagraph"/>
      </w:pPr>
      <w:r>
        <w:t xml:space="preserve">Linked chapter: sec. 12.</w:t>
      </w:r>
    </w:p>
    <w:bookmarkStart w:id="333" w:name="recall-6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8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3"/>
    <w:bookmarkStart w:id="334" w:name="application-6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8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8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4"/>
    <w:bookmarkStart w:id="335" w:name="synthesis-6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0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5"/>
    <w:bookmarkEnd w:id="336"/>
    <w:bookmarkStart w:id="340" w:name="sec:q_part_II_dynamics_and_change"/>
    <w:p>
      <w:pPr>
        <w:pStyle w:val="Heading1"/>
      </w:pPr>
      <w:r>
        <w:t xml:space="preserve">Question Bank — Dynamics and Change</w:t>
      </w:r>
    </w:p>
    <w:p>
      <w:pPr>
        <w:pStyle w:val="FirstParagraph"/>
      </w:pPr>
      <w:r>
        <w:t xml:space="preserve">Linked chapter: sec. 13.</w:t>
      </w:r>
    </w:p>
    <w:bookmarkStart w:id="337" w:name="recall-7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1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7"/>
    <w:bookmarkStart w:id="338" w:name="application-7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2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8"/>
    <w:bookmarkStart w:id="339" w:name="synthesis-7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39"/>
    <w:bookmarkEnd w:id="340"/>
    <w:bookmarkStart w:id="344" w:name="sec:q_part_II_regulation_and_control"/>
    <w:p>
      <w:pPr>
        <w:pStyle w:val="Heading1"/>
      </w:pPr>
      <w:r>
        <w:t xml:space="preserve">Question Bank — Regulation and Control</w:t>
      </w:r>
    </w:p>
    <w:p>
      <w:pPr>
        <w:pStyle w:val="FirstParagraph"/>
      </w:pPr>
      <w:r>
        <w:t xml:space="preserve">Linked chapter: sec. 14.</w:t>
      </w:r>
    </w:p>
    <w:bookmarkStart w:id="341" w:name="recall-8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1"/>
    <w:bookmarkStart w:id="342" w:name="application-8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2"/>
    <w:bookmarkStart w:id="343" w:name="synthesis-8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6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3"/>
    <w:bookmarkEnd w:id="344"/>
    <w:bookmarkStart w:id="348" w:name="sec:q_part_III_applied_models"/>
    <w:p>
      <w:pPr>
        <w:pStyle w:val="Heading1"/>
      </w:pPr>
      <w:r>
        <w:t xml:space="preserve">Question Bank — Applied Models</w:t>
      </w:r>
    </w:p>
    <w:p>
      <w:pPr>
        <w:pStyle w:val="FirstParagraph"/>
      </w:pPr>
      <w:r>
        <w:t xml:space="preserve">Linked chapter: sec. 16.</w:t>
      </w:r>
    </w:p>
    <w:bookmarkStart w:id="345" w:name="recall-9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09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7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5"/>
    <w:bookmarkStart w:id="346" w:name="application-9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09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98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6"/>
    <w:bookmarkStart w:id="347" w:name="synthesis-9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099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47"/>
    <w:bookmarkEnd w:id="348"/>
    <w:bookmarkStart w:id="352" w:name="sec:q_part_III_case_studies"/>
    <w:p>
      <w:pPr>
        <w:pStyle w:val="Heading1"/>
      </w:pPr>
      <w:r>
        <w:t xml:space="preserve">Question Bank — Case Studies</w:t>
      </w:r>
    </w:p>
    <w:p>
      <w:pPr>
        <w:pStyle w:val="FirstParagraph"/>
      </w:pPr>
      <w:r>
        <w:t xml:space="preserve">Linked chapter: sec. 17. Answers follow each question in</w:t>
      </w:r>
      <w:r>
        <w:t xml:space="preserve"> </w:t>
      </w:r>
      <w:r>
        <w:t xml:space="preserve">italics.</w:t>
      </w:r>
    </w:p>
    <w:bookmarkStart w:id="349" w:name="recall-10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100"/>
        </w:numPr>
      </w:pPr>
      <w:r>
        <w:t xml:space="preserve">What two summary numbers does the chapter report for each condition group, and</w:t>
      </w:r>
      <w:r>
        <w:t xml:space="preserve"> </w:t>
      </w:r>
      <w:r>
        <w:t xml:space="preserve">which function computes them?</w:t>
      </w:r>
      <w:r>
        <w:t xml:space="preserve"> </w:t>
      </w:r>
      <w:r>
        <w:rPr>
          <w:i/>
          <w:iCs/>
        </w:rPr>
        <w:t xml:space="preserve">(Answer: the per-group mean — e.g. </w:t>
      </w:r>
      <m:oMath>
        <m:r>
          <m:t>2.20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3.50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4.95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plus an overall</w:t>
      </w:r>
      <w:r>
        <w:rPr>
          <w:i/>
          <w:iCs/>
        </w:rPr>
        <w:t xml:space="preserve"> </w:t>
      </w:r>
      <w:r>
        <w:rPr>
          <w:i/>
          <w:iCs/>
        </w:rPr>
        <w:t xml:space="preserve">spread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textbook.models.descriptive_statistics</w:t>
      </w:r>
      <w:r>
        <w:rPr>
          <w:i/>
          <w:iCs/>
        </w:rPr>
        <w:t xml:space="preserve">, which returns mean, std,</w:t>
      </w:r>
      <w:r>
        <w:rPr>
          <w:i/>
          <w:iCs/>
        </w:rPr>
        <w:t xml:space="preserve"> </w:t>
      </w:r>
      <w:r>
        <w:rPr>
          <w:i/>
          <w:iCs/>
        </w:rPr>
        <w:t xml:space="preserve">min, max, and count.)</w:t>
      </w:r>
    </w:p>
    <w:p>
      <w:pPr>
        <w:pStyle w:val="Compact"/>
        <w:numPr>
          <w:ilvl w:val="0"/>
          <w:numId w:val="1100"/>
        </w:numPr>
      </w:pPr>
      <w:r>
        <w:t xml:space="preserve">What do the slope and intercept of the fitted line</w:t>
      </w:r>
      <w:r>
        <w:t xml:space="preserve"> </w:t>
      </w:r>
      <w:r>
        <w:t xml:space="preserve">eq. 12 represent?</w:t>
      </w:r>
      <w:r>
        <w:t xml:space="preserve"> </w:t>
      </w:r>
      <w:r>
        <w:rPr>
          <w:i/>
          <w:iCs/>
        </w:rPr>
        <w:t xml:space="preserve">(Answer: the slope (</w:t>
      </w:r>
      <m:oMath>
        <m:r>
          <m:rPr>
            <m:sty m:val="p"/>
          </m:rPr>
          <m:t>≈</m:t>
        </m:r>
        <m:r>
          <m:t>1.375</m:t>
        </m:r>
      </m:oMath>
      <w:r>
        <w:rPr>
          <w:i/>
          <w:iCs/>
        </w:rPr>
        <w:t xml:space="preserve">) is the response added per dose step; the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 (</w:t>
      </w:r>
      <m:oMath>
        <m:r>
          <m:rPr>
            <m:sty m:val="p"/>
          </m:rPr>
          <m:t>≈</m:t>
        </m:r>
        <m:r>
          <m:t>2.175</m:t>
        </m:r>
      </m:oMath>
      <w:r>
        <w:rPr>
          <w:i/>
          <w:iCs/>
        </w:rPr>
        <w:t xml:space="preserve">) is the predicted response at dose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, which should</w:t>
      </w:r>
      <w:r>
        <w:rPr>
          <w:i/>
          <w:iCs/>
        </w:rPr>
        <w:t xml:space="preserve"> </w:t>
      </w:r>
      <w:r>
        <w:rPr>
          <w:i/>
          <w:iCs/>
        </w:rPr>
        <w:t xml:space="preserve">match the control mean.)</w:t>
      </w:r>
    </w:p>
    <w:bookmarkEnd w:id="349"/>
    <w:bookmarkStart w:id="350" w:name="application-10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101"/>
        </w:numPr>
      </w:pPr>
      <w:r>
        <w:t xml:space="preserve">The intercept (</w:t>
      </w:r>
      <m:oMath>
        <m:r>
          <m:t>2.175</m:t>
        </m:r>
      </m:oMath>
      <w:r>
        <w:t xml:space="preserve">) is close to the control mean (</w:t>
      </w:r>
      <m:oMath>
        <m:r>
          <m:t>2.20</m:t>
        </m:r>
      </m:oMath>
      <w:r>
        <w:t xml:space="preserve">). Why is this a</w:t>
      </w:r>
      <w:r>
        <w:t xml:space="preserve"> </w:t>
      </w:r>
      <w:r>
        <w:t xml:space="preserve">useful check rather than a coincidence to ignore?</w:t>
      </w:r>
      <w:r>
        <w:t xml:space="preserve"> </w:t>
      </w:r>
      <w:r>
        <w:rPr>
          <w:i/>
          <w:iCs/>
        </w:rPr>
        <w:t xml:space="preserve">(Answer: a fit whose dose-</w:t>
      </w:r>
      <m:oMath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prediction matches the measured control is</w:t>
      </w:r>
      <w:r>
        <w:rPr>
          <w:i/>
          <w:iCs/>
        </w:rPr>
        <w:t xml:space="preserve"> </w:t>
      </w:r>
      <w:r>
        <w:rPr>
          <w:i/>
          <w:iCs/>
        </w:rPr>
        <w:t xml:space="preserve">internally consistent; a large mismatch would signal a coding error or a poor</w:t>
      </w:r>
      <w:r>
        <w:rPr>
          <w:i/>
          <w:iCs/>
        </w:rPr>
        <w:t xml:space="preserve"> </w:t>
      </w:r>
      <w:r>
        <w:rPr>
          <w:i/>
          <w:iCs/>
        </w:rPr>
        <w:t xml:space="preserve">model.)</w:t>
      </w:r>
    </w:p>
    <w:p>
      <w:pPr>
        <w:pStyle w:val="Compact"/>
        <w:numPr>
          <w:ilvl w:val="0"/>
          <w:numId w:val="1101"/>
        </w:numPr>
      </w:pPr>
      <w:r>
        <w:t xml:space="preserve">The line predicts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</m:oMath>
      <w:r>
        <w:t xml:space="preserve">. Why should this prediction be</w:t>
      </w:r>
      <w:r>
        <w:t xml:space="preserve"> </w:t>
      </w:r>
      <w:r>
        <w:t xml:space="preserve">flagged?</w:t>
      </w:r>
      <w:r>
        <w:t xml:space="preserve"> </w:t>
      </w:r>
      <w:r>
        <w:rPr>
          <w:i/>
          <w:iCs/>
        </w:rPr>
        <w:t xml:space="preserve">(Answer: dose</w:t>
      </w:r>
      <w:r>
        <w:rPr>
          <w:i/>
          <w:iCs/>
        </w:rPr>
        <w:t xml:space="preserve"> </w:t>
      </w:r>
      <m:oMath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outside the measured range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it is an</w:t>
      </w:r>
      <w:r>
        <w:rPr>
          <w:i/>
          <w:iCs/>
        </w:rPr>
        <w:t xml:space="preserve"> </w:t>
      </w:r>
      <w:r>
        <w:rPr>
          <w:i/>
          <w:iCs/>
        </w:rPr>
        <w:t xml:space="preserve">extrapolation, and real dose–response curves usually saturate, so a line will</w:t>
      </w:r>
      <w:r>
        <w:rPr>
          <w:i/>
          <w:iCs/>
        </w:rPr>
        <w:t xml:space="preserve"> </w:t>
      </w:r>
      <w:r>
        <w:rPr>
          <w:i/>
          <w:iCs/>
        </w:rPr>
        <w:t xml:space="preserve">overpredict.)</w:t>
      </w:r>
    </w:p>
    <w:bookmarkEnd w:id="350"/>
    <w:bookmarkStart w:id="351" w:name="synthesis-10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102"/>
        </w:numPr>
      </w:pPr>
      <w:r>
        <w:t xml:space="preserve">With only three averaged points the fit reports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</m:t>
        </m:r>
      </m:oMath>
      <w:r>
        <w:t xml:space="preserve">. Explain why this</w:t>
      </w:r>
      <w:r>
        <w:t xml:space="preserve"> </w:t>
      </w:r>
      <w:r>
        <w:t xml:space="preserve">is weak evidence and describe one experiment that would strengthen — or</w:t>
      </w:r>
      <w:r>
        <w:t xml:space="preserve"> </w:t>
      </w:r>
      <w:r>
        <w:t xml:space="preserve">overturn — the linear conclusion.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near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three points mostly reflects that a line can pass</w:t>
      </w:r>
      <w:r>
        <w:rPr>
          <w:i/>
          <w:iCs/>
        </w:rPr>
        <w:t xml:space="preserve"> </w:t>
      </w:r>
      <w:r>
        <w:rPr>
          <w:i/>
          <w:iCs/>
        </w:rPr>
        <w:t xml:space="preserve">through three dots; it says little about prediction. Collecting more doses,</w:t>
      </w:r>
      <w:r>
        <w:rPr>
          <w:i/>
          <w:iCs/>
        </w:rPr>
        <w:t xml:space="preserve"> </w:t>
      </w:r>
      <w:r>
        <w:rPr>
          <w:i/>
          <w:iCs/>
        </w:rPr>
        <w:t xml:space="preserve">especially higher ones, would reveal curvature/saturation and test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 model generalises. Accept reasoned alternatives.)</w:t>
      </w:r>
    </w:p>
    <w:bookmarkEnd w:id="351"/>
    <w:bookmarkEnd w:id="352"/>
    <w:bookmarkStart w:id="356" w:name="sec:q_part_III_frontiers"/>
    <w:p>
      <w:pPr>
        <w:pStyle w:val="Heading1"/>
      </w:pPr>
      <w:r>
        <w:t xml:space="preserve">Question Bank — Frontiers and Open Problems</w:t>
      </w:r>
    </w:p>
    <w:p>
      <w:pPr>
        <w:pStyle w:val="FirstParagraph"/>
      </w:pPr>
      <w:r>
        <w:t xml:space="preserve">Linked chapter: sec. 18.</w:t>
      </w:r>
    </w:p>
    <w:bookmarkStart w:id="353" w:name="recall-11"/>
    <w:p>
      <w:pPr>
        <w:pStyle w:val="Heading2"/>
      </w:pPr>
      <w:r>
        <w:t xml:space="preserve">Recall</w:t>
      </w:r>
    </w:p>
    <w:p>
      <w:pPr>
        <w:pStyle w:val="Compact"/>
        <w:numPr>
          <w:ilvl w:val="0"/>
          <w:numId w:val="110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03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53"/>
    <w:bookmarkStart w:id="354" w:name="application-11"/>
    <w:p>
      <w:pPr>
        <w:pStyle w:val="Heading2"/>
      </w:pPr>
      <w:r>
        <w:t xml:space="preserve">Application</w:t>
      </w:r>
    </w:p>
    <w:p>
      <w:pPr>
        <w:pStyle w:val="Compact"/>
        <w:numPr>
          <w:ilvl w:val="0"/>
          <w:numId w:val="110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104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54"/>
    <w:bookmarkStart w:id="355" w:name="synthesis-11"/>
    <w:p>
      <w:pPr>
        <w:pStyle w:val="Heading2"/>
      </w:pPr>
      <w:r>
        <w:t xml:space="preserve">Synthesis</w:t>
      </w:r>
    </w:p>
    <w:p>
      <w:pPr>
        <w:pStyle w:val="Compact"/>
        <w:numPr>
          <w:ilvl w:val="0"/>
          <w:numId w:val="1105"/>
        </w:numPr>
      </w:pPr>
      <w:r>
        <w:t xml:space="preserve">TODO.</w:t>
      </w:r>
      <w:r>
        <w:t xml:space="preserve"> </w:t>
      </w:r>
      <w:r>
        <w:rPr>
          <w:i/>
          <w:iCs/>
        </w:rPr>
        <w:t xml:space="preserve">(Answer:</w:t>
      </w:r>
      <w:r>
        <w:rPr>
          <w:i/>
          <w:iCs/>
        </w:rPr>
        <w:t xml:space="preserve"> </w:t>
      </w:r>
      <w:r>
        <w:rPr>
          <w:i/>
          <w:iCs/>
        </w:rPr>
        <w:t xml:space="preserve">)</w:t>
      </w:r>
    </w:p>
    <w:bookmarkEnd w:id="355"/>
    <w:bookmarkEnd w:id="356"/>
    <w:bookmarkStart w:id="373" w:name="sec:appendix_authoring_guide"/>
    <w:p>
      <w:pPr>
        <w:pStyle w:val="Heading1"/>
      </w:pPr>
      <w:r>
        <w:t xml:space="preserve">Appendix A — Authoring Guide: Filling the Stubs</w:t>
      </w:r>
    </w:p>
    <w:p>
      <w:pPr>
        <w:pStyle w:val="BlockText"/>
      </w:pPr>
      <w:r>
        <w:t xml:space="preserve">Reference appendix · For authors and contributors · Read this first.</w:t>
      </w:r>
    </w:p>
    <w:p>
      <w:pPr>
        <w:pStyle w:val="FirstParagraph"/>
      </w:pPr>
      <w:r>
        <w:t xml:space="preserve">This is the most important file in the template. It explains how to turn the</w:t>
      </w:r>
      <w:r>
        <w:t xml:space="preserve"> </w:t>
      </w:r>
      <w:r>
        <w:t xml:space="preserve">empty scaffold into a finished book by</w:t>
      </w:r>
      <w:r>
        <w:t xml:space="preserve"> </w:t>
      </w:r>
      <w:r>
        <w:rPr>
          <w:b/>
          <w:bCs/>
        </w:rPr>
        <w:t xml:space="preserve">filling stubs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growing</w:t>
      </w:r>
      <w:r>
        <w:t xml:space="preserve"> </w:t>
      </w:r>
      <w:r>
        <w:t xml:space="preserve">structure from a single source of truth. Read it once end-to-end, then keep it</w:t>
      </w:r>
      <w:r>
        <w:t xml:space="preserve"> </w:t>
      </w:r>
      <w:r>
        <w:t xml:space="preserve">open while you work.</w:t>
      </w:r>
    </w:p>
    <w:bookmarkStart w:id="358" w:name="the-big-idea-one-source-of-truth"/>
    <w:p>
      <w:pPr>
        <w:pStyle w:val="Heading2"/>
      </w:pPr>
      <w:r>
        <w:t xml:space="preserve">The Big Idea: One Source of Truth</w:t>
      </w:r>
    </w:p>
    <w:p>
      <w:pPr>
        <w:pStyle w:val="FirstParagraph"/>
      </w:pPr>
      <w:r>
        <w:t xml:space="preserve">The book is</w:t>
      </w:r>
      <w:r>
        <w:t xml:space="preserve"> </w:t>
      </w:r>
      <w:r>
        <w:rPr>
          <w:b/>
          <w:bCs/>
        </w:rPr>
        <w:t xml:space="preserve">data-driven from</w:t>
      </w:r>
      <w:r>
        <w:rPr>
          <w:b/>
          <w:bCs/>
        </w:rPr>
        <w:t xml:space="preserve"> </w:t>
      </w:r>
      <w:hyperlink r:id="rId357">
        <w:r>
          <w:rPr>
            <w:rStyle w:val="VerbatimChar"/>
            <w:b/>
            <w:bCs/>
          </w:rPr>
          <w:t xml:space="preserve">config.yaml</w:t>
        </w:r>
      </w:hyperlink>
      <w:r>
        <w:t xml:space="preserve">. The list of</w:t>
      </w:r>
      <w:r>
        <w:t xml:space="preserve"> </w:t>
      </w:r>
      <w:r>
        <w:t xml:space="preserve">parts, chapters, labs, question banks, and reference appendices lives there and</w:t>
      </w:r>
      <w:r>
        <w:t xml:space="preserve"> </w:t>
      </w:r>
      <w:r>
        <w:t xml:space="preserve">nowhere else. The Python engine in</w:t>
      </w:r>
      <w:r>
        <w:t xml:space="preserve"> </w:t>
      </w:r>
      <w:r>
        <w:rPr>
          <w:rStyle w:val="VerbatimChar"/>
        </w:rPr>
        <w:t xml:space="preserve">src/textbook/</w:t>
      </w:r>
      <w:r>
        <w:t xml:space="preserve"> </w:t>
      </w:r>
      <w:r>
        <w:t xml:space="preserve">reads that file and the</w:t>
      </w:r>
      <w:r>
        <w:t xml:space="preserve"> </w:t>
      </w:r>
      <w:r>
        <w:t xml:space="preserve">scaffolding 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materialise the matching markdown files. You</w:t>
      </w:r>
      <w:r>
        <w:t xml:space="preserve"> </w:t>
      </w:r>
      <w:r>
        <w:t xml:space="preserve">never hand-number a chapter, figure, equation, or section — pandoc-crossref does</w:t>
      </w:r>
      <w:r>
        <w:t xml:space="preserve"> </w:t>
      </w:r>
      <w:r>
        <w:t xml:space="preserve">that at render time from the labels you write.</w:t>
      </w:r>
    </w:p>
    <w:p>
      <w:pPr>
        <w:pStyle w:val="BodyText"/>
      </w:pPr>
      <w:r>
        <w:t xml:space="preserve">The flow is always the same:</w:t>
      </w:r>
    </w:p>
    <w:p>
      <w:pPr>
        <w:pStyle w:val="SourceCode"/>
      </w:pPr>
      <w:r>
        <w:rPr>
          <w:rStyle w:val="VerbatimChar"/>
        </w:rPr>
        <w:t xml:space="preserve">edit config.yaml  -&gt;  scaffold_chapter.py  -&gt;  fill &lt;!-- STUB --&gt; blocks</w:t>
      </w:r>
      <w:r>
        <w:br/>
      </w:r>
      <w:r>
        <w:rPr>
          <w:rStyle w:val="VerbatimChar"/>
        </w:rPr>
        <w:t xml:space="preserve">      -&gt;  add figures / glossary terms / references  -&gt;  audit + tests</w:t>
      </w:r>
    </w:p>
    <w:bookmarkEnd w:id="358"/>
    <w:bookmarkStart w:id="359" w:name="Xf11759b0546adfa313f807ac4019e479edd5701"/>
    <w:p>
      <w:pPr>
        <w:pStyle w:val="Heading2"/>
      </w:pPr>
      <w:r>
        <w:t xml:space="preserve">Step 1 — Decide the Structure in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FirstParagraph"/>
      </w:pPr>
      <w:r>
        <w:t xml:space="preserve">Open</w:t>
      </w:r>
      <w:r>
        <w:t xml:space="preserve"> </w:t>
      </w:r>
      <w:hyperlink r:id="rId357">
        <w:r>
          <w:rPr>
            <w:rStyle w:val="VerbatimChar"/>
          </w:rPr>
          <w:t xml:space="preserve">config.yaml</w:t>
        </w:r>
      </w:hyperlink>
      <w:r>
        <w:t xml:space="preserve">. To add or rename a chapter, edit the</w:t>
      </w:r>
      <w:r>
        <w:t xml:space="preserve"> </w:t>
      </w:r>
      <w:r>
        <w:rPr>
          <w:rStyle w:val="VerbatimChar"/>
        </w:rPr>
        <w:t xml:space="preserve">parts:</w:t>
      </w:r>
      <w:r>
        <w:t xml:space="preserve"> </w:t>
      </w:r>
      <w:r>
        <w:t xml:space="preserve">tree (each chapter has a</w:t>
      </w:r>
      <w:r>
        <w:t xml:space="preserve"> </w:t>
      </w:r>
      <w:r>
        <w:rPr>
          <w:rStyle w:val="VerbatimChar"/>
        </w:rPr>
        <w:t xml:space="preserve">stem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); to add a lab or</w:t>
      </w:r>
      <w:r>
        <w:t xml:space="preserve"> </w:t>
      </w:r>
      <w:r>
        <w:t xml:space="preserve">question bank, add an entry under</w:t>
      </w:r>
      <w:r>
        <w:t xml:space="preserve"> </w:t>
      </w:r>
      <w:r>
        <w:rPr>
          <w:rStyle w:val="VerbatimChar"/>
        </w:rPr>
        <w:t xml:space="preserve">appendices.labs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appendices.questions</w:t>
      </w:r>
      <w:r>
        <w:t xml:space="preserve"> </w:t>
      </w:r>
      <w:r>
        <w:t xml:space="preserve">for the matching part. The stem drives every downstream name:</w:t>
      </w:r>
    </w:p>
    <w:p>
      <w:pPr>
        <w:pStyle w:val="Compact"/>
        <w:numPr>
          <w:ilvl w:val="0"/>
          <w:numId w:val="1106"/>
        </w:numPr>
      </w:pPr>
      <w:r>
        <w:t xml:space="preserve">chapter file →</w:t>
      </w:r>
      <w:r>
        <w:t xml:space="preserve"> </w:t>
      </w:r>
      <w:r>
        <w:rPr>
          <w:rStyle w:val="VerbatimChar"/>
        </w:rPr>
        <w:t xml:space="preserve">manuscript/&lt;part&gt;/&lt;NN&gt;_&lt;stem&gt;.md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{#sec:&lt;part&gt;_&lt;stem&gt;}</w:t>
      </w:r>
    </w:p>
    <w:p>
      <w:pPr>
        <w:pStyle w:val="Compact"/>
        <w:numPr>
          <w:ilvl w:val="0"/>
          <w:numId w:val="1106"/>
        </w:numPr>
      </w:pPr>
      <w:r>
        <w:t xml:space="preserve">lab file →</w:t>
      </w:r>
      <w:r>
        <w:t xml:space="preserve"> </w:t>
      </w:r>
      <w:r>
        <w:rPr>
          <w:rStyle w:val="VerbatimChar"/>
        </w:rPr>
        <w:t xml:space="preserve">manuscript/labs/&lt;part&gt;/lab_&lt;stem&gt;.md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{#sec:lab_&lt;part&gt;_&lt;stem&gt;}</w:t>
      </w:r>
    </w:p>
    <w:p>
      <w:pPr>
        <w:pStyle w:val="Compact"/>
        <w:numPr>
          <w:ilvl w:val="0"/>
          <w:numId w:val="1106"/>
        </w:numPr>
      </w:pPr>
      <w:r>
        <w:t xml:space="preserve">question bank →</w:t>
      </w:r>
      <w:r>
        <w:t xml:space="preserve"> </w:t>
      </w:r>
      <w:r>
        <w:rPr>
          <w:rStyle w:val="VerbatimChar"/>
        </w:rPr>
        <w:t xml:space="preserve">manuscript/questions/&lt;part&gt;/q_&lt;stem&gt;.md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{#sec:q_&lt;part&gt;_&lt;stem&gt;}</w:t>
      </w:r>
    </w:p>
    <w:p>
      <w:pPr>
        <w:pStyle w:val="FirstParagraph"/>
      </w:pPr>
      <w:r>
        <w:t xml:space="preserve">Keep stems short, lowercase, and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Do not invent a numbering scheme;</w:t>
      </w:r>
      <w:r>
        <w:t xml:space="preserve"> </w:t>
      </w:r>
      <w:r>
        <w:t xml:space="preserve">the table of contents and labels are derived in</w:t>
      </w:r>
      <w:r>
        <w:t xml:space="preserve"> </w:t>
      </w:r>
      <w:r>
        <w:rPr>
          <w:rStyle w:val="VerbatimChar"/>
        </w:rPr>
        <w:t xml:space="preserve">src/textbook/toc.py</w:t>
      </w:r>
      <w:r>
        <w:t xml:space="preserve">.</w:t>
      </w:r>
    </w:p>
    <w:bookmarkEnd w:id="359"/>
    <w:bookmarkStart w:id="360" w:name="step-2-materialise-the-stubs"/>
    <w:p>
      <w:pPr>
        <w:pStyle w:val="Heading2"/>
      </w:pPr>
      <w:r>
        <w:t xml:space="preserve">Step 2 — Materialise the Stubs</w:t>
      </w:r>
    </w:p>
    <w:p>
      <w:pPr>
        <w:pStyle w:val="FirstParagraph"/>
      </w:pPr>
      <w:r>
        <w:t xml:space="preserve">Run the scaffolder. It only</w:t>
      </w:r>
      <w:r>
        <w:t xml:space="preserve"> </w:t>
      </w:r>
      <w:r>
        <w:rPr>
          <w:b/>
          <w:bCs/>
        </w:rPr>
        <w:t xml:space="preserve">creates files that are missing</w:t>
      </w:r>
      <w:r>
        <w:t xml:space="preserve">, so it is safe to</w:t>
      </w:r>
      <w:r>
        <w:t xml:space="preserve"> </w:t>
      </w:r>
      <w:r>
        <w:t xml:space="preserve">re-run after every config change: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scripts/scaffold_chapter.py</w:t>
      </w:r>
    </w:p>
    <w:p>
      <w:pPr>
        <w:pStyle w:val="FirstParagraph"/>
      </w:pPr>
      <w:r>
        <w:t xml:space="preserve">This writes a chapter (or lab, or question bank) pre-populated with every</w:t>
      </w:r>
      <w:r>
        <w:t xml:space="preserve"> </w:t>
      </w:r>
      <w:r>
        <w:t xml:space="preserve">required structural element as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 </w:t>
      </w:r>
      <w:r>
        <w:t xml:space="preserve">markers. Your job is to replace</w:t>
      </w:r>
      <w:r>
        <w:t xml:space="preserve"> </w:t>
      </w:r>
      <w:r>
        <w:t xml:space="preserve">the stubs with real prose, never to delete the structure.</w:t>
      </w:r>
    </w:p>
    <w:bookmarkEnd w:id="360"/>
    <w:bookmarkStart w:id="361" w:name="step-3-fill-the-content-contract"/>
    <w:p>
      <w:pPr>
        <w:pStyle w:val="Heading2"/>
      </w:pPr>
      <w:r>
        <w:t xml:space="preserve">Step 3 — Fill the Content Contract</w:t>
      </w:r>
    </w:p>
    <w:p>
      <w:pPr>
        <w:pStyle w:val="FirstParagraph"/>
      </w:pPr>
      <w:r>
        <w:t xml:space="preserve">Every chapter must carry these elements (enforced by</w:t>
      </w:r>
      <w:r>
        <w:t xml:space="preserve"> </w:t>
      </w:r>
      <w:r>
        <w:rPr>
          <w:rStyle w:val="VerbatimChar"/>
        </w:rPr>
        <w:t xml:space="preserve">validate_chapter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src/textbook/content.py</w:t>
      </w:r>
      <w:r>
        <w:t xml:space="preserve"> </w:t>
      </w:r>
      <w:r>
        <w:t xml:space="preserve">and by the integrity tests). Fill each, keep the</w:t>
      </w:r>
      <w:r>
        <w:t xml:space="preserve"> </w:t>
      </w:r>
      <w:r>
        <w:t xml:space="preserve">markers’ surrounding structure:</w:t>
      </w:r>
    </w:p>
    <w:p>
      <w:pPr>
        <w:pStyle w:val="Compact"/>
        <w:numPr>
          <w:ilvl w:val="0"/>
          <w:numId w:val="1107"/>
        </w:numPr>
      </w:pPr>
      <w:r>
        <w:t xml:space="preserve">a labelled H1:</w:t>
      </w:r>
      <w:r>
        <w:t xml:space="preserve"> </w:t>
      </w:r>
      <w:r>
        <w:rPr>
          <w:rStyle w:val="VerbatimChar"/>
        </w:rPr>
        <w:t xml:space="preserve"># Title {#sec:&lt;part&gt;_&lt;stem&gt;}</w:t>
      </w:r>
    </w:p>
    <w:p>
      <w:pPr>
        <w:pStyle w:val="Compact"/>
        <w:numPr>
          <w:ilvl w:val="0"/>
          <w:numId w:val="1107"/>
        </w:numPr>
      </w:pPr>
      <w:r>
        <w:t xml:space="preserve">a metadata badge line:</w:t>
      </w:r>
      <w:r>
        <w:t xml:space="preserve"> </w:t>
      </w:r>
      <w:r>
        <w:rPr>
          <w:rStyle w:val="VerbatimChar"/>
        </w:rPr>
        <w:t xml:space="preserve">&lt;!-- chapter-metadata-badge --&gt;</w:t>
      </w:r>
    </w:p>
    <w:p>
      <w:pPr>
        <w:pStyle w:val="Compact"/>
        <w:numPr>
          <w:ilvl w:val="0"/>
          <w:numId w:val="1107"/>
        </w:numPr>
      </w:pPr>
      <w:r>
        <w:t xml:space="preserve">a Study Blueprint:</w:t>
      </w:r>
      <w:r>
        <w:t xml:space="preserve"> </w:t>
      </w:r>
      <w:r>
        <w:rPr>
          <w:rStyle w:val="VerbatimChar"/>
        </w:rPr>
        <w:t xml:space="preserve">&lt;!-- curriculum-scaffold-start --&gt;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107"/>
        </w:numPr>
      </w:pPr>
      <w:r>
        <w:t xml:space="preserve">one figure with alt text and a crossref label</w:t>
      </w:r>
      <w:r>
        <w:t xml:space="preserve"> </w:t>
      </w:r>
      <w:r>
        <w:rPr>
          <w:rStyle w:val="VerbatimChar"/>
        </w:rPr>
        <w:t xml:space="preserve">{#fig:...}</w:t>
      </w:r>
    </w:p>
    <w:p>
      <w:pPr>
        <w:pStyle w:val="Compact"/>
        <w:numPr>
          <w:ilvl w:val="0"/>
          <w:numId w:val="1107"/>
        </w:numPr>
      </w:pPr>
      <w:r>
        <w:t xml:space="preserve">a worked formalism: an equation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plus a parameter table</w:t>
      </w:r>
      <w:r>
        <w:t xml:space="preserve"> </w:t>
      </w:r>
      <w:r>
        <w:rPr>
          <w:rStyle w:val="VerbatimChar"/>
        </w:rPr>
        <w:t xml:space="preserve">{#tbl:...}</w:t>
      </w:r>
    </w:p>
    <w:p>
      <w:pPr>
        <w:pStyle w:val="Compact"/>
        <w:numPr>
          <w:ilvl w:val="0"/>
          <w:numId w:val="1107"/>
        </w:numPr>
      </w:pPr>
      <w:r>
        <w:t xml:space="preserve">an inline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diagram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Summary</w:t>
      </w:r>
      <w:r>
        <w:t xml:space="preserve">,</w:t>
      </w:r>
      <w:r>
        <w:t xml:space="preserve"> </w:t>
      </w:r>
      <w:r>
        <w:rPr>
          <w:b/>
          <w:bCs/>
        </w:rPr>
        <w:t xml:space="preserve">Key Terms</w:t>
      </w:r>
      <w:r>
        <w:t xml:space="preserve">,</w:t>
      </w:r>
      <w:r>
        <w:t xml:space="preserve"> </w:t>
      </w:r>
      <w:r>
        <w:rPr>
          <w:b/>
          <w:bCs/>
        </w:rPr>
        <w:t xml:space="preserve">Further Reading</w:t>
      </w:r>
      <w:r>
        <w:t xml:space="preserve">,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sections</w:t>
      </w:r>
    </w:p>
    <w:p>
      <w:pPr>
        <w:pStyle w:val="FirstParagraph"/>
      </w:pPr>
      <w:r>
        <w:t xml:space="preserve">Cross-reference syntax is pandoc-crossref:</w:t>
      </w:r>
      <w:r>
        <w:t xml:space="preserve"> </w:t>
      </w:r>
      <w:r>
        <w:rPr>
          <w:rStyle w:val="VerbatimChar"/>
        </w:rPr>
        <w:t xml:space="preserve">[@fig:..]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[@tbl:..]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[@eq:..]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[@sec:..]</w:t>
      </w:r>
      <w:r>
        <w:t xml:space="preserve">. Stub markers the audit counts are</w:t>
      </w:r>
      <w:r>
        <w:t xml:space="preserve"> </w:t>
      </w:r>
      <w:r>
        <w:rPr>
          <w:rStyle w:val="VerbatimChar"/>
        </w:rPr>
        <w:t xml:space="preserve">&lt;!-- STUB 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TKTK</w:t>
      </w:r>
      <w:r>
        <w:t xml:space="preserve"> </w:t>
      </w:r>
      <w:r>
        <w:t xml:space="preserve">— drive these to zero as the chapter matures.</w:t>
      </w:r>
    </w:p>
    <w:bookmarkEnd w:id="361"/>
    <w:bookmarkStart w:id="363" w:name="step-4-add-a-figure"/>
    <w:p>
      <w:pPr>
        <w:pStyle w:val="Heading2"/>
      </w:pPr>
      <w:r>
        <w:t xml:space="preserve">Step 4 — Add a Figure</w:t>
      </w:r>
    </w:p>
    <w:p>
      <w:pPr>
        <w:pStyle w:val="FirstParagraph"/>
      </w:pPr>
      <w:r>
        <w:t xml:space="preserve">Figures are deterministic matplotlib output. Each chapter expects a placeholder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&lt;part_id&gt;_&lt;stem&gt;.png</w:t>
      </w:r>
      <w:r>
        <w:t xml:space="preserve">. To make it real, add or edit a function in</w:t>
      </w:r>
      <w:r>
        <w:t xml:space="preserve"> </w:t>
      </w:r>
      <w:hyperlink r:id="rId362">
        <w:r>
          <w:rPr>
            <w:rStyle w:val="VerbatimChar"/>
          </w:rPr>
          <w:t xml:space="preserve">src/visualization/plots.py</w:t>
        </w:r>
      </w:hyperlink>
      <w:r>
        <w:t xml:space="preserve"> </w:t>
      </w:r>
      <w:r>
        <w:t xml:space="preserve">(the four worked</w:t>
      </w:r>
      <w:r>
        <w:t xml:space="preserve"> </w:t>
      </w:r>
      <w:r>
        <w:t xml:space="preserve">figures show the pattern), then regenerate: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scripts/generate_figures.py</w:t>
      </w:r>
    </w:p>
    <w:p>
      <w:pPr>
        <w:pStyle w:val="FirstParagraph"/>
      </w:pPr>
      <w:r>
        <w:t xml:space="preserve">For diagrams, edit</w:t>
      </w:r>
      <w:r>
        <w:t xml:space="preserve"> </w:t>
      </w:r>
      <w:r>
        <w:rPr>
          <w:rStyle w:val="VerbatimChar"/>
        </w:rPr>
        <w:t xml:space="preserve">src/mermaid/diagram_specs.yaml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scripts/generate_diagrams.py</w:t>
      </w:r>
      <w:r>
        <w:t xml:space="preserve"> </w:t>
      </w:r>
      <w:r>
        <w:t xml:space="preserve">(PNG, or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fallback). Reference the figure in</w:t>
      </w:r>
      <w:r>
        <w:t xml:space="preserve"> </w:t>
      </w:r>
      <w:r>
        <w:t xml:space="preserve">prose with</w:t>
      </w:r>
      <w:r>
        <w:t xml:space="preserve"> </w:t>
      </w:r>
      <w:r>
        <w:rPr>
          <w:rStyle w:val="VerbatimChar"/>
        </w:rPr>
        <w:t xml:space="preserve">[@fig:&lt;part&gt;_&lt;stem&gt;]</w:t>
      </w:r>
      <w:r>
        <w:t xml:space="preserve"> </w:t>
      </w:r>
      <w:r>
        <w:t xml:space="preserve">and give it alt text.</w:t>
      </w:r>
    </w:p>
    <w:bookmarkEnd w:id="363"/>
    <w:bookmarkStart w:id="366" w:name="step-5-add-a-glossary-term"/>
    <w:p>
      <w:pPr>
        <w:pStyle w:val="Heading2"/>
      </w:pPr>
      <w:r>
        <w:t xml:space="preserve">Step 5 — Add a Glossary Term</w:t>
      </w:r>
    </w:p>
    <w:p>
      <w:pPr>
        <w:pStyle w:val="FirstParagraph"/>
      </w:pPr>
      <w:r>
        <w:t xml:space="preserve">Glossary anchors are a</w:t>
      </w:r>
      <w:r>
        <w:t xml:space="preserve"> </w:t>
      </w:r>
      <w:r>
        <w:rPr>
          <w:b/>
          <w:bCs/>
        </w:rPr>
        <w:t xml:space="preserve">closed contract</w:t>
      </w:r>
      <w:r>
        <w:t xml:space="preserve">. To add a term you must update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GLOSSARY_ANCHORS</w:t>
      </w:r>
      <w:r>
        <w:t xml:space="preserve"> </w:t>
      </w:r>
      <w:r>
        <w:t xml:space="preserve">in</w:t>
      </w:r>
      <w:r>
        <w:t xml:space="preserve"> </w:t>
      </w:r>
      <w:hyperlink r:id="rId364">
        <w:r>
          <w:rPr>
            <w:rStyle w:val="VerbatimChar"/>
          </w:rPr>
          <w:t xml:space="preserve">src/textbook/constants.py</w:t>
        </w:r>
      </w:hyperlink>
    </w:p>
    <w:p>
      <w:pPr>
        <w:pStyle w:val="Compact"/>
        <w:numPr>
          <w:ilvl w:val="0"/>
          <w:numId w:val="1108"/>
        </w:numPr>
      </w:pPr>
      <w:r>
        <w:t xml:space="preserve">the matching entry in</w:t>
      </w:r>
      <w:r>
        <w:t xml:space="preserve"> </w:t>
      </w:r>
      <w:hyperlink r:id="rId365">
        <w:r>
          <w:rPr>
            <w:rStyle w:val="VerbatimChar"/>
          </w:rPr>
          <w:t xml:space="preserve">glossary.md</w:t>
        </w:r>
      </w:hyperlink>
    </w:p>
    <w:p>
      <w:pPr>
        <w:pStyle w:val="FirstParagraph"/>
      </w:pPr>
      <w:r>
        <w:t xml:space="preserve">Link a term in prose as</w:t>
      </w:r>
      <w:r>
        <w:t xml:space="preserve"> </w:t>
      </w:r>
      <w:r>
        <w:rPr>
          <w:rStyle w:val="VerbatimChar"/>
        </w:rPr>
        <w:t xml:space="preserve">[**term**](#gl:&lt;anchor&gt;)</w:t>
      </w:r>
      <w:r>
        <w:t xml:space="preserve">. The current anchors are</w:t>
      </w:r>
      <w:r>
        <w:t xml:space="preserve"> </w:t>
      </w:r>
      <w:r>
        <w:rPr>
          <w:rStyle w:val="VerbatimChar"/>
        </w:rPr>
        <w:t xml:space="preserve">system, model, parameter, variable, equilibrium, feedback, gradient, threshold, network, dynamics, emergence, regulation, boundary, state, observable</w:t>
      </w:r>
      <w:r>
        <w:t xml:space="preserve">.</w:t>
      </w:r>
    </w:p>
    <w:bookmarkEnd w:id="366"/>
    <w:bookmarkStart w:id="368" w:name="step-6-add-a-reference"/>
    <w:p>
      <w:pPr>
        <w:pStyle w:val="Heading2"/>
      </w:pPr>
      <w:r>
        <w:t xml:space="preserve">Step 6 — Add a Reference</w:t>
      </w:r>
    </w:p>
    <w:p>
      <w:pPr>
        <w:pStyle w:val="FirstParagraph"/>
      </w:pPr>
      <w:r>
        <w:t xml:space="preserve">Citations are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and must resolve in</w:t>
      </w:r>
      <w:r>
        <w:t xml:space="preserve"> </w:t>
      </w:r>
      <w:hyperlink r:id="rId367">
        <w:r>
          <w:rPr>
            <w:rStyle w:val="VerbatimChar"/>
          </w:rPr>
          <w:t xml:space="preserve">references.bib</w:t>
        </w:r>
      </w:hyperlink>
      <w:r>
        <w:t xml:space="preserve">.</w:t>
      </w:r>
      <w:r>
        <w:t xml:space="preserve"> </w:t>
      </w:r>
      <w:r>
        <w:t xml:space="preserve">Add a BibTeX entry, then cite it. Keep</w:t>
      </w:r>
      <w:r>
        <w:t xml:space="preserve"> </w:t>
      </w:r>
      <w:r>
        <w:rPr>
          <w:rStyle w:val="VerbatimChar"/>
        </w:rPr>
        <w:t xml:space="preserve">CITATION_KEYS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in sync</w:t>
      </w:r>
      <w:r>
        <w:t xml:space="preserve"> </w:t>
      </w:r>
      <w:r>
        <w:t xml:space="preserve">if you add a key that the structural contract should track.</w:t>
      </w:r>
    </w:p>
    <w:bookmarkEnd w:id="368"/>
    <w:bookmarkStart w:id="369" w:name="step-7-audit-and-test"/>
    <w:p>
      <w:pPr>
        <w:pStyle w:val="Heading2"/>
      </w:pPr>
      <w:r>
        <w:t xml:space="preserve">Step 7 — Audit and Test</w:t>
      </w:r>
    </w:p>
    <w:p>
      <w:pPr>
        <w:pStyle w:val="FirstParagraph"/>
      </w:pPr>
      <w:r>
        <w:t xml:space="preserve">Two gates decide whether the book is healthy:</w:t>
      </w:r>
    </w:p>
    <w:p>
      <w:pPr>
        <w:pStyle w:val="SourceCode"/>
      </w:pPr>
      <w:r>
        <w:rPr>
          <w:rStyle w:val="CommentTok"/>
        </w:rPr>
        <w:t xml:space="preserve"># Quality gate: counts stubs, checks the content contract per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scripts/audit_textbook_quality.py</w:t>
      </w:r>
      <w:r>
        <w:br/>
      </w:r>
      <w:r>
        <w:br/>
      </w:r>
      <w:r>
        <w:rPr>
          <w:rStyle w:val="CommentTok"/>
        </w:rPr>
        <w:t xml:space="preserve"># Full test suite (engine + manuscript integrity)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p>
      <w:pPr>
        <w:pStyle w:val="FirstParagraph"/>
      </w:pPr>
      <w:r>
        <w:rPr>
          <w:rStyle w:val="VerbatimChar"/>
        </w:rPr>
        <w:t xml:space="preserve">tests/test_manuscript_integrity.py</w:t>
      </w:r>
      <w:r>
        <w:t xml:space="preserve"> </w:t>
      </w:r>
      <w:r>
        <w:t xml:space="preserve">verifies that every chapter satisfies the</w:t>
      </w:r>
      <w:r>
        <w:t xml:space="preserve"> </w:t>
      </w:r>
      <w:r>
        <w:t xml:space="preserve">content contract, that labels are unique, that citations resolve, and that</w:t>
      </w:r>
      <w:r>
        <w:t xml:space="preserve"> </w:t>
      </w:r>
      <w:r>
        <w:t xml:space="preserve">glossary links point at real anchors. Green tests with remaining stubs mean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is correct but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is unfinished — that is the normal</w:t>
      </w:r>
      <w:r>
        <w:t xml:space="preserve"> </w:t>
      </w:r>
      <w:r>
        <w:t xml:space="preserve">state of a freshly scaffolded chapter.</w:t>
      </w:r>
    </w:p>
    <w:bookmarkEnd w:id="369"/>
    <w:bookmarkStart w:id="372" w:name="growing-the-book"/>
    <w:p>
      <w:pPr>
        <w:pStyle w:val="Heading2"/>
      </w:pPr>
      <w:r>
        <w:t xml:space="preserve">Growing the Book</w:t>
      </w:r>
    </w:p>
    <w:p>
      <w:pPr>
        <w:pStyle w:val="FirstParagraph"/>
      </w:pPr>
      <w:r>
        <w:t xml:space="preserve">To add a whole new chapter end-to-end:</w:t>
      </w:r>
    </w:p>
    <w:p>
      <w:pPr>
        <w:pStyle w:val="Compact"/>
        <w:numPr>
          <w:ilvl w:val="0"/>
          <w:numId w:val="1109"/>
        </w:numPr>
      </w:pPr>
      <w:r>
        <w:t xml:space="preserve">add its</w:t>
      </w:r>
      <w:r>
        <w:t xml:space="preserve"> </w:t>
      </w:r>
      <w:r>
        <w:rPr>
          <w:rStyle w:val="VerbatimChar"/>
        </w:rPr>
        <w:t xml:space="preserve">stem</w:t>
      </w:r>
      <w:r>
        <w:t xml:space="preserve">/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under the right part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add matching lab and question-bank entries under</w:t>
      </w:r>
      <w:r>
        <w:t xml:space="preserve"> </w:t>
      </w:r>
      <w:r>
        <w:rPr>
          <w:rStyle w:val="VerbatimChar"/>
        </w:rPr>
        <w:t xml:space="preserve">appendices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scripts/scaffold_chapter.py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fill the stubs (Steps 3–6);</w:t>
      </w:r>
    </w:p>
    <w:p>
      <w:pPr>
        <w:pStyle w:val="Compact"/>
        <w:numPr>
          <w:ilvl w:val="0"/>
          <w:numId w:val="1109"/>
        </w:numPr>
      </w:pPr>
      <w:r>
        <w:t xml:space="preserve">run the audit and tests until the contract passes.</w:t>
      </w:r>
    </w:p>
    <w:p>
      <w:pPr>
        <w:pStyle w:val="FirstParagraph"/>
      </w:pPr>
      <w:r>
        <w:t xml:space="preserve">See also:</w:t>
      </w:r>
      <w:r>
        <w:t xml:space="preserve"> </w:t>
      </w:r>
      <w:hyperlink r:id="rId370">
        <w:r>
          <w:rPr>
            <w:rStyle w:val="Hyperlink"/>
          </w:rPr>
          <w:t xml:space="preserve">Appendix B — Notation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Appendix C — Mathematical Review</w:t>
        </w:r>
      </w:hyperlink>
      <w:r>
        <w:t xml:space="preserve">, and the</w:t>
      </w:r>
      <w:r>
        <w:t xml:space="preserve"> </w:t>
      </w:r>
      <w:hyperlink r:id="rId18">
        <w:r>
          <w:rPr>
            <w:rStyle w:val="Hyperlink"/>
          </w:rPr>
          <w:t xml:space="preserve">appendices README</w:t>
        </w:r>
      </w:hyperlink>
      <w:r>
        <w:t xml:space="preserve">.</w:t>
      </w:r>
    </w:p>
    <w:bookmarkEnd w:id="372"/>
    <w:bookmarkEnd w:id="373"/>
    <w:bookmarkStart w:id="377" w:name="sec:appendix_notation"/>
    <w:p>
      <w:pPr>
        <w:pStyle w:val="Heading1"/>
      </w:pPr>
      <w:r>
        <w:t xml:space="preserve">Appendix B — Notation and Symbols</w:t>
      </w:r>
    </w:p>
    <w:p>
      <w:pPr>
        <w:pStyle w:val="BlockText"/>
      </w:pPr>
      <w:r>
        <w:t xml:space="preserve">Reference appendix · Symbol glossary for the worked models.</w:t>
      </w:r>
    </w:p>
    <w:p>
      <w:pPr>
        <w:pStyle w:val="FirstParagraph"/>
      </w:pPr>
      <w:r>
        <w:t xml:space="preserve">This appendix lists the symbols used by the worked formalisms in</w:t>
      </w:r>
      <w:r>
        <w:t xml:space="preserve"> </w:t>
      </w:r>
      <w:hyperlink r:id="rId374">
        <w:r>
          <w:rPr>
            <w:rStyle w:val="VerbatimChar"/>
          </w:rPr>
          <w:t xml:space="preserve">src/textbook/models.py</w:t>
        </w:r>
      </w:hyperlink>
      <w:r>
        <w:t xml:space="preserve">. Keep it in sync with the</w:t>
      </w:r>
      <w:r>
        <w:t xml:space="preserve"> </w:t>
      </w:r>
      <w:r>
        <w:t xml:space="preserve">parameter tables (</w:t>
      </w:r>
      <w:r>
        <w:rPr>
          <w:rStyle w:val="VerbatimChar"/>
        </w:rPr>
        <w:t xml:space="preserve">{#tbl:...}</w:t>
      </w:r>
      <w:r>
        <w:t xml:space="preserve">) in the chapters: every symbol that appears in an</w:t>
      </w:r>
      <w:r>
        <w:t xml:space="preserve"> </w:t>
      </w:r>
      <w:r>
        <w:t xml:space="preserve">equation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 </w:t>
      </w:r>
      <w:r>
        <w:t xml:space="preserve">should have a row here.</w:t>
      </w:r>
    </w:p>
    <w:bookmarkStart w:id="375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110"/>
        </w:numPr>
      </w:pPr>
      <w:r>
        <w:t xml:space="preserve">Scalars are italic lowercase (e.g. 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t</w:t>
      </w:r>
      <w:r>
        <w:t xml:space="preserve">); sets and spaces are uppercase.</w:t>
      </w:r>
    </w:p>
    <w:p>
      <w:pPr>
        <w:pStyle w:val="Compact"/>
        <w:numPr>
          <w:ilvl w:val="0"/>
          <w:numId w:val="1110"/>
        </w:numPr>
      </w:pPr>
      <w:r>
        <w:t xml:space="preserve">Subscript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denotes an initial value (e.g. </w:t>
      </w:r>
      <w:r>
        <w:rPr>
          <w:i/>
          <w:iCs/>
        </w:rPr>
        <w:t xml:space="preserve">N</w:t>
      </w:r>
      <w:r>
        <w:t xml:space="preserve">₀ at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0).</w:t>
      </w:r>
    </w:p>
    <w:p>
      <w:pPr>
        <w:pStyle w:val="Compact"/>
        <w:numPr>
          <w:ilvl w:val="0"/>
          <w:numId w:val="1110"/>
        </w:numPr>
      </w:pPr>
      <w:r>
        <w:t xml:space="preserve">Units are stated in SI / metric unless a chapter declares otherwise.</w:t>
      </w:r>
    </w:p>
    <w:bookmarkEnd w:id="375"/>
    <w:bookmarkStart w:id="376" w:name="symbol-table"/>
    <w:p>
      <w:pPr>
        <w:pStyle w:val="Heading2"/>
      </w:pPr>
      <w:r>
        <w:t xml:space="preserve">Symbol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time / independent variable</w:t>
            </w:r>
          </w:p>
        </w:tc>
        <w:tc>
          <w:tcPr/>
          <w:p>
            <w:pPr>
              <w:pStyle w:val="Compact"/>
            </w:pPr>
            <w:r>
              <w:t xml:space="preserve">all dynamic models</w:t>
            </w:r>
          </w:p>
        </w:tc>
        <w:tc>
          <w:tcPr/>
          <w:p>
            <w:pPr>
              <w:pStyle w:val="Compact"/>
            </w:pPr>
            <w:r>
              <w:t xml:space="preserve">s (or chapter unit)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state quantity / population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  <w:r>
              <w:t xml:space="preserve">₀</w:t>
            </w:r>
          </w:p>
        </w:tc>
        <w:tc>
          <w:tcPr/>
          <w:p>
            <w:pPr>
              <w:pStyle w:val="Compact"/>
            </w:pPr>
            <w:r>
              <w:t xml:space="preserve">initial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exponential_decay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intrinsic growth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logistic_growth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λ</w:t>
            </w:r>
            <w:r>
              <w:t xml:space="preserve"> </w:t>
            </w:r>
            <w:r>
              <w:t xml:space="preserve">(lambda)</w:t>
            </w:r>
          </w:p>
        </w:tc>
        <w:tc>
          <w:tcPr/>
          <w:p>
            <w:pPr>
              <w:pStyle w:val="Compact"/>
            </w:pPr>
            <w:r>
              <w:t xml:space="preserve">decay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exponential_decay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half_life</w:t>
            </w:r>
          </w:p>
        </w:tc>
        <w:tc>
          <w:tcPr/>
          <w:p>
            <w:pPr>
              <w:pStyle w:val="Compact"/>
            </w:pPr>
            <w:r>
              <w:t xml:space="preserve">1/time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</w:t>
            </w:r>
            <w:r>
              <w:t xml:space="preserve">½</w:t>
            </w:r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half_life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</w:t>
            </w: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maximum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saturating_response</w:t>
            </w:r>
          </w:p>
        </w:tc>
        <w:tc>
          <w:tcPr/>
          <w:p>
            <w:pPr>
              <w:pStyle w:val="Compact"/>
            </w:pPr>
            <w:r>
              <w:t xml:space="preserve">response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K</w:t>
            </w:r>
            <w:r>
              <w:t xml:space="preserve">ₘ</w:t>
            </w:r>
          </w:p>
        </w:tc>
        <w:tc>
          <w:tcPr/>
          <w:p>
            <w:pPr>
              <w:pStyle w:val="Compact"/>
            </w:pPr>
            <w:r>
              <w:t xml:space="preserve">half-saturation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saturating_response</w:t>
            </w:r>
          </w:p>
        </w:tc>
        <w:tc>
          <w:tcPr/>
          <w:p>
            <w:pPr>
              <w:pStyle w:val="Compact"/>
            </w:pPr>
            <w:r>
              <w:t xml:space="preserve">input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paired 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linear_fit</w:t>
            </w:r>
          </w:p>
        </w:tc>
        <w:tc>
          <w:tcPr/>
          <w:p>
            <w:pPr>
              <w:pStyle w:val="Compact"/>
            </w:pPr>
            <w:r>
              <w:t xml:space="preserve">data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slope, intercept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linear_fit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μ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mean, 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descriptive_statistics</w:t>
            </w:r>
          </w:p>
        </w:tc>
        <w:tc>
          <w:tcPr/>
          <w:p>
            <w:pPr>
              <w:pStyle w:val="Compact"/>
            </w:pPr>
            <w:r>
              <w:t xml:space="preserve">data unit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371">
        <w:r>
          <w:rPr>
            <w:rStyle w:val="Hyperlink"/>
          </w:rPr>
          <w:t xml:space="preserve">Appendix C — Mathematical Review</w:t>
        </w:r>
      </w:hyperlink>
      <w:r>
        <w:t xml:space="preserve">.</w:t>
      </w:r>
    </w:p>
    <w:bookmarkEnd w:id="376"/>
    <w:bookmarkEnd w:id="377"/>
    <w:bookmarkStart w:id="390" w:name="sec:appendix_math_review"/>
    <w:p>
      <w:pPr>
        <w:pStyle w:val="Heading1"/>
      </w:pPr>
      <w:r>
        <w:t xml:space="preserve">Appendix C — Mathematical Review</w:t>
      </w:r>
    </w:p>
    <w:p>
      <w:pPr>
        <w:pStyle w:val="BlockText"/>
      </w:pPr>
      <w:r>
        <w:t xml:space="preserve">Reference appendix · Just-enough mathematics for the worked models.</w:t>
      </w:r>
    </w:p>
    <w:p>
      <w:pPr>
        <w:pStyle w:val="FirstParagraph"/>
      </w:pPr>
      <w:r>
        <w:t xml:space="preserve">A brief refresher on the mathematics the book relies on. Each section ties</w:t>
      </w:r>
      <w:r>
        <w:t xml:space="preserve"> </w:t>
      </w:r>
      <w:r>
        <w:t xml:space="preserve">directly to a function in</w:t>
      </w:r>
      <w:r>
        <w:t xml:space="preserve"> </w:t>
      </w:r>
      <w:hyperlink r:id="rId374">
        <w:r>
          <w:rPr>
            <w:rStyle w:val="VerbatimChar"/>
          </w:rPr>
          <w:t xml:space="preserve">src/textbook/models.py</w:t>
        </w:r>
      </w:hyperlink>
      <w:r>
        <w:t xml:space="preserve"> </w:t>
      </w:r>
      <w:r>
        <w:t xml:space="preserve">so you can move from formula to tested code without a gap. Replace the stubs with</w:t>
      </w:r>
      <w:r>
        <w:t xml:space="preserve"> </w:t>
      </w:r>
      <w:r>
        <w:t xml:space="preserve">the depth your audience needs.</w:t>
      </w:r>
    </w:p>
    <w:bookmarkStart w:id="380" w:name="functions-and-variables"/>
    <w:p>
      <w:pPr>
        <w:pStyle w:val="Heading2"/>
      </w:pPr>
      <w:r>
        <w:t xml:space="preserve">Functions and Variables</w:t>
      </w:r>
    </w:p>
    <w:p>
      <w:pPr>
        <w:pStyle w:val="FirstParagraph"/>
      </w:pPr>
      <w:r>
        <w:t xml:space="preserve">A function maps an input to an output; here state quantities</w:t>
      </w:r>
      <w:r>
        <w:t xml:space="preserve"> </w:t>
      </w:r>
      <w:r>
        <w:t xml:space="preserve">depend on a</w:t>
      </w:r>
      <w:r>
        <w:t xml:space="preserve"> </w:t>
      </w:r>
      <w:hyperlink r:id="rId378">
        <w:r>
          <w:rPr>
            <w:rStyle w:val="Hyperlink"/>
            <w:b/>
            <w:bCs/>
          </w:rPr>
          <w:t xml:space="preserve">variable</w:t>
        </w:r>
      </w:hyperlink>
      <w:r>
        <w:t xml:space="preserve"> </w:t>
      </w:r>
      <w:r>
        <w:t xml:space="preserve">such as time, tuned by</w:t>
      </w:r>
      <w:r>
        <w:t xml:space="preserve"> </w:t>
      </w:r>
      <w:hyperlink r:id="rId379">
        <w:r>
          <w:rPr>
            <w:rStyle w:val="Hyperlink"/>
            <w:b/>
            <w:bCs/>
          </w:rPr>
          <w:t xml:space="preserve">parameters</w:t>
        </w:r>
      </w:hyperlink>
      <w:r>
        <w:t xml:space="preserve">. See</w:t>
      </w:r>
      <w:r>
        <w:t xml:space="preserve"> </w:t>
      </w:r>
      <w:r>
        <w:rPr>
          <w:rStyle w:val="VerbatimChar"/>
        </w:rPr>
        <w:t xml:space="preserve">normalize_unit_interval</w:t>
      </w:r>
      <w:r>
        <w:t xml:space="preserve"> </w:t>
      </w:r>
      <w:r>
        <w:t xml:space="preserve">for</w:t>
      </w:r>
      <w:r>
        <w:t xml:space="preserve"> </w:t>
      </w:r>
      <w:r>
        <w:t xml:space="preserve">rescaling inputs to [0, 1].</w:t>
      </w:r>
    </w:p>
    <w:bookmarkEnd w:id="380"/>
    <w:bookmarkStart w:id="382" w:name="growth-and-decay"/>
    <w:p>
      <w:pPr>
        <w:pStyle w:val="Heading2"/>
      </w:pPr>
      <w:r>
        <w:t xml:space="preserve">Growth and Decay</w:t>
      </w:r>
    </w:p>
    <w:p>
      <w:pPr>
        <w:pStyle w:val="FirstParagraph"/>
      </w:pPr>
      <w:r>
        <w:t xml:space="preserve">Logistic growth (</w:t>
      </w:r>
      <w:r>
        <w:rPr>
          <w:rStyle w:val="VerbatimChar"/>
        </w:rPr>
        <w:t xml:space="preserve">logistic_growth</w:t>
      </w:r>
      <w:r>
        <w:t xml:space="preserve">) rises then saturates at the</w:t>
      </w:r>
      <w:r>
        <w:t xml:space="preserve"> </w:t>
      </w:r>
      <w:r>
        <w:t xml:space="preserve">carrying capacity</w:t>
      </w:r>
      <w:r>
        <w:t xml:space="preserve"> </w:t>
      </w:r>
      <w:r>
        <w:rPr>
          <w:i/>
          <w:iCs/>
        </w:rPr>
        <w:t xml:space="preserve">K</w:t>
      </w:r>
      <w:r>
        <w:t xml:space="preserve">; exponential decay (</w:t>
      </w:r>
      <w:r>
        <w:rPr>
          <w:rStyle w:val="VerbatimChar"/>
        </w:rPr>
        <w:t xml:space="preserve">exponential_decay</w:t>
      </w:r>
      <w:r>
        <w:t xml:space="preserve">) falls by a fixed</w:t>
      </w:r>
      <w:r>
        <w:t xml:space="preserve"> </w:t>
      </w:r>
      <w:r>
        <w:t xml:space="preserve">fraction per unit time, summarised by the half-life</w:t>
      </w:r>
      <w:r>
        <w:t xml:space="preserve"> </w:t>
      </w:r>
      <w:r>
        <w:rPr>
          <w:i/>
          <w:iCs/>
        </w:rPr>
        <w:t xml:space="preserve">t</w:t>
      </w:r>
      <w:r>
        <w:t xml:space="preserve">½ (</w:t>
      </w:r>
      <w:r>
        <w:rPr>
          <w:rStyle w:val="VerbatimChar"/>
        </w:rPr>
        <w:t xml:space="preserve">half_life</w:t>
      </w:r>
      <w:r>
        <w:t xml:space="preserve">). These are</w:t>
      </w:r>
      <w:r>
        <w:t xml:space="preserve"> </w:t>
      </w:r>
      <w:r>
        <w:t xml:space="preserve">the canonical examples of</w:t>
      </w:r>
      <w:r>
        <w:t xml:space="preserve"> </w:t>
      </w:r>
      <w:hyperlink r:id="rId381">
        <w:r>
          <w:rPr>
            <w:rStyle w:val="Hyperlink"/>
            <w:b/>
            <w:bCs/>
          </w:rPr>
          <w:t xml:space="preserve">dynamics</w:t>
        </w:r>
      </w:hyperlink>
      <w:r>
        <w:t xml:space="preserve">.</w:t>
      </w:r>
    </w:p>
    <w:bookmarkEnd w:id="382"/>
    <w:bookmarkStart w:id="384" w:name="saturating-responses"/>
    <w:p>
      <w:pPr>
        <w:pStyle w:val="Heading2"/>
      </w:pPr>
      <w:r>
        <w:t xml:space="preserve">Saturating Responses</w:t>
      </w:r>
    </w:p>
    <w:p>
      <w:pPr>
        <w:pStyle w:val="FirstParagraph"/>
      </w:pPr>
      <w:r>
        <w:t xml:space="preserve">The saturating (Michaelis–Menten-style) 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saturating_response</w:t>
      </w:r>
      <w:r>
        <w:t xml:space="preserve">) climbs toward</w:t>
      </w:r>
      <w:r>
        <w:t xml:space="preserve"> </w:t>
      </w:r>
      <w:r>
        <w:rPr>
          <w:i/>
          <w:iCs/>
        </w:rPr>
        <w:t xml:space="preserve">V</w:t>
      </w:r>
      <w:r>
        <w:t xml:space="preserve">max with half-maximum at</w:t>
      </w:r>
      <w:r>
        <w:t xml:space="preserve"> </w:t>
      </w:r>
      <w:r>
        <w:rPr>
          <w:i/>
          <w:iCs/>
        </w:rPr>
        <w:t xml:space="preserve">K</w:t>
      </w:r>
      <w:r>
        <w:t xml:space="preserve">ₘ — a</w:t>
      </w:r>
      <w:r>
        <w:t xml:space="preserve"> </w:t>
      </w:r>
      <w:r>
        <w:t xml:space="preserve">recurring shape whenever a resource or signal becomes limiting near a</w:t>
      </w:r>
      <w:r>
        <w:t xml:space="preserve"> </w:t>
      </w:r>
      <w:hyperlink r:id="rId383">
        <w:r>
          <w:rPr>
            <w:rStyle w:val="Hyperlink"/>
            <w:b/>
            <w:bCs/>
          </w:rPr>
          <w:t xml:space="preserve">threshold</w:t>
        </w:r>
      </w:hyperlink>
      <w:r>
        <w:t xml:space="preserve">.</w:t>
      </w:r>
    </w:p>
    <w:bookmarkEnd w:id="384"/>
    <w:bookmarkStart w:id="386" w:name="linear-fits"/>
    <w:p>
      <w:pPr>
        <w:pStyle w:val="Heading2"/>
      </w:pPr>
      <w:r>
        <w:t xml:space="preserve">Linear Fits</w:t>
      </w:r>
    </w:p>
    <w:p>
      <w:pPr>
        <w:pStyle w:val="FirstParagraph"/>
      </w:pPr>
      <w:r>
        <w:t xml:space="preserve">Least-squares fitting (</w:t>
      </w:r>
      <w:r>
        <w:rPr>
          <w:rStyle w:val="VerbatimChar"/>
        </w:rPr>
        <w:t xml:space="preserve">linear_fit</w:t>
      </w:r>
      <w:r>
        <w:t xml:space="preserve">) returns a slope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and</w:t>
      </w:r>
      <w:r>
        <w:t xml:space="preserve"> </w:t>
      </w:r>
      <w:r>
        <w:t xml:space="preserve">intercept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for paired data, the simplest way to summarise a trend before</w:t>
      </w:r>
      <w:r>
        <w:t xml:space="preserve"> </w:t>
      </w:r>
      <w:r>
        <w:t xml:space="preserve">reaching for a richer</w:t>
      </w:r>
      <w:r>
        <w:t xml:space="preserve"> </w:t>
      </w:r>
      <w:hyperlink r:id="rId385">
        <w:r>
          <w:rPr>
            <w:rStyle w:val="Hyperlink"/>
            <w:b/>
            <w:bCs/>
          </w:rPr>
          <w:t xml:space="preserve">model</w:t>
        </w:r>
      </w:hyperlink>
      <w:r>
        <w:t xml:space="preserve">.</w:t>
      </w:r>
    </w:p>
    <w:bookmarkEnd w:id="386"/>
    <w:bookmarkStart w:id="389" w:name="basic-statistics"/>
    <w:p>
      <w:pPr>
        <w:pStyle w:val="Heading2"/>
      </w:pPr>
      <w:r>
        <w:t xml:space="preserve">Basic Statistics</w:t>
      </w:r>
    </w:p>
    <w:p>
      <w:pPr>
        <w:pStyle w:val="FirstParagraph"/>
      </w:pPr>
      <w:r>
        <w:t xml:space="preserve">Descriptive statistics (</w:t>
      </w:r>
      <w:r>
        <w:rPr>
          <w:rStyle w:val="VerbatimChar"/>
        </w:rPr>
        <w:t xml:space="preserve">descriptive_statistics</w:t>
      </w:r>
      <w:r>
        <w:t xml:space="preserve">) report the mean</w:t>
      </w:r>
      <w:r>
        <w:t xml:space="preserve"> </w:t>
      </w:r>
      <w:r>
        <w:rPr>
          <w:i/>
          <w:iCs/>
        </w:rPr>
        <w:t xml:space="preserve">μ</w:t>
      </w:r>
      <w:r>
        <w:t xml:space="preserve"> </w:t>
      </w:r>
      <w:r>
        <w:t xml:space="preserve">and standard deviation</w:t>
      </w:r>
      <w:r>
        <w:t xml:space="preserve"> </w:t>
      </w:r>
      <w:r>
        <w:rPr>
          <w:i/>
          <w:iCs/>
        </w:rPr>
        <w:t xml:space="preserve">σ</w:t>
      </w:r>
      <w:r>
        <w:t xml:space="preserve"> </w:t>
      </w:r>
      <w:r>
        <w:t xml:space="preserve">— the first numbers to compute on any</w:t>
      </w:r>
      <w:r>
        <w:t xml:space="preserve"> </w:t>
      </w:r>
      <w:hyperlink r:id="rId387">
        <w:r>
          <w:rPr>
            <w:rStyle w:val="Hyperlink"/>
            <w:b/>
            <w:bCs/>
          </w:rPr>
          <w:t xml:space="preserve">observable</w:t>
        </w:r>
      </w:hyperlink>
      <w:r>
        <w:t xml:space="preserve"> </w:t>
      </w:r>
      <w:r>
        <w:t xml:space="preserve">before inference.</w:t>
      </w:r>
    </w:p>
    <w:p>
      <w:pPr>
        <w:pStyle w:val="BodyText"/>
      </w:pPr>
      <w:r>
        <w:t xml:space="preserve">See also:</w:t>
      </w:r>
      <w:r>
        <w:t xml:space="preserve"> </w:t>
      </w:r>
      <w:hyperlink r:id="rId370">
        <w:r>
          <w:rPr>
            <w:rStyle w:val="Hyperlink"/>
          </w:rPr>
          <w:t xml:space="preserve">Appendix B — Notation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388">
        <w:r>
          <w:rPr>
            <w:rStyle w:val="Hyperlink"/>
          </w:rPr>
          <w:t xml:space="preserve">Authoring Guide</w:t>
        </w:r>
      </w:hyperlink>
      <w:r>
        <w:t xml:space="preserve">.</w:t>
      </w:r>
    </w:p>
    <w:bookmarkEnd w:id="389"/>
    <w:bookmarkEnd w:id="390"/>
    <w:bookmarkStart w:id="403" w:name="sec:appendix_formalisms"/>
    <w:p>
      <w:pPr>
        <w:pStyle w:val="Heading1"/>
      </w:pPr>
      <w:r>
        <w:t xml:space="preserve">Appendix — Formalisms</w:t>
      </w:r>
    </w:p>
    <w:p>
      <w:pPr>
        <w:pStyle w:val="FirstParagraph"/>
      </w:pPr>
      <w:r>
        <w:t xml:space="preserve">A worked example of every</w:t>
      </w:r>
      <w:r>
        <w:t xml:space="preserve"> </w:t>
      </w:r>
      <w:r>
        <w:rPr>
          <w:b/>
          <w:bCs/>
        </w:rPr>
        <w:t xml:space="preserve">formal</w:t>
      </w:r>
      <w:r>
        <w:t xml:space="preserve"> </w:t>
      </w:r>
      <w:r>
        <w:t xml:space="preserve">element a technical book uses: definitions,</w:t>
      </w:r>
      <w:r>
        <w:t xml:space="preserve"> </w:t>
      </w:r>
      <w:r>
        <w:t xml:space="preserve">theorems with proofs, lemmas, algorithms in pseudocode, step-by-step</w:t>
      </w:r>
      <w:r>
        <w:t xml:space="preserve"> </w:t>
      </w:r>
      <w:r>
        <w:t xml:space="preserve">derivations, systems of numbered equations, and dimensioned quantities. Each maps</w:t>
      </w:r>
      <w:r>
        <w:t xml:space="preserve"> </w:t>
      </w:r>
      <w:r>
        <w:t xml:space="preserve">to a tested function in</w:t>
      </w:r>
      <w:r>
        <w:t xml:space="preserve"> </w:t>
      </w:r>
      <w:r>
        <w:rPr>
          <w:rStyle w:val="VerbatimChar"/>
        </w:rPr>
        <w:t xml:space="preserve">src/textbook/models.py</w:t>
      </w:r>
      <w:r>
        <w:t xml:space="preserve">, so the prose and the code stay</w:t>
      </w:r>
      <w:r>
        <w:t xml:space="preserve"> </w:t>
      </w:r>
      <w:r>
        <w:t xml:space="preserve">in agreement.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Convention.</w:t>
      </w:r>
      <w:r>
        <w:t xml:space="preserve"> </w:t>
      </w:r>
      <w:r>
        <w:t xml:space="preserve">Theorem-like environments below use a portable bold-label</w:t>
      </w:r>
      <w:r>
        <w:t xml:space="preserve"> </w:t>
      </w:r>
      <w:r>
        <w:t xml:space="preserve">block-quote form that renders in every target. If your render profile loads</w:t>
      </w:r>
      <w:r>
        <w:t xml:space="preserve"> </w:t>
      </w:r>
      <w:r>
        <w:rPr>
          <w:rStyle w:val="VerbatimChar"/>
        </w:rPr>
        <w:t xml:space="preserve">amsthm</w:t>
      </w:r>
      <w:r>
        <w:t xml:space="preserve"> </w:t>
      </w:r>
      <w:r>
        <w:t xml:space="preserve">(the preamble does), you may instead use native LaTeX</w:t>
      </w:r>
      <w:r>
        <w:t xml:space="preserve"> </w:t>
      </w:r>
      <w:r>
        <w:rPr>
          <w:rStyle w:val="VerbatimChar"/>
        </w:rPr>
        <w:t xml:space="preserve">theorem</w:t>
      </w:r>
      <w:r>
        <w:t xml:space="preserve">,</w:t>
      </w:r>
      <w:r>
        <w:t xml:space="preserve"> </w:t>
      </w:r>
      <w:r>
        <w:rPr>
          <w:rStyle w:val="VerbatimChar"/>
        </w:rPr>
        <w:t xml:space="preserve">lemma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proof</w:t>
      </w:r>
      <w:r>
        <w:t xml:space="preserve"> </w:t>
      </w:r>
      <w:r>
        <w:t xml:space="preserve">environments.</w:t>
      </w:r>
    </w:p>
    <w:p>
      <w:r>
        <w:pict>
          <v:rect style="width:0;height:1.5pt" o:hralign="center" o:hrstd="t" o:hr="t"/>
        </w:pict>
      </w:r>
    </w:p>
    <w:bookmarkStart w:id="391" w:name="definitions"/>
    <w:p>
      <w:pPr>
        <w:pStyle w:val="Heading2"/>
      </w:pPr>
      <w:r>
        <w:t xml:space="preserve">1. Definitions</w:t>
      </w:r>
    </w:p>
    <w:p>
      <w:pPr>
        <w:pStyle w:val="BlockText"/>
      </w:pPr>
      <w:r>
        <w:rPr>
          <w:b/>
          <w:bCs/>
        </w:rPr>
        <w:t xml:space="preserve">Definition 1 (Equilibrium).</w:t>
      </w:r>
      <w:r>
        <w:t xml:space="preserve"> </w:t>
      </w:r>
      <w:r>
        <w:t xml:space="preserve">A state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a dynamical system</w:t>
      </w:r>
      <w:r>
        <w:t xml:space="preserve"> </w:t>
      </w:r>
      <m:oMath>
        <m:acc>
          <m:accPr>
            <m:chr m:val="̇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equilibrium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See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Definition 2 (Carrying capacity).</w:t>
      </w:r>
      <w:r>
        <w:t xml:space="preserve"> </w:t>
      </w:r>
      <w:r>
        <w:t xml:space="preserve">For logistic dynamics, the</w:t>
      </w:r>
      <w:r>
        <w:t xml:space="preserve"> </w:t>
      </w:r>
      <w:r>
        <w:rPr>
          <w:i/>
          <w:iCs/>
        </w:rPr>
        <w:t xml:space="preserve">carrying</w:t>
      </w:r>
      <w:r>
        <w:rPr>
          <w:i/>
          <w:iCs/>
        </w:rPr>
        <w:t xml:space="preserve"> </w:t>
      </w:r>
      <w:r>
        <w:rPr>
          <w:i/>
          <w:iCs/>
        </w:rPr>
        <w:t xml:space="preserve">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non-zero equilibrium toward which trajectories converge.</w:t>
      </w:r>
    </w:p>
    <w:p>
      <w:r>
        <w:pict>
          <v:rect style="width:0;height:1.5pt" o:hralign="center" o:hrstd="t" o:hr="t"/>
        </w:pict>
      </w:r>
    </w:p>
    <w:bookmarkEnd w:id="391"/>
    <w:bookmarkStart w:id="393" w:name="a-theorem-with-proof"/>
    <w:p>
      <w:pPr>
        <w:pStyle w:val="Heading2"/>
      </w:pPr>
      <w:r>
        <w:t xml:space="preserve">2. A theorem with proof</w:t>
      </w:r>
    </w:p>
    <w:p>
      <w:pPr>
        <w:pStyle w:val="BlockText"/>
      </w:pPr>
      <w:r>
        <w:rPr>
          <w:b/>
          <w:bCs/>
        </w:rPr>
        <w:t xml:space="preserve">Theorem 1 (Logistic limit).</w:t>
      </w:r>
      <w:r>
        <w:t xml:space="preserve"> </w:t>
      </w:r>
      <w:r>
        <w:t xml:space="preserve">For the logistic model in</w:t>
      </w:r>
      <w:r>
        <w:t xml:space="preserve"> </w:t>
      </w:r>
      <w:r>
        <w:t xml:space="preserve">eq. 14 with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the trajectory</w:t>
      </w:r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FirstParagraph"/>
      </w:pPr>
      <w:bookmarkStart w:id="392" w:name="eq:formalisms_logistic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2"/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Because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the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Hence the</w:t>
      </w:r>
      <w:r>
        <w:t xml:space="preserve"> </w:t>
      </w:r>
      <w:r>
        <w:t xml:space="preserve">denominator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→</m:t>
        </m:r>
        <m:r>
          <m:t>1</m:t>
        </m:r>
      </m:oMath>
      <w:r>
        <w:t xml:space="preserve">, and therefore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K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K</m:t>
        </m:r>
      </m:oMath>
      <w:r>
        <w:t xml:space="preserve">. The</w:t>
      </w:r>
      <w:r>
        <w:t xml:space="preserve"> </w:t>
      </w:r>
      <w:r>
        <w:t xml:space="preserve">constant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follows from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 and the</w:t>
      </w:r>
      <w:r>
        <w:t xml:space="preserve"> </w:t>
      </w:r>
      <w:r>
        <w:t xml:space="preserve">limit is approached from below.</w:t>
      </w:r>
      <w:r>
        <w:t xml:space="preserve"> </w:t>
      </w:r>
      <m:oMath>
        <m:r>
          <m:t>  </m:t>
        </m:r>
        <m:r>
          <m:rPr>
            <m:sty m:val="p"/>
          </m:rPr>
          <m:t>◼</m:t>
        </m:r>
      </m:oMath>
    </w:p>
    <w:p>
      <w:pPr>
        <w:pStyle w:val="BodyText"/>
      </w:pPr>
      <w:r>
        <w:t xml:space="preserve">This is exactly the asymptotic behaviour the test</w:t>
      </w:r>
      <w:r>
        <w:t xml:space="preserve"> </w:t>
      </w:r>
      <w:r>
        <w:rPr>
          <w:rStyle w:val="VerbatimChar"/>
        </w:rPr>
        <w:t xml:space="preserve">tests/test_models.py::test_logistic_growth_starts_at_initial_and_approaches_capacity</w:t>
      </w:r>
      <w:r>
        <w:t xml:space="preserve"> </w:t>
      </w:r>
      <w:r>
        <w:t xml:space="preserve">verifies numerically — the proof and the test assert the same fact.</w:t>
      </w:r>
    </w:p>
    <w:p>
      <w:r>
        <w:pict>
          <v:rect style="width:0;height:1.5pt" o:hralign="center" o:hrstd="t" o:hr="t"/>
        </w:pict>
      </w:r>
    </w:p>
    <w:bookmarkEnd w:id="393"/>
    <w:bookmarkStart w:id="394" w:name="a-lemma"/>
    <w:p>
      <w:pPr>
        <w:pStyle w:val="Heading2"/>
      </w:pPr>
      <w:r>
        <w:t xml:space="preserve">3. A lemma</w:t>
      </w:r>
    </w:p>
    <w:p>
      <w:pPr>
        <w:pStyle w:val="BlockText"/>
      </w:pPr>
      <w:r>
        <w:rPr>
          <w:b/>
          <w:bCs/>
        </w:rPr>
        <w:t xml:space="preserve">Lemma 1 (Half-life).</w:t>
      </w:r>
      <w:r>
        <w:t xml:space="preserve"> </w:t>
      </w:r>
      <w:r>
        <w:t xml:space="preserve">For exponential decay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the time at which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falls to half its initial value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, independent of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Set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 Then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t>λ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</m:oMath>
      <w:r>
        <w:t xml:space="preserve">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. The result does</w:t>
      </w:r>
      <w:r>
        <w:t xml:space="preserve"> </w:t>
      </w:r>
      <w:r>
        <w:t xml:space="preserve">not depend on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t>  </m:t>
        </m:r>
        <m:r>
          <m:rPr>
            <m:sty m:val="p"/>
          </m:rPr>
          <m:t>◼</m:t>
        </m:r>
      </m:oMath>
    </w:p>
    <w:p>
      <w:pPr>
        <w:pStyle w:val="BodyText"/>
      </w:pPr>
      <w:r>
        <w:t xml:space="preserve">Implemented as</w:t>
      </w:r>
      <w:r>
        <w:t xml:space="preserve"> </w:t>
      </w:r>
      <w:r>
        <w:rPr>
          <w:rStyle w:val="VerbatimChar"/>
        </w:rPr>
        <w:t xml:space="preserve">textbook.models.half_life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4"/>
    <w:bookmarkStart w:id="395" w:name="algorithms-pseudocode"/>
    <w:p>
      <w:pPr>
        <w:pStyle w:val="Heading2"/>
      </w:pPr>
      <w:r>
        <w:t xml:space="preserve">4. Algorithms (pseudocode)</w:t>
      </w:r>
    </w:p>
    <w:p>
      <w:pPr>
        <w:pStyle w:val="FirstParagraph"/>
      </w:pPr>
      <w:r>
        <w:t xml:space="preserve">Where the preamble provides an algorithm package, use it; otherwise this fenced</w:t>
      </w:r>
      <w:r>
        <w:t xml:space="preserve"> </w:t>
      </w:r>
      <w:r>
        <w:t xml:space="preserve">form renders everywhere.</w:t>
      </w:r>
    </w:p>
    <w:p>
      <w:pPr>
        <w:pStyle w:val="SourceCode"/>
      </w:pPr>
      <w:r>
        <w:rPr>
          <w:rStyle w:val="VerbatimChar"/>
        </w:rPr>
        <w:t xml:space="preserve">Algorithm 1: Ordinary least-squares line fit</w:t>
      </w:r>
      <w:r>
        <w:br/>
      </w:r>
      <w:r>
        <w:rPr>
          <w:rStyle w:val="VerbatimChar"/>
        </w:rPr>
        <w:t xml:space="preserve">Input : points (x_i, y_i), i = 1..n,  n &gt;= 2</w:t>
      </w:r>
      <w:r>
        <w:br/>
      </w:r>
      <w:r>
        <w:rPr>
          <w:rStyle w:val="VerbatimChar"/>
        </w:rPr>
        <w:t xml:space="preserve">Output: slope m, intercept b, coefficient of determination R^2</w:t>
      </w:r>
      <w:r>
        <w:br/>
      </w:r>
      <w:r>
        <w:rPr>
          <w:rStyle w:val="VerbatimChar"/>
        </w:rPr>
        <w:t xml:space="preserve">1  x_bar &lt;- mean(x);  y_bar &lt;- mean(y)</w:t>
      </w:r>
      <w:r>
        <w:br/>
      </w:r>
      <w:r>
        <w:rPr>
          <w:rStyle w:val="VerbatimChar"/>
        </w:rPr>
        <w:t xml:space="preserve">2  m &lt;- sum((x_i - x_bar)(y_i - y_bar)) / sum((x_i - x_bar)^2)</w:t>
      </w:r>
      <w:r>
        <w:br/>
      </w:r>
      <w:r>
        <w:rPr>
          <w:rStyle w:val="VerbatimChar"/>
        </w:rPr>
        <w:t xml:space="preserve">3  b &lt;- y_bar - m * x_bar</w:t>
      </w:r>
      <w:r>
        <w:br/>
      </w:r>
      <w:r>
        <w:rPr>
          <w:rStyle w:val="VerbatimChar"/>
        </w:rPr>
        <w:t xml:space="preserve">4  SS_res &lt;- sum((y_i - (m x_i + b))^2)</w:t>
      </w:r>
      <w:r>
        <w:br/>
      </w:r>
      <w:r>
        <w:rPr>
          <w:rStyle w:val="VerbatimChar"/>
        </w:rPr>
        <w:t xml:space="preserve">5  SS_tot &lt;- sum((y_i - y_bar)^2)</w:t>
      </w:r>
      <w:r>
        <w:br/>
      </w:r>
      <w:r>
        <w:rPr>
          <w:rStyle w:val="VerbatimChar"/>
        </w:rPr>
        <w:t xml:space="preserve">6  R^2 &lt;- 1 - SS_res / SS_tot      (define R^2 = 1 when SS_tot = 0)</w:t>
      </w:r>
      <w:r>
        <w:br/>
      </w:r>
      <w:r>
        <w:rPr>
          <w:rStyle w:val="VerbatimChar"/>
        </w:rPr>
        <w:t xml:space="preserve">7  return (m, b, R^2)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textbook.models.linear_fit</w:t>
      </w:r>
      <w:r>
        <w:t xml:space="preserve">; Step 6’s degenerate case is covered by</w:t>
      </w:r>
      <w:r>
        <w:t xml:space="preserve"> </w:t>
      </w:r>
      <w:r>
        <w:rPr>
          <w:rStyle w:val="VerbatimChar"/>
        </w:rPr>
        <w:t xml:space="preserve">tests/test_models.py::test_linear_fit_constant_y_gives_r_squared_one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5"/>
    <w:bookmarkStart w:id="396" w:name="a-step-by-step-derivation"/>
    <w:p>
      <w:pPr>
        <w:pStyle w:val="Heading2"/>
      </w:pPr>
      <w:r>
        <w:t xml:space="preserve">5. A step-by-step derivation</w:t>
      </w:r>
    </w:p>
    <w:p>
      <w:pPr>
        <w:pStyle w:val="FirstParagraph"/>
      </w:pPr>
      <w:r>
        <w:t xml:space="preserve">Starting from the logistic differential equation and separating variables: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recovers eq. 14. Each line is one algebraic move; show</w:t>
      </w:r>
      <w:r>
        <w:t xml:space="preserve"> </w:t>
      </w:r>
      <w:r>
        <w:t xml:space="preserve">your work at this granularity so readers can follow without gaps.</w:t>
      </w:r>
    </w:p>
    <w:p>
      <w:r>
        <w:pict>
          <v:rect style="width:0;height:1.5pt" o:hralign="center" o:hrstd="t" o:hr="t"/>
        </w:pict>
      </w:r>
    </w:p>
    <w:bookmarkEnd w:id="396"/>
    <w:bookmarkStart w:id="399" w:name="a-system-of-numbered-equations"/>
    <w:p>
      <w:pPr>
        <w:pStyle w:val="Heading2"/>
      </w:pPr>
      <w:r>
        <w:t xml:space="preserve">6. A system of numbered equations</w:t>
      </w:r>
    </w:p>
    <w:p>
      <w:pPr>
        <w:pStyle w:val="FirstParagraph"/>
      </w:pPr>
      <w:r>
        <w:t xml:space="preserve">A simple predator–prey system, with each equation individually referenceable</w:t>
      </w:r>
      <w:r>
        <w:t xml:space="preserve"> </w:t>
      </w:r>
      <w:r>
        <w:t xml:space="preserve">(eq. 15, eq. 16):</w:t>
      </w:r>
    </w:p>
    <w:p>
      <w:pPr>
        <w:pStyle w:val="BodyText"/>
      </w:pPr>
      <w:bookmarkStart w:id="397" w:name="eq:formalisms_prey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397"/>
    </w:p>
    <w:p>
      <w:pPr>
        <w:pStyle w:val="FirstParagraph"/>
      </w:pPr>
      <w:bookmarkStart w:id="398" w:name="eq:formalisms_pred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398"/>
    </w:p>
    <w:p>
      <w:pPr>
        <w:pStyle w:val="FirstParagraph"/>
      </w:pPr>
      <w:r>
        <w:t xml:space="preserve">The vector-field figure style for such systems is demonstrated by the quiver plot</w:t>
      </w:r>
      <w:r>
        <w:t xml:space="preserve"> </w:t>
      </w:r>
      <w:r>
        <w:t xml:space="preserve">in the format gallery (sec. 47).</w:t>
      </w:r>
    </w:p>
    <w:p>
      <w:r>
        <w:pict>
          <v:rect style="width:0;height:1.5pt" o:hralign="center" o:hrstd="t" o:hr="t"/>
        </w:pict>
      </w:r>
    </w:p>
    <w:bookmarkEnd w:id="399"/>
    <w:bookmarkStart w:id="401" w:name="dimensioned-quantities"/>
    <w:p>
      <w:pPr>
        <w:pStyle w:val="Heading2"/>
      </w:pPr>
      <w:r>
        <w:t xml:space="preserve">7. Dimensioned quantities</w:t>
      </w:r>
    </w:p>
    <w:p>
      <w:pPr>
        <w:pStyle w:val="FirstParagraph"/>
      </w:pPr>
      <w:r>
        <w:t xml:space="preserve">State parameters with units explicitly, in math mode so they render in every</w:t>
      </w:r>
      <w:r>
        <w:t xml:space="preserve"> </w:t>
      </w:r>
      <w:r>
        <w:t xml:space="preserve">target:</w:t>
      </w:r>
    </w:p>
    <w:bookmarkStart w:id="400" w:name="tbl:formalisms_units"/>
    <w:p>
      <w:pPr>
        <w:pStyle w:val="TableCaption"/>
      </w:pPr>
      <w:r>
        <w:t xml:space="preserve">Table 13: Worked-model parameters with representative dimensioned 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3: Worked-model parameters with representative dimensioned valu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</w:t>
            </w:r>
          </w:p>
        </w:tc>
        <w:tc>
          <w:tcPr/>
          <w:p>
            <w:pPr>
              <w:pStyle w:val="Compact"/>
            </w:pPr>
            <m:oMath>
              <m:r>
                <m:t>0.8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decay constant</w:t>
            </w:r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half-life</w:t>
            </w:r>
          </w:p>
        </w:tc>
        <w:tc>
          <w:tcPr/>
          <w:p>
            <w:pPr>
              <w:pStyle w:val="Compact"/>
            </w:pPr>
            <m:oMath>
              <m:r>
                <m:t>1.386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</w:t>
            </w:r>
          </w:p>
        </w:tc>
        <w:tc>
          <w:tcPr/>
          <w:p>
            <w:pPr>
              <w:pStyle w:val="Compact"/>
            </w:pPr>
            <m:oMath>
              <m:r>
                <m:t>100</m:t>
              </m:r>
            </m:oMath>
            <w:r>
              <w:t xml:space="preserve"> </w:t>
            </w:r>
            <w:r>
              <w:t xml:space="preserve">individuals</w:t>
            </w:r>
          </w:p>
        </w:tc>
      </w:tr>
    </w:tbl>
    <w:bookmarkEnd w:id="400"/>
    <w:p>
      <w:r>
        <w:pict>
          <v:rect style="width:0;height:1.5pt" o:hralign="center" o:hrstd="t" o:hr="t"/>
        </w:pict>
      </w:r>
    </w:p>
    <w:bookmarkEnd w:id="401"/>
    <w:bookmarkStart w:id="402" w:name="notation-summary"/>
    <w:p>
      <w:pPr>
        <w:pStyle w:val="Heading2"/>
      </w:pPr>
      <w:r>
        <w:t xml:space="preserve">8. Notation summary</w:t>
      </w:r>
    </w:p>
    <w:p>
      <w:pPr>
        <w:pStyle w:val="FirstParagraph"/>
      </w:pPr>
      <w:r>
        <w:t xml:space="preserve">Symbols used throughout are collected in the notation appendix</w:t>
      </w:r>
      <w:r>
        <w:t xml:space="preserve"> </w:t>
      </w:r>
      <w:r>
        <w:t xml:space="preserve">(sec. 44); glossary definitions for narrative terms such as</w:t>
      </w:r>
      <w:r>
        <w:t xml:space="preserve"> </w:t>
      </w:r>
      <w:hyperlink w:anchor="gl:gradient">
        <w:r>
          <w:rPr>
            <w:rStyle w:val="Hyperlink"/>
            <w:b/>
            <w:bCs/>
          </w:rPr>
          <w:t xml:space="preserve">gradient</w:t>
        </w:r>
      </w:hyperlink>
      <w:r>
        <w:t xml:space="preserve"> </w:t>
      </w:r>
      <w:r>
        <w:t xml:space="preserve">and</w:t>
      </w:r>
      <w:r>
        <w:t xml:space="preserve"> </w:t>
      </w:r>
      <w:hyperlink w:anchor="gl:threshold">
        <w:r>
          <w:rPr>
            <w:rStyle w:val="Hyperlink"/>
            <w:b/>
            <w:bCs/>
          </w:rPr>
          <w:t xml:space="preserve">threshold</w:t>
        </w:r>
      </w:hyperlink>
      <w:r>
        <w:t xml:space="preserve"> </w:t>
      </w:r>
      <w:r>
        <w:t xml:space="preserve">are in the master</w:t>
      </w:r>
      <w:r>
        <w:t xml:space="preserve"> </w:t>
      </w:r>
      <w:r>
        <w:t xml:space="preserve">glossary.</w:t>
      </w:r>
    </w:p>
    <w:bookmarkEnd w:id="402"/>
    <w:bookmarkEnd w:id="403"/>
    <w:bookmarkStart w:id="445" w:name="sec:appendix_format_gallery"/>
    <w:p>
      <w:pPr>
        <w:pStyle w:val="Heading1"/>
      </w:pPr>
      <w:r>
        <w:t xml:space="preserve">Appendix — Format Gallery</w:t>
      </w:r>
    </w:p>
    <w:p>
      <w:pPr>
        <w:pStyle w:val="FirstParagraph"/>
      </w:pPr>
      <w:r>
        <w:t xml:space="preserve">This appendix is a</w:t>
      </w:r>
      <w:r>
        <w:t xml:space="preserve"> </w:t>
      </w:r>
      <w:r>
        <w:rPr>
          <w:b/>
          <w:bCs/>
        </w:rPr>
        <w:t xml:space="preserve">kitchen-sink demonstration</w:t>
      </w:r>
      <w:r>
        <w:t xml:space="preserve">: a working example of every</w:t>
      </w:r>
      <w:r>
        <w:t xml:space="preserve"> </w:t>
      </w:r>
      <w:r>
        <w:t xml:space="preserve">content primitive this template supports. Copy any block into a chapter and</w:t>
      </w:r>
      <w:r>
        <w:t xml:space="preserve"> </w:t>
      </w:r>
      <w:r>
        <w:t xml:space="preserve">adapt it. Each example is real and renders through the standard pipeline; figures</w:t>
      </w:r>
      <w:r>
        <w:t xml:space="preserve"> </w:t>
      </w:r>
      <w:r>
        <w:t xml:space="preserve">are produced deterministically by</w:t>
      </w:r>
      <w:r>
        <w:t xml:space="preserve"> </w:t>
      </w:r>
      <w:r>
        <w:rPr>
          <w:rStyle w:val="VerbatimChar"/>
        </w:rPr>
        <w:t xml:space="preserve">src/visualization/</w:t>
      </w:r>
      <w:r>
        <w:t xml:space="preserve"> </w:t>
      </w:r>
      <w:r>
        <w:t xml:space="preserve">and embedded from</w:t>
      </w:r>
      <w:r>
        <w:t xml:space="preserve"> </w:t>
      </w:r>
      <w:r>
        <w:rPr>
          <w:rStyle w:val="VerbatimChar"/>
        </w:rPr>
        <w:t xml:space="preserve">../figures/</w:t>
      </w:r>
      <w:r>
        <w:t xml:space="preserve">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How to read this appendix.</w:t>
      </w:r>
      <w:r>
        <w:t xml:space="preserve"> </w:t>
      </w:r>
      <w:r>
        <w:t xml:space="preserve">Headings group primitives by kind: text, lists,</w:t>
      </w:r>
      <w:r>
        <w:t xml:space="preserve"> </w:t>
      </w:r>
      <w:r>
        <w:t xml:space="preserve">callouts, tables, math, figures, diagrams, code, cross-references, media, and</w:t>
      </w:r>
      <w:r>
        <w:t xml:space="preserve"> </w:t>
      </w:r>
      <w:r>
        <w:t xml:space="preserve">pedagogy blocks. The Markdown source is the example — view it next to the</w:t>
      </w:r>
      <w:r>
        <w:t xml:space="preserve"> </w:t>
      </w:r>
      <w:r>
        <w:t xml:space="preserve">rendered output.</w:t>
      </w:r>
    </w:p>
    <w:p>
      <w:r>
        <w:pict>
          <v:rect style="width:0;height:1.5pt" o:hralign="center" o:hrstd="t" o:hr="t"/>
        </w:pict>
      </w:r>
    </w:p>
    <w:bookmarkStart w:id="405" w:name="text-and-inline-formatting"/>
    <w:p>
      <w:pPr>
        <w:pStyle w:val="Heading2"/>
      </w:pPr>
      <w:r>
        <w:t xml:space="preserve">1. Text and inline formatting</w:t>
      </w:r>
    </w:p>
    <w:p>
      <w:pPr>
        <w:pStyle w:val="FirstParagraph"/>
      </w:pPr>
      <w:r>
        <w:t xml:space="preserve">Plain paragraph text wraps and flows normally. Inline styles: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strike/>
        </w:rPr>
        <w:t xml:space="preserve">strikethrough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with a</w:t>
      </w:r>
      <w:r>
        <w:t xml:space="preserve"> </w:t>
      </w:r>
      <w:r>
        <w:t xml:space="preserve">subscript, E = mc</w:t>
      </w:r>
      <w:r>
        <w:rPr>
          <w:vertAlign w:val="superscript"/>
        </w:rPr>
        <w:t xml:space="preserve">2</w:t>
      </w:r>
      <w:r>
        <w:t xml:space="preserve"> </w:t>
      </w:r>
      <w:r>
        <w:t xml:space="preserve">with a superscript, and a footnote.</w:t>
      </w:r>
      <w:r>
        <w:rPr>
          <w:rStyle w:val="FootnoteReference"/>
        </w:rPr>
        <w:footnoteReference w:id="404"/>
      </w:r>
    </w:p>
    <w:p>
      <w:pPr>
        <w:pStyle w:val="BodyText"/>
      </w:pPr>
      <w:r>
        <w:t xml:space="preserve">You can hard-break a line</w:t>
      </w:r>
      <w:r>
        <w:br/>
      </w:r>
      <w:r>
        <w:t xml:space="preserve">with two trailing spaces, or separate paragraphs with a blank line. Escape</w:t>
      </w:r>
      <w:r>
        <w:t xml:space="preserve"> </w:t>
      </w:r>
      <w:r>
        <w:t xml:space="preserve">literal Markdown with a backslash: *not italic*.</w:t>
      </w:r>
    </w:p>
    <w:p>
      <w:r>
        <w:pict>
          <v:rect style="width:0;height:1.5pt" o:hralign="center" o:hrstd="t" o:hr="t"/>
        </w:pict>
      </w:r>
    </w:p>
    <w:bookmarkEnd w:id="405"/>
    <w:bookmarkStart w:id="406" w:name="lists"/>
    <w:p>
      <w:pPr>
        <w:pStyle w:val="Heading2"/>
      </w:pPr>
      <w:r>
        <w:t xml:space="preserve">2. Lists</w:t>
      </w:r>
    </w:p>
    <w:p>
      <w:pPr>
        <w:pStyle w:val="FirstParagraph"/>
      </w:pPr>
      <w:r>
        <w:t xml:space="preserve">Unordered, with nesting:</w:t>
      </w:r>
    </w:p>
    <w:p>
      <w:pPr>
        <w:pStyle w:val="Compact"/>
        <w:numPr>
          <w:ilvl w:val="0"/>
          <w:numId w:val="1111"/>
        </w:numPr>
      </w:pPr>
      <w:r>
        <w:t xml:space="preserve">First item</w:t>
      </w:r>
    </w:p>
    <w:p>
      <w:pPr>
        <w:pStyle w:val="Compact"/>
        <w:numPr>
          <w:ilvl w:val="0"/>
          <w:numId w:val="1111"/>
        </w:numPr>
      </w:pPr>
      <w:r>
        <w:t xml:space="preserve">Second item</w:t>
      </w:r>
    </w:p>
    <w:p>
      <w:pPr>
        <w:pStyle w:val="Compact"/>
        <w:numPr>
          <w:ilvl w:val="1"/>
          <w:numId w:val="1112"/>
        </w:numPr>
      </w:pPr>
      <w:r>
        <w:t xml:space="preserve">Nested item</w:t>
      </w:r>
    </w:p>
    <w:p>
      <w:pPr>
        <w:pStyle w:val="Compact"/>
        <w:numPr>
          <w:ilvl w:val="1"/>
          <w:numId w:val="1112"/>
        </w:numPr>
      </w:pPr>
      <w:r>
        <w:t xml:space="preserve">Another nested item</w:t>
      </w:r>
    </w:p>
    <w:p>
      <w:pPr>
        <w:pStyle w:val="Compact"/>
        <w:numPr>
          <w:ilvl w:val="2"/>
          <w:numId w:val="1113"/>
        </w:numPr>
      </w:pPr>
      <w:r>
        <w:t xml:space="preserve">Third level</w:t>
      </w:r>
    </w:p>
    <w:p>
      <w:pPr>
        <w:pStyle w:val="Compact"/>
        <w:numPr>
          <w:ilvl w:val="0"/>
          <w:numId w:val="1111"/>
        </w:numPr>
      </w:pPr>
      <w:r>
        <w:t xml:space="preserve">Third item</w:t>
      </w:r>
    </w:p>
    <w:p>
      <w:pPr>
        <w:pStyle w:val="FirstParagraph"/>
      </w:pPr>
      <w:r>
        <w:t xml:space="preserve">Ordered:</w:t>
      </w:r>
    </w:p>
    <w:p>
      <w:pPr>
        <w:pStyle w:val="Compact"/>
        <w:numPr>
          <w:ilvl w:val="0"/>
          <w:numId w:val="1114"/>
        </w:numPr>
      </w:pPr>
      <w:r>
        <w:t xml:space="preserve">Step one</w:t>
      </w:r>
    </w:p>
    <w:p>
      <w:pPr>
        <w:pStyle w:val="Compact"/>
        <w:numPr>
          <w:ilvl w:val="0"/>
          <w:numId w:val="1114"/>
        </w:numPr>
      </w:pPr>
      <w:r>
        <w:t xml:space="preserve">Step two</w:t>
      </w:r>
    </w:p>
    <w:p>
      <w:pPr>
        <w:pStyle w:val="Compact"/>
        <w:numPr>
          <w:ilvl w:val="1"/>
          <w:numId w:val="1115"/>
        </w:numPr>
      </w:pPr>
      <w:r>
        <w:t xml:space="preserve">Sub-step a</w:t>
      </w:r>
    </w:p>
    <w:p>
      <w:pPr>
        <w:pStyle w:val="Compact"/>
        <w:numPr>
          <w:ilvl w:val="1"/>
          <w:numId w:val="1115"/>
        </w:numPr>
      </w:pPr>
      <w:r>
        <w:t xml:space="preserve">Sub-step b</w:t>
      </w:r>
    </w:p>
    <w:p>
      <w:pPr>
        <w:pStyle w:val="Compact"/>
        <w:numPr>
          <w:ilvl w:val="0"/>
          <w:numId w:val="1114"/>
        </w:numPr>
      </w:pPr>
      <w:r>
        <w:t xml:space="preserve">Step three</w:t>
      </w:r>
    </w:p>
    <w:p>
      <w:pPr>
        <w:pStyle w:val="FirstParagraph"/>
      </w:pPr>
      <w:r>
        <w:t xml:space="preserve">Task list (renders as checkboxes in many targets):</w:t>
      </w:r>
    </w:p>
    <w:p>
      <w:pPr>
        <w:pStyle w:val="Compact"/>
        <w:numPr>
          <w:ilvl w:val="0"/>
          <w:numId w:val="1116"/>
        </w:numPr>
      </w:pPr>
      <w:r>
        <w:t xml:space="preserve">Scaffold the chapter</w:t>
      </w:r>
    </w:p>
    <w:p>
      <w:pPr>
        <w:pStyle w:val="Compact"/>
        <w:numPr>
          <w:ilvl w:val="0"/>
          <w:numId w:val="1117"/>
        </w:numPr>
      </w:pPr>
      <w:r>
        <w:t xml:space="preserve">Generate figures</w:t>
      </w:r>
    </w:p>
    <w:p>
      <w:pPr>
        <w:pStyle w:val="Compact"/>
        <w:numPr>
          <w:ilvl w:val="0"/>
          <w:numId w:val="1118"/>
        </w:numPr>
      </w:pPr>
      <w:r>
        <w:t xml:space="preserve">Fill the prose</w:t>
      </w:r>
    </w:p>
    <w:p>
      <w:pPr>
        <w:pStyle w:val="Compact"/>
        <w:numPr>
          <w:ilvl w:val="0"/>
          <w:numId w:val="1119"/>
        </w:numPr>
      </w:pPr>
      <w:r>
        <w:t xml:space="preserve">Write the assessment answers</w:t>
      </w:r>
    </w:p>
    <w:p>
      <w:pPr>
        <w:pStyle w:val="FirstParagraph"/>
      </w:pPr>
      <w:r>
        <w:t xml:space="preserve">Definition list:</w:t>
      </w:r>
    </w:p>
    <w:p>
      <w:pPr>
        <w:pStyle w:val="DefinitionTerm"/>
      </w:pPr>
      <w:r>
        <w:t xml:space="preserve">Parameter</w:t>
      </w:r>
    </w:p>
    <w:p>
      <w:pPr>
        <w:pStyle w:val="Definition"/>
      </w:pPr>
      <w:r>
        <w:t xml:space="preserve">A fixed quantity that configures a model (see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).</w:t>
      </w:r>
    </w:p>
    <w:p>
      <w:pPr>
        <w:pStyle w:val="DefinitionTerm"/>
      </w:pPr>
      <w:r>
        <w:t xml:space="preserve">Variable</w:t>
      </w:r>
    </w:p>
    <w:p>
      <w:pPr>
        <w:pStyle w:val="Definition"/>
      </w:pPr>
      <w:r>
        <w:t xml:space="preserve">A quantity that changes across states (see</w:t>
      </w:r>
      <w:r>
        <w:t xml:space="preserve"> </w:t>
      </w:r>
      <w:hyperlink w:anchor="gl:variable">
        <w:r>
          <w:rPr>
            <w:rStyle w:val="Hyperlink"/>
            <w:b/>
            <w:bCs/>
          </w:rPr>
          <w:t xml:space="preserve">variable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06"/>
    <w:bookmarkStart w:id="407" w:name="block-quotes-and-callouts"/>
    <w:p>
      <w:pPr>
        <w:pStyle w:val="Heading2"/>
      </w:pPr>
      <w:r>
        <w:t xml:space="preserve">3. Block quotes and callouts</w:t>
      </w:r>
    </w:p>
    <w:p>
      <w:pPr>
        <w:pStyle w:val="FirstParagraph"/>
      </w:pPr>
      <w:r>
        <w:t xml:space="preserve">A plain block quote:</w:t>
      </w:r>
    </w:p>
    <w:p>
      <w:pPr>
        <w:pStyle w:val="BlockText"/>
      </w:pPr>
      <w:r>
        <w:t xml:space="preserve">“Form follows function.”</w:t>
      </w:r>
      <w:r>
        <w:t xml:space="preserve"> </w:t>
      </w:r>
      <w:r>
        <w:t xml:space="preserve">Use quotes for epigraphs and primary-source extracts.</w:t>
      </w:r>
    </w:p>
    <w:p>
      <w:pPr>
        <w:pStyle w:val="FirstParagraph"/>
      </w:pPr>
      <w:r>
        <w:t xml:space="preserve">Portable callouts (a bold label inside a block quote — renders in every target):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A neutral aside that adds context.</w:t>
      </w:r>
    </w:p>
    <w:p>
      <w:pPr>
        <w:pStyle w:val="BlockText"/>
      </w:pPr>
      <w:r>
        <w:rPr>
          <w:b/>
          <w:bCs/>
        </w:rPr>
        <w:t xml:space="preserve">Tip.</w:t>
      </w:r>
      <w:r>
        <w:t xml:space="preserve"> </w:t>
      </w:r>
      <w:r>
        <w:t xml:space="preserve">A practical suggestion the reader can act on.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 caveat, common error, or safety note.</w:t>
      </w:r>
    </w:p>
    <w:p>
      <w:pPr>
        <w:pStyle w:val="BlockText"/>
      </w:pPr>
      <w:r>
        <w:rPr>
          <w:b/>
          <w:bCs/>
        </w:rPr>
        <w:t xml:space="preserve">Example.</w:t>
      </w:r>
      <w:r>
        <w:t xml:space="preserve"> </w:t>
      </w:r>
      <w:r>
        <w:t xml:space="preserve">A short worked illustration inline in the text.</w:t>
      </w:r>
    </w:p>
    <w:p>
      <w:pPr>
        <w:pStyle w:val="BlockText"/>
      </w:pPr>
      <w:r>
        <w:rPr>
          <w:b/>
          <w:bCs/>
        </w:rPr>
        <w:t xml:space="preserve">Definition.</w:t>
      </w:r>
      <w:r>
        <w:t xml:space="preserve"> </w:t>
      </w:r>
      <w:r>
        <w:t xml:space="preserve">A precise statement of a term, often paired with a glossary</w:t>
      </w:r>
      <w:r>
        <w:t xml:space="preserve"> </w:t>
      </w:r>
      <w:r>
        <w:t xml:space="preserve">entry such as</w:t>
      </w:r>
      <w:r>
        <w:t xml:space="preserve"> </w:t>
      </w:r>
      <w:hyperlink w:anchor="gl:equilibrium">
        <w:r>
          <w:rPr>
            <w:rStyle w:val="Hyperlink"/>
            <w:b/>
            <w:bCs/>
          </w:rPr>
          <w:t xml:space="preserve">equilibrium</w:t>
        </w:r>
      </w:hyperlink>
      <w:r>
        <w:t xml:space="preserve">.</w:t>
      </w:r>
    </w:p>
    <w:p>
      <w:pPr>
        <w:pStyle w:val="FirstParagraph"/>
      </w:pPr>
      <w:r>
        <w:t xml:space="preserve">Pandoc fenced-div callout (richer styling where supported; falls back gracefully):</w:t>
      </w:r>
    </w:p>
    <w:p>
      <w:pPr>
        <w:pStyle w:val="BodyText"/>
      </w:pPr>
      <w:r>
        <w:t xml:space="preserve">This is a Pandoc fenced</w:t>
      </w:r>
      <w:r>
        <w:t xml:space="preserve"> </w:t>
      </w:r>
      <w:r>
        <w:rPr>
          <w:rStyle w:val="VerbatimChar"/>
        </w:rPr>
        <w:t xml:space="preserve">div</w:t>
      </w:r>
      <w:r>
        <w:t xml:space="preserve">. If your render profile styles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, it</w:t>
      </w:r>
      <w:r>
        <w:t xml:space="preserve"> </w:t>
      </w:r>
      <w:r>
        <w:t xml:space="preserve">appears as a boxed admonition; otherwise it renders as a normal block.</w:t>
      </w:r>
    </w:p>
    <w:p>
      <w:r>
        <w:pict>
          <v:rect style="width:0;height:1.5pt" o:hralign="center" o:hrstd="t" o:hr="t"/>
        </w:pict>
      </w:r>
    </w:p>
    <w:bookmarkEnd w:id="407"/>
    <w:bookmarkStart w:id="409" w:name="tables"/>
    <w:p>
      <w:pPr>
        <w:pStyle w:val="Heading2"/>
      </w:pPr>
      <w:r>
        <w:t xml:space="preserve">4. Tables</w:t>
      </w:r>
    </w:p>
    <w:p>
      <w:pPr>
        <w:pStyle w:val="FirstParagraph"/>
      </w:pPr>
      <w:r>
        <w:t xml:space="preserve">A simple table with column alignment and a cross-referencable caption</w:t>
      </w:r>
      <w:r>
        <w:t xml:space="preserve"> </w:t>
      </w:r>
      <w:r>
        <w:t xml:space="preserve">(tbl. 14):</w:t>
      </w:r>
    </w:p>
    <w:bookmarkStart w:id="408" w:name="tbl:gallery_alignment"/>
    <w:p>
      <w:pPr>
        <w:pStyle w:val="TableCaption"/>
      </w:pPr>
      <w:r>
        <w:t xml:space="preserve">Table 14: Column alignment — left, centre, right.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4: Column alignment — left, centre, righ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</w:tbl>
    <w:bookmarkEnd w:id="408"/>
    <w:p>
      <w:pPr>
        <w:pStyle w:val="BodyText"/>
      </w:pPr>
      <w:r>
        <w:t xml:space="preserve">A multi-line / grid table (cells may contain longer wrapped text):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870"/>
        <w:gridCol w:w="363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range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intrinsic rate of change</w:t>
            </w:r>
          </w:p>
        </w:tc>
        <w:tc>
          <w:tcPr/>
          <w:p>
            <w:pPr>
              <w:pStyle w:val="Compact"/>
            </w:pPr>
            <w:r>
              <w:t xml:space="preserve">0.1 – 2.0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carrying capacity / saturation</w:t>
            </w:r>
            <w:r>
              <w:t xml:space="preserve"> </w:t>
            </w:r>
            <w:r>
              <w:t xml:space="preserve">level the system approaches</w:t>
            </w:r>
          </w:p>
        </w:tc>
        <w:tc>
          <w:tcPr/>
          <w:p>
            <w:pPr>
              <w:pStyle w:val="Compact"/>
            </w:pPr>
            <w:r>
              <w:t xml:space="preserve">problem-</w:t>
            </w:r>
            <w:r>
              <w:t xml:space="preserve"> </w:t>
            </w:r>
            <w:r>
              <w:t xml:space="preserve">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9"/>
    <w:bookmarkStart w:id="411" w:name="mathematics-and-units"/>
    <w:p>
      <w:pPr>
        <w:pStyle w:val="Heading2"/>
      </w:pPr>
      <w:r>
        <w:t xml:space="preserve">5. Mathematics and units</w:t>
      </w:r>
    </w:p>
    <w:p>
      <w:pPr>
        <w:pStyle w:val="FirstParagraph"/>
      </w:pPr>
      <w:r>
        <w:t xml:space="preserve">Inline math: the half-life is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pPr>
        <w:pStyle w:val="BodyText"/>
      </w:pPr>
      <w:r>
        <w:t xml:space="preserve">A numbered display equation, cross-referenced as eq. 17:</w:t>
      </w:r>
    </w:p>
    <w:p>
      <w:pPr>
        <w:pStyle w:val="BodyText"/>
      </w:pPr>
      <w:bookmarkStart w:id="410" w:name="eq:gallery_logistic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t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10"/>
    </w:p>
    <w:p>
      <w:pPr>
        <w:pStyle w:val="FirstParagraph"/>
      </w:pPr>
      <w:r>
        <w:t xml:space="preserve">Multi-line aligned derivation: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K</m:t>
                  </m:r>
                </m:den>
              </m:f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matrix and a piecewise definition: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Physical quantities with units, written in math mode so they render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target (PDF, HTML, slides): a rate of</w:t>
      </w:r>
      <w:r>
        <w:t xml:space="preserve"> </w:t>
      </w:r>
      <m:oMath>
        <m:r>
          <m:t>0.5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 a length of</w:t>
      </w:r>
      <w:r>
        <w:t xml:space="preserve"> </w:t>
      </w:r>
      <m:oMath>
        <m:r>
          <m:t>2.0</m:t>
        </m:r>
        <m:r>
          <m:t> </m:t>
        </m:r>
        <m:r>
          <m:rPr>
            <m:sty m:val="p"/>
          </m:rPr>
          <m:t>m</m:t>
        </m:r>
      </m:oMath>
      <w:r>
        <w:t xml:space="preserve">, and a concentration of</w:t>
      </w:r>
      <w:r>
        <w:t xml:space="preserve"> </w:t>
      </w:r>
      <m:oMath>
        <m:r>
          <m:t>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(For</w:t>
      </w:r>
      <w:r>
        <w:t xml:space="preserve"> </w:t>
      </w:r>
      <w:r>
        <w:t xml:space="preserve">PDF-only builds you may instead use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macros such as</w:t>
      </w:r>
      <w:r>
        <w:t xml:space="preserve"> </w:t>
      </w:r>
      <w:r>
        <w:rPr>
          <w:rStyle w:val="VerbatimChar"/>
        </w:rPr>
        <w:t xml:space="preserve">\SI{0.5}{\per\second}</w:t>
      </w:r>
      <w:r>
        <w:t xml:space="preserve">,</w:t>
      </w:r>
      <w:r>
        <w:t xml:space="preserve"> </w:t>
      </w:r>
      <w:r>
        <w:t xml:space="preserve">which the preamble loads — but math-mode units are the portable choice.)</w:t>
      </w:r>
    </w:p>
    <w:p>
      <w:r>
        <w:pict>
          <v:rect style="width:0;height:1.5pt" o:hralign="center" o:hrstd="t" o:hr="t"/>
        </w:pict>
      </w:r>
    </w:p>
    <w:bookmarkEnd w:id="411"/>
    <w:bookmarkStart w:id="428" w:name="figures"/>
    <w:p>
      <w:pPr>
        <w:pStyle w:val="Heading2"/>
      </w:pPr>
      <w:r>
        <w:t xml:space="preserve">6. Figures</w:t>
      </w:r>
    </w:p>
    <w:p>
      <w:pPr>
        <w:pStyle w:val="FirstParagraph"/>
      </w:pPr>
      <w:r>
        <w:t xml:space="preserve">A single figure with caption, label, and alt text, cross-referenced as</w:t>
      </w:r>
      <w:r>
        <w:t xml:space="preserve"> </w:t>
      </w:r>
      <w:r>
        <w:t xml:space="preserve">fig. 13:</w:t>
      </w:r>
    </w:p>
    <w:bookmarkStart w:id="415" w:name="fig:gallery_line"/>
    <w:p>
      <w:pPr>
        <w:pStyle w:val="CaptionedFigure"/>
      </w:pPr>
      <w:r>
        <w:drawing>
          <wp:inline>
            <wp:extent cx="4267200" cy="2804573"/>
            <wp:effectExtent b="0" l="0" r="0" t="0"/>
            <wp:docPr descr="Figure 13: A multi-series line plot of three sine waves, produced by visualization.gallery.line_plot." title="" id="413" name="Picture"/>
            <a:graphic>
              <a:graphicData uri="http://schemas.openxmlformats.org/drawingml/2006/picture">
                <pic:pic>
                  <pic:nvPicPr>
                    <pic:cNvPr descr="../figures/gallery/gallery_line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A multi-series line plot of three sine waves, produced by</w:t>
      </w:r>
      <w:r>
        <w:t xml:space="preserve"> </w:t>
      </w:r>
      <w:r>
        <w:rPr>
          <w:rStyle w:val="VerbatimChar"/>
        </w:rPr>
        <w:t xml:space="preserve">visualization.gallery.line_plot</w:t>
      </w:r>
      <w:r>
        <w:t xml:space="preserve">.</w:t>
      </w:r>
    </w:p>
    <w:bookmarkEnd w:id="415"/>
    <w:p>
      <w:pPr>
        <w:pStyle w:val="BodyText"/>
      </w:pPr>
      <w:r>
        <w:t xml:space="preserve">Two figures side by side (Pandoc fenced div; falls back to stacked):</w:t>
      </w:r>
    </w:p>
    <w:bookmarkStart w:id="419" w:name="fig:gallery_bar"/>
    <w:p>
      <w:pPr>
        <w:pStyle w:val="CaptionedFigure"/>
      </w:pPr>
      <w:r>
        <w:drawing>
          <wp:inline>
            <wp:extent cx="2560320" cy="1685640"/>
            <wp:effectExtent b="0" l="0" r="0" t="0"/>
            <wp:docPr descr="Figure 14: Bar chart." title="" id="417" name="Picture"/>
            <a:graphic>
              <a:graphicData uri="http://schemas.openxmlformats.org/drawingml/2006/picture">
                <pic:pic>
                  <pic:nvPicPr>
                    <pic:cNvPr descr="../figures/gallery/gallery_bar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68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Bar chart.</w:t>
      </w:r>
    </w:p>
    <w:bookmarkEnd w:id="419"/>
    <w:bookmarkStart w:id="423" w:name="fig:gallery_pie"/>
    <w:p>
      <w:pPr>
        <w:pStyle w:val="CaptionedFigure"/>
      </w:pPr>
      <w:r>
        <w:drawing>
          <wp:inline>
            <wp:extent cx="2560320" cy="2497015"/>
            <wp:effectExtent b="0" l="0" r="0" t="0"/>
            <wp:docPr descr="Figure 15: Pie chart." title="" id="421" name="Picture"/>
            <a:graphic>
              <a:graphicData uri="http://schemas.openxmlformats.org/drawingml/2006/picture">
                <pic:pic>
                  <pic:nvPicPr>
                    <pic:cNvPr descr="../figures/gallery/gallery_pie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49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Pie chart.</w:t>
      </w:r>
    </w:p>
    <w:bookmarkEnd w:id="423"/>
    <w:p>
      <w:pPr>
        <w:pStyle w:val="BodyText"/>
      </w:pPr>
      <w:r>
        <w:t xml:space="preserve">A multi-panel composite (fig. 16):</w:t>
      </w:r>
    </w:p>
    <w:bookmarkStart w:id="427" w:name="fig:gallery_multipanel"/>
    <w:p>
      <w:pPr>
        <w:pStyle w:val="CaptionedFigure"/>
      </w:pPr>
      <w:r>
        <w:drawing>
          <wp:inline>
            <wp:extent cx="4533900" cy="3397555"/>
            <wp:effectExtent b="0" l="0" r="0" t="0"/>
            <wp:docPr descr="Figure 16: A 2×2 composite: line, scatter, bar, and histogram panels." title="" id="425" name="Picture"/>
            <a:graphic>
              <a:graphicData uri="http://schemas.openxmlformats.org/drawingml/2006/picture">
                <pic:pic>
                  <pic:nvPicPr>
                    <pic:cNvPr descr="../figures/gallery/gallery_multipanel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97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A 2×2 composite: line, scatter, bar, and histogram</w:t>
      </w:r>
      <w:r>
        <w:t xml:space="preserve"> </w:t>
      </w:r>
      <w:r>
        <w:t xml:space="preserve">panels.</w:t>
      </w:r>
    </w:p>
    <w:bookmarkEnd w:id="427"/>
    <w:p>
      <w:pPr>
        <w:pStyle w:val="BodyText"/>
      </w:pPr>
      <w:r>
        <w:t xml:space="preserve">The full plot-type gallery lives in</w:t>
      </w:r>
      <w:r>
        <w:t xml:space="preserve"> </w:t>
      </w:r>
      <w:r>
        <w:rPr>
          <w:rStyle w:val="VerbatimChar"/>
        </w:rPr>
        <w:t xml:space="preserve">../figures/gallery/</w:t>
      </w:r>
      <w:r>
        <w:t xml:space="preserve"> </w:t>
      </w:r>
      <w:r>
        <w:t xml:space="preserve">and includes:</w:t>
      </w:r>
      <w:r>
        <w:t xml:space="preserve"> </w:t>
      </w:r>
      <w:r>
        <w:t xml:space="preserve">line, scatter-with-fit, bar, grouped bar, horizontal bar, histogram, box,</w:t>
      </w:r>
      <w:r>
        <w:t xml:space="preserve"> </w:t>
      </w:r>
      <w:r>
        <w:t xml:space="preserve">violin, heatmap, contour, quiver field, step, stacked area, error bars, log-log,</w:t>
      </w:r>
      <w:r>
        <w:t xml:space="preserve"> </w:t>
      </w:r>
      <w:r>
        <w:t xml:space="preserve">pie, annotated, and multi-panel.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28"/>
    <w:bookmarkStart w:id="429" w:name="diagrams-mermaid"/>
    <w:p>
      <w:pPr>
        <w:pStyle w:val="Heading2"/>
      </w:pPr>
      <w:r>
        <w:t xml:space="preserve">7. Diagrams (Mermaid)</w:t>
      </w:r>
    </w:p>
    <w:p>
      <w:pPr>
        <w:pStyle w:val="FirstParagraph"/>
      </w:pPr>
      <w:r>
        <w:t xml:space="preserve">The pipeline renders fenced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blocks to figures (and falls back to 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source if the Mermaid CLI is absent). One worked example of each kind the</w:t>
      </w:r>
      <w:r>
        <w:t xml:space="preserve"> </w:t>
      </w:r>
      <w:r>
        <w:t xml:space="preserve">builders in</w:t>
      </w:r>
      <w:r>
        <w:t xml:space="preserve"> </w:t>
      </w:r>
      <w:r>
        <w:rPr>
          <w:rStyle w:val="VerbatimChar"/>
        </w:rPr>
        <w:t xml:space="preserve">src/mermaid/diagrams.py</w:t>
      </w:r>
      <w:r>
        <w:t xml:space="preserve"> </w:t>
      </w:r>
      <w:r>
        <w:t xml:space="preserve">support:</w:t>
      </w:r>
    </w:p>
    <w:p>
      <w:pPr>
        <w:pStyle w:val="BodyText"/>
      </w:pPr>
      <w:r>
        <w:t xml:space="preserve">Flowchart:</w:t>
      </w:r>
    </w:p>
    <w:p>
      <w:pPr>
        <w:pStyle w:val="BodyText"/>
      </w:pPr>
      <w:r>
        <w:t xml:space="preserve">Sequence:</w:t>
      </w:r>
    </w:p>
    <w:p>
      <w:pPr>
        <w:pStyle w:val="BodyText"/>
      </w:pPr>
      <w:r>
        <w:t xml:space="preserve">State:</w:t>
      </w:r>
    </w:p>
    <w:p>
      <w:pPr>
        <w:pStyle w:val="BodyText"/>
      </w:pPr>
      <w:r>
        <w:t xml:space="preserve">Class:</w:t>
      </w:r>
    </w:p>
    <w:p>
      <w:pPr>
        <w:pStyle w:val="BodyText"/>
      </w:pPr>
      <w:r>
        <w:t xml:space="preserve">Entity-relationship:</w:t>
      </w:r>
    </w:p>
    <w:p>
      <w:pPr>
        <w:pStyle w:val="BodyText"/>
      </w:pPr>
      <w:r>
        <w:t xml:space="preserve">Pie, Gantt, mindmap, timeline, quadrant, and user-journey diagrams are also</w:t>
      </w:r>
      <w:r>
        <w:t xml:space="preserve"> </w:t>
      </w:r>
      <w:r>
        <w:t xml:space="preserve">supported — see</w:t>
      </w:r>
      <w:r>
        <w:t xml:space="preserve"> </w:t>
      </w:r>
      <w:r>
        <w:rPr>
          <w:rStyle w:val="VerbatimChar"/>
        </w:rPr>
        <w:t xml:space="preserve">src/mermaid/diagram_specs.yaml</w:t>
      </w:r>
      <w:r>
        <w:t xml:space="preserve"> </w:t>
      </w:r>
      <w:r>
        <w:t xml:space="preserve">for a worked spec of each.</w:t>
      </w:r>
    </w:p>
    <w:p>
      <w:r>
        <w:pict>
          <v:rect style="width:0;height:1.5pt" o:hralign="center" o:hrstd="t" o:hr="t"/>
        </w:pict>
      </w:r>
    </w:p>
    <w:bookmarkEnd w:id="429"/>
    <w:bookmarkStart w:id="431" w:name="code"/>
    <w:p>
      <w:pPr>
        <w:pStyle w:val="Heading2"/>
      </w:pPr>
      <w:r>
        <w:t xml:space="preserve">8. Code</w:t>
      </w:r>
    </w:p>
    <w:p>
      <w:pPr>
        <w:pStyle w:val="FirstParagraph"/>
      </w:pPr>
      <w:r>
        <w:t xml:space="preserve">Inline code: call</w:t>
      </w:r>
      <w:r>
        <w:t xml:space="preserve"> </w:t>
      </w:r>
      <w:r>
        <w:rPr>
          <w:rStyle w:val="VerbatimChar"/>
        </w:rPr>
        <w:t xml:space="preserve">textbook.models.logistic_growth(t, r=..., ...)</w:t>
      </w:r>
      <w:r>
        <w:t xml:space="preserve">.</w:t>
      </w:r>
    </w:p>
    <w:p>
      <w:pPr>
        <w:pStyle w:val="BodyText"/>
      </w:pPr>
      <w:r>
        <w:t xml:space="preserve">A fenced code block with a language (syntax-highlighted) and a caption</w:t>
      </w:r>
      <w:r>
        <w:t xml:space="preserve"> </w:t>
      </w:r>
      <w:r>
        <w:t xml:space="preserve">(lst. 1):</w:t>
      </w:r>
    </w:p>
    <w:bookmarkStart w:id="430" w:name="lst:gallery_code"/>
    <w:p>
      <w:pPr>
        <w:pStyle w:val="Caption"/>
      </w:pPr>
      <w:r>
        <w:t xml:space="preserve">Listing 1: Calling the tested computational backbone.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textbook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models.logistic_growth(t, 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carrying_capacity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initial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-&gt; approaches the carrying capacity</w:t>
      </w:r>
    </w:p>
    <w:bookmarkEnd w:id="430"/>
    <w:p>
      <w:pPr>
        <w:pStyle w:val="FirstParagraph"/>
      </w:pPr>
      <w:r>
        <w:t xml:space="preserve">A shell example: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scripts/generate_figures.py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</w:p>
    <w:p>
      <w:r>
        <w:pict>
          <v:rect style="width:0;height:1.5pt" o:hralign="center" o:hrstd="t" o:hr="t"/>
        </w:pict>
      </w:r>
    </w:p>
    <w:bookmarkEnd w:id="431"/>
    <w:bookmarkStart w:id="432" w:name="cross-references-and-citations"/>
    <w:p>
      <w:pPr>
        <w:pStyle w:val="Heading2"/>
      </w:pPr>
      <w:r>
        <w:t xml:space="preserve">9. Cross-references and citations</w:t>
      </w:r>
    </w:p>
    <w:p>
      <w:pPr>
        <w:pStyle w:val="FirstParagraph"/>
      </w:pPr>
      <w:r>
        <w:t xml:space="preserve">Cross-references resolve by label: figure fig. 13, table</w:t>
      </w:r>
      <w:r>
        <w:t xml:space="preserve"> </w:t>
      </w:r>
      <w:r>
        <w:t xml:space="preserve">tbl. 14, equation eq. 17, and section</w:t>
      </w:r>
      <w:r>
        <w:t xml:space="preserve"> </w:t>
      </w:r>
      <w:r>
        <w:t xml:space="preserve">sec. 46. Never hand-number — Pandoc fills these in.</w:t>
      </w:r>
    </w:p>
    <w:p>
      <w:pPr>
        <w:pStyle w:val="BodyText"/>
      </w:pPr>
      <w:r>
        <w:t xml:space="preserve">Citations resolve against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: a single source</w:t>
      </w:r>
      <w:r>
        <w:t xml:space="preserve"> </w:t>
      </w:r>
      <w:r>
        <w:t xml:space="preserve">(Smith 2020)</w:t>
      </w:r>
      <w:r>
        <w:t xml:space="preserve">,</w:t>
      </w:r>
      <w:r>
        <w:t xml:space="preserve"> </w:t>
      </w:r>
      <w:r>
        <w:t xml:space="preserve">multiple sources</w:t>
      </w:r>
      <w:r>
        <w:t xml:space="preserve"> </w:t>
      </w:r>
      <w:r>
        <w:t xml:space="preserve">(Doe 2019; Lee 2021)</w:t>
      </w:r>
      <w:r>
        <w:t xml:space="preserve">, and an in-text form —</w:t>
      </w:r>
      <w:r>
        <w:t xml:space="preserve"> </w:t>
      </w:r>
      <w:r>
        <w:t xml:space="preserve">Garcia (2022)</w:t>
      </w:r>
      <w:r>
        <w:t xml:space="preserve"> </w:t>
      </w:r>
      <w:r>
        <w:t xml:space="preserve">showed the effect first. A locator narrows the reference</w:t>
      </w:r>
      <w:r>
        <w:t xml:space="preserve"> </w:t>
      </w:r>
      <w:r>
        <w:t xml:space="preserve">(Patel 2018, 12–14)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2"/>
    <w:bookmarkStart w:id="442" w:name="media-and-data"/>
    <w:p>
      <w:pPr>
        <w:pStyle w:val="Heading2"/>
      </w:pPr>
      <w:r>
        <w:t xml:space="preserve">10. Media and data</w:t>
      </w:r>
    </w:p>
    <w:p>
      <w:pPr>
        <w:pStyle w:val="FirstParagraph"/>
      </w:pPr>
      <w:r>
        <w:t xml:space="preserve">Embedded raster image (any PNG/JPG works the same way as a figure):</w:t>
      </w:r>
    </w:p>
    <w:bookmarkStart w:id="436" w:name="fig:gallery_media"/>
    <w:p>
      <w:pPr>
        <w:pStyle w:val="CaptionedFigure"/>
      </w:pPr>
      <w:r>
        <w:drawing>
          <wp:inline>
            <wp:extent cx="3200400" cy="2155825"/>
            <wp:effectExtent b="0" l="0" r="0" t="0"/>
            <wp:docPr descr="Figure 17: A generated heatmap embedded as a raster image." title="" id="434" name="Picture"/>
            <a:graphic>
              <a:graphicData uri="http://schemas.openxmlformats.org/drawingml/2006/picture">
                <pic:pic>
                  <pic:nvPicPr>
                    <pic:cNvPr descr="../figures/gallery/gallery_heatmap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5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A generated heatmap embedded as a raster</w:t>
      </w:r>
      <w:r>
        <w:t xml:space="preserve"> </w:t>
      </w:r>
      <w:r>
        <w:t xml:space="preserve">image.</w:t>
      </w:r>
    </w:p>
    <w:bookmarkEnd w:id="436"/>
    <w:p>
      <w:pPr>
        <w:pStyle w:val="BodyText"/>
      </w:pPr>
      <w:r>
        <w:t xml:space="preserve">Audio and video embed in HTML targets (PDF shows the caption + link). Syntax:</w:t>
      </w:r>
    </w:p>
    <w:p>
      <w:pPr>
        <w:pStyle w:val="SourceCode"/>
      </w:pPr>
      <w:r>
        <w:rPr>
          <w:rStyle w:val="AlertTok"/>
        </w:rPr>
        <w:t xml:space="preserve">![Caption for an audio clip.](../assets/media/clip.mp3)</w:t>
      </w:r>
      <w:r>
        <w:br/>
      </w:r>
      <w:r>
        <w:rPr>
          <w:rStyle w:val="AlertTok"/>
        </w:rPr>
        <w:t xml:space="preserve">![Caption for a video.](../assets/media/demo.mp4)</w:t>
      </w:r>
      <w:r>
        <w:rPr>
          <w:rStyle w:val="NormalTok"/>
        </w:rPr>
        <w:t xml:space="preserve">{width=70%}</w:t>
      </w:r>
    </w:p>
    <w:p>
      <w:pPr>
        <w:pStyle w:val="FirstParagraph"/>
      </w:pPr>
      <w:r>
        <w:t xml:space="preserve">A downloadable data file lives at</w:t>
      </w:r>
      <w:r>
        <w:t xml:space="preserve"> </w:t>
      </w:r>
      <w:hyperlink r:id="rId437">
        <w:r>
          <w:rPr>
            <w:rStyle w:val="VerbatimChar"/>
          </w:rPr>
          <w:t xml:space="preserve">assets/data/sample_dataset.csv</w:t>
        </w:r>
      </w:hyperlink>
      <w:r>
        <w:t xml:space="preserve">; its</w:t>
      </w:r>
      <w:r>
        <w:t xml:space="preserve"> </w:t>
      </w:r>
      <w:r>
        <w:t xml:space="preserve">contents as a table:</w:t>
      </w:r>
    </w:p>
    <w:bookmarkStart w:id="438" w:name="tbl:gallery_data"/>
    <w:p>
      <w:pPr>
        <w:pStyle w:val="TableCaption"/>
      </w:pPr>
      <w:r>
        <w:t xml:space="preserve">Table 15: Sample dataset (mirrors</w:t>
      </w:r>
      <w:r>
        <w:t xml:space="preserve"> </w:t>
      </w:r>
      <w:r>
        <w:rPr>
          <w:rStyle w:val="VerbatimChar"/>
        </w:rPr>
        <w:t xml:space="preserve">assets/data/sample_dataset.csv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5: Sample dataset (mirrors assets/data/sample_dataset.csv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</w:tbl>
    <w:bookmarkEnd w:id="438"/>
    <w:p>
      <w:pPr>
        <w:pStyle w:val="BodyText"/>
      </w:pPr>
      <w:r>
        <w:t xml:space="preserve">The error-bar figure fig. 18 visualises this kind of data:</w:t>
      </w:r>
    </w:p>
    <w:bookmarkStart w:id="441" w:name="fig:gallery_errorbar"/>
    <w:p>
      <w:pPr>
        <w:pStyle w:val="CaptionedFigure"/>
      </w:pPr>
      <w:r>
        <w:drawing>
          <wp:inline>
            <wp:extent cx="3733800" cy="2454002"/>
            <wp:effectExtent b="0" l="0" r="0" t="0"/>
            <wp:docPr descr="Figure 18: Means with standard-error bars." title="" id="439" name="Picture"/>
            <a:graphic>
              <a:graphicData uri="http://schemas.openxmlformats.org/drawingml/2006/picture">
                <pic:pic>
                  <pic:nvPicPr>
                    <pic:cNvPr descr="../figures/gallery/gallery_errorbar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Means with standard-error bars.</w:t>
      </w:r>
    </w:p>
    <w:bookmarkEnd w:id="441"/>
    <w:p>
      <w:r>
        <w:pict>
          <v:rect style="width:0;height:1.5pt" o:hralign="center" o:hrstd="t" o:hr="t"/>
        </w:pict>
      </w:r>
    </w:p>
    <w:bookmarkEnd w:id="442"/>
    <w:bookmarkStart w:id="443" w:name="pedagogical-blocks"/>
    <w:p>
      <w:pPr>
        <w:pStyle w:val="Heading2"/>
      </w:pPr>
      <w:r>
        <w:t xml:space="preserve">11. Pedagogical blocks</w:t>
      </w:r>
    </w:p>
    <w:p>
      <w:pPr>
        <w:pStyle w:val="FirstParagraph"/>
      </w:pPr>
      <w:r>
        <w:t xml:space="preserve">These are the reusable teaching elements chapters draw on.</w:t>
      </w:r>
    </w:p>
    <w:p>
      <w:pPr>
        <w:pStyle w:val="BlockText"/>
      </w:pPr>
      <w:r>
        <w:rPr>
          <w:b/>
          <w:bCs/>
        </w:rPr>
        <w:t xml:space="preserve">Learning objective.</w:t>
      </w:r>
      <w:r>
        <w:t xml:space="preserve"> </w:t>
      </w:r>
      <w:r>
        <w:t xml:space="preserve">After this section a reader can identify which Markdown</w:t>
      </w:r>
      <w:r>
        <w:t xml:space="preserve"> </w:t>
      </w:r>
      <w:r>
        <w:t xml:space="preserve">primitive to use for a given purpose.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Given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evaluate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via</w:t>
      </w:r>
      <w:r>
        <w:t xml:space="preserve"> </w:t>
      </w:r>
      <w:r>
        <w:t xml:space="preserve">eq. 17 using</w:t>
      </w:r>
      <w:r>
        <w:t xml:space="preserve"> </w:t>
      </w:r>
      <w:r>
        <w:rPr>
          <w:rStyle w:val="VerbatimChar"/>
        </w:rPr>
        <w:t xml:space="preserve">textbook.models.logistic_growth</w:t>
      </w:r>
      <w:r>
        <w:t xml:space="preserve">. The result</w:t>
      </w:r>
      <w:r>
        <w:t xml:space="preserve"> </w:t>
      </w:r>
      <w:r>
        <w:t xml:space="preserve">approaches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Try it.</w:t>
      </w:r>
      <w:r>
        <w:t xml:space="preserve"> </w:t>
      </w:r>
      <w:r>
        <w:t xml:space="preserve">Change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and predict, then check, how the curve shifts.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Key terms.</w:t>
      </w:r>
      <w:r>
        <w:t xml:space="preserve"> </w:t>
      </w:r>
      <w:hyperlink w:anchor="gl:model">
        <w:r>
          <w:rPr>
            <w:rStyle w:val="Hyperlink"/>
            <w:b/>
            <w:bCs/>
          </w:rPr>
          <w:t xml:space="preserve">model</w:t>
        </w:r>
      </w:hyperlink>
      <w:r>
        <w:t xml:space="preserve">,</w:t>
      </w:r>
      <w:r>
        <w:t xml:space="preserve"> </w:t>
      </w:r>
      <w:hyperlink w:anchor="gl:parameter">
        <w:r>
          <w:rPr>
            <w:rStyle w:val="Hyperlink"/>
            <w:b/>
            <w:bCs/>
          </w:rPr>
          <w:t xml:space="preserve">parameter</w:t>
        </w:r>
      </w:hyperlink>
      <w:r>
        <w:t xml:space="preserve">,</w:t>
      </w:r>
      <w:r>
        <w:t xml:space="preserve"> </w:t>
      </w:r>
      <w:hyperlink w:anchor="gl:state">
        <w:r>
          <w:rPr>
            <w:rStyle w:val="Hyperlink"/>
            <w:b/>
            <w:bCs/>
          </w:rPr>
          <w:t xml:space="preserve">state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Summary.</w:t>
      </w:r>
      <w:r>
        <w:t xml:space="preserve"> </w:t>
      </w:r>
      <w:r>
        <w:t xml:space="preserve">This appendix demonstrated text, lists, callouts, tables, math and</w:t>
      </w:r>
      <w:r>
        <w:t xml:space="preserve"> </w:t>
      </w:r>
      <w:r>
        <w:t xml:space="preserve">units, figures, diagrams, code, cross-references, media, and pedagogy blocks —</w:t>
      </w:r>
      <w:r>
        <w:t xml:space="preserve"> </w:t>
      </w:r>
      <w:r>
        <w:t xml:space="preserve">the complete primitive set.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43"/>
    <w:bookmarkStart w:id="444" w:name="miscellany"/>
    <w:p>
      <w:pPr>
        <w:pStyle w:val="Heading2"/>
      </w:pPr>
      <w:r>
        <w:t xml:space="preserve">12. Miscellany</w:t>
      </w:r>
    </w:p>
    <w:p>
      <w:pPr>
        <w:pStyle w:val="FirstParagraph"/>
      </w:pPr>
      <w:r>
        <w:t xml:space="preserve">A horizontal rule separates major shifts in topic (three or more dashes):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inline HTML is supported only inside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&lt;callout&gt;</w:t>
      </w:r>
      <w:r>
        <w:t xml:space="preserve"> </w:t>
      </w:r>
      <w:r>
        <w:t xml:space="preserve">per project style; everything else uses Markdown. Unicode renders directly:</w:t>
      </w:r>
      <w:r>
        <w:t xml:space="preserve"> </w:t>
      </w:r>
      <w:r>
        <w:t xml:space="preserve">α, β, γ, Δ, ∑, ∞, ≈, →. For PDF math, prefer LaTeX (</w:t>
      </w:r>
      <w:r>
        <w:rPr>
          <w:rStyle w:val="VerbatimChar"/>
        </w:rPr>
        <w:t xml:space="preserve">$\alpha$</w:t>
      </w:r>
      <w:r>
        <w:t xml:space="preserve">) over raw Unicode</w:t>
      </w:r>
      <w:r>
        <w:t xml:space="preserve"> </w:t>
      </w:r>
      <w:r>
        <w:t xml:space="preserve">in equations.</w:t>
      </w:r>
    </w:p>
    <w:bookmarkEnd w:id="444"/>
    <w:bookmarkEnd w:id="445"/>
    <w:bookmarkStart w:id="461" w:name="master-glossary"/>
    <w:p>
      <w:pPr>
        <w:pStyle w:val="Heading1"/>
      </w:pPr>
      <w:r>
        <w:t xml:space="preserve">Master Glossary</w:t>
      </w:r>
    </w:p>
    <w:bookmarkStart w:id="446" w:name="gl:boundary"/>
    <w:p>
      <w:pPr>
        <w:pStyle w:val="Heading3"/>
      </w:pPr>
      <w:r>
        <w:t xml:space="preserve">Boundary</w:t>
      </w:r>
    </w:p>
    <w:p>
      <w:pPr>
        <w:pStyle w:val="FirstParagraph"/>
      </w:pPr>
      <w:r>
        <w:t xml:space="preserve">The interface separating a system from its environment.</w:t>
      </w:r>
    </w:p>
    <w:bookmarkEnd w:id="446"/>
    <w:bookmarkStart w:id="447" w:name="gl:dynamics"/>
    <w:p>
      <w:pPr>
        <w:pStyle w:val="Heading3"/>
      </w:pPr>
      <w:r>
        <w:t xml:space="preserve">Dynamics</w:t>
      </w:r>
    </w:p>
    <w:p>
      <w:pPr>
        <w:pStyle w:val="FirstParagraph"/>
      </w:pPr>
      <w:r>
        <w:t xml:space="preserve">How the state of a system changes over time.</w:t>
      </w:r>
    </w:p>
    <w:bookmarkEnd w:id="447"/>
    <w:bookmarkStart w:id="448" w:name="gl:emergence"/>
    <w:p>
      <w:pPr>
        <w:pStyle w:val="Heading3"/>
      </w:pPr>
      <w:r>
        <w:t xml:space="preserve">Emergence</w:t>
      </w:r>
    </w:p>
    <w:p>
      <w:pPr>
        <w:pStyle w:val="FirstParagraph"/>
      </w:pPr>
      <w:r>
        <w:t xml:space="preserve">System-level behaviour not present in the parts taken alone.</w:t>
      </w:r>
    </w:p>
    <w:bookmarkEnd w:id="448"/>
    <w:bookmarkStart w:id="449" w:name="gl:equilibrium"/>
    <w:p>
      <w:pPr>
        <w:pStyle w:val="Heading3"/>
      </w:pPr>
      <w:r>
        <w:t xml:space="preserve">Equilibrium</w:t>
      </w:r>
    </w:p>
    <w:p>
      <w:pPr>
        <w:pStyle w:val="FirstParagraph"/>
      </w:pPr>
      <w:r>
        <w:t xml:space="preserve">A state in which opposing influences balance and net change is zero.</w:t>
      </w:r>
    </w:p>
    <w:bookmarkEnd w:id="449"/>
    <w:bookmarkStart w:id="450" w:name="gl:feedback"/>
    <w:p>
      <w:pPr>
        <w:pStyle w:val="Heading3"/>
      </w:pPr>
      <w:r>
        <w:t xml:space="preserve">Feedback</w:t>
      </w:r>
    </w:p>
    <w:p>
      <w:pPr>
        <w:pStyle w:val="FirstParagraph"/>
      </w:pPr>
      <w:r>
        <w:t xml:space="preserve">A loop in which a system’s output influences its own input.</w:t>
      </w:r>
    </w:p>
    <w:bookmarkEnd w:id="450"/>
    <w:bookmarkStart w:id="451" w:name="gl: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A spatial or quantitative difference that drives flow or change.</w:t>
      </w:r>
    </w:p>
    <w:bookmarkEnd w:id="451"/>
    <w:bookmarkStart w:id="452" w:name="gl: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A simplified, often quantitative, representation of a system.</w:t>
      </w:r>
    </w:p>
    <w:bookmarkEnd w:id="452"/>
    <w:bookmarkStart w:id="453" w:name="gl:network"/>
    <w:p>
      <w:pPr>
        <w:pStyle w:val="Heading3"/>
      </w:pPr>
      <w:r>
        <w:t xml:space="preserve">Network</w:t>
      </w:r>
    </w:p>
    <w:p>
      <w:pPr>
        <w:pStyle w:val="FirstParagraph"/>
      </w:pPr>
      <w:r>
        <w:t xml:space="preserve">A set of elements (nodes) connected by relationships (edges).</w:t>
      </w:r>
    </w:p>
    <w:bookmarkEnd w:id="453"/>
    <w:bookmarkStart w:id="454" w:name="gl:observable"/>
    <w:p>
      <w:pPr>
        <w:pStyle w:val="Heading3"/>
      </w:pPr>
      <w:r>
        <w:t xml:space="preserve">Observable</w:t>
      </w:r>
    </w:p>
    <w:p>
      <w:pPr>
        <w:pStyle w:val="FirstParagraph"/>
      </w:pPr>
      <w:r>
        <w:t xml:space="preserve">A quantity that can be measured or recorded.</w:t>
      </w:r>
    </w:p>
    <w:bookmarkEnd w:id="454"/>
    <w:bookmarkStart w:id="455" w:name="gl:parameter"/>
    <w:p>
      <w:pPr>
        <w:pStyle w:val="Heading3"/>
      </w:pPr>
      <w:r>
        <w:t xml:space="preserve">Parameter</w:t>
      </w:r>
    </w:p>
    <w:p>
      <w:pPr>
        <w:pStyle w:val="FirstParagraph"/>
      </w:pPr>
      <w:r>
        <w:t xml:space="preserve">A fixed quantity that configures a model’s behaviour.</w:t>
      </w:r>
    </w:p>
    <w:bookmarkEnd w:id="455"/>
    <w:bookmarkStart w:id="456" w:name="gl:regulation"/>
    <w:p>
      <w:pPr>
        <w:pStyle w:val="Heading3"/>
      </w:pPr>
      <w:r>
        <w:t xml:space="preserve">Regulation</w:t>
      </w:r>
    </w:p>
    <w:p>
      <w:pPr>
        <w:pStyle w:val="FirstParagraph"/>
      </w:pPr>
      <w:r>
        <w:t xml:space="preserve">The control of a system variable toward a target range.</w:t>
      </w:r>
    </w:p>
    <w:bookmarkEnd w:id="456"/>
    <w:bookmarkStart w:id="457" w:name="gl:state"/>
    <w:p>
      <w:pPr>
        <w:pStyle w:val="Heading3"/>
      </w:pPr>
      <w:r>
        <w:t xml:space="preserve">State</w:t>
      </w:r>
    </w:p>
    <w:p>
      <w:pPr>
        <w:pStyle w:val="FirstParagraph"/>
      </w:pPr>
      <w:r>
        <w:t xml:space="preserve">The configuration of a system at a moment in time.</w:t>
      </w:r>
    </w:p>
    <w:bookmarkEnd w:id="457"/>
    <w:bookmarkStart w:id="458" w:name="gl:system"/>
    <w:p>
      <w:pPr>
        <w:pStyle w:val="Heading3"/>
      </w:pPr>
      <w:r>
        <w:t xml:space="preserve">System</w:t>
      </w:r>
    </w:p>
    <w:p>
      <w:pPr>
        <w:pStyle w:val="FirstParagraph"/>
      </w:pPr>
      <w:r>
        <w:t xml:space="preserve">A set of interacting parts forming an integrated whole.</w:t>
      </w:r>
    </w:p>
    <w:bookmarkEnd w:id="458"/>
    <w:bookmarkStart w:id="459" w:name="gl:threshold"/>
    <w:p>
      <w:pPr>
        <w:pStyle w:val="Heading3"/>
      </w:pPr>
      <w:r>
        <w:t xml:space="preserve">Threshold</w:t>
      </w:r>
    </w:p>
    <w:p>
      <w:pPr>
        <w:pStyle w:val="FirstParagraph"/>
      </w:pPr>
      <w:r>
        <w:t xml:space="preserve">A critical value at which a qualitative change occurs.</w:t>
      </w:r>
    </w:p>
    <w:bookmarkEnd w:id="459"/>
    <w:bookmarkStart w:id="460" w:name="gl:variable"/>
    <w:p>
      <w:pPr>
        <w:pStyle w:val="Heading3"/>
      </w:pPr>
      <w:r>
        <w:t xml:space="preserve">Variable</w:t>
      </w:r>
    </w:p>
    <w:p>
      <w:pPr>
        <w:pStyle w:val="FirstParagraph"/>
      </w:pPr>
      <w:r>
        <w:t xml:space="preserve">A quantity that can take different values across states or observations.</w:t>
      </w:r>
    </w:p>
    <w:bookmarkEnd w:id="460"/>
    <w:bookmarkEnd w:id="461"/>
    <w:bookmarkStart w:id="474" w:name="sec:appendix_index"/>
    <w:p>
      <w:pPr>
        <w:pStyle w:val="Heading1"/>
      </w:pPr>
      <w:r>
        <w:t xml:space="preserve">Appendix E — Index of Key Terms</w:t>
      </w:r>
    </w:p>
    <w:p>
      <w:pPr>
        <w:pStyle w:val="BlockText"/>
      </w:pPr>
      <w:r>
        <w:t xml:space="preserve">Reference appendix · Generated index — do not hand-maintain.</w:t>
      </w:r>
    </w:p>
    <w:p>
      <w:pPr>
        <w:pStyle w:val="FirstParagraph"/>
      </w:pPr>
      <w:r>
        <w:t xml:space="preserve">This index is intended to be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at build time, not edited by hand. A</w:t>
      </w:r>
      <w:r>
        <w:t xml:space="preserve"> </w:t>
      </w:r>
      <w:r>
        <w:t xml:space="preserve">future indexing pass will scan the chapters for glossary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[**term**](#gl:&lt;anchor&gt;)</w:t>
      </w:r>
      <w:r>
        <w:t xml:space="preserve">) and crossref labels (</w:t>
      </w:r>
      <w:r>
        <w:rPr>
          <w:rStyle w:val="VerbatimChar"/>
        </w:rPr>
        <w:t xml:space="preserve">{#sec:...}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{#fig:...}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{#tbl:...}</w:t>
      </w:r>
      <w:r>
        <w:t xml:space="preserve">,</w:t>
      </w:r>
      <w:r>
        <w:t xml:space="preserve"> </w:t>
      </w:r>
      <w:r>
        <w:rPr>
          <w:rStyle w:val="VerbatimChar"/>
        </w:rPr>
        <w:t xml:space="preserve">{#eq:...}</w:t>
      </w:r>
      <w:r>
        <w:t xml:space="preserve">) and collate page/section references from the rendered</w:t>
      </w:r>
      <w:r>
        <w:t xml:space="preserve"> </w:t>
      </w:r>
      <w:r>
        <w:t xml:space="preserve">PDF. Until that pass runs, the entries below are placeholders.</w:t>
      </w:r>
    </w:p>
    <w:p>
      <w:pPr>
        <w:pStyle w:val="BodyText"/>
      </w:pPr>
      <w:r>
        <w:t xml:space="preserve">The authoritative term definitions live in</w:t>
      </w:r>
      <w:r>
        <w:t xml:space="preserve"> </w:t>
      </w:r>
      <w:hyperlink r:id="rId365">
        <w:r>
          <w:rPr>
            <w:rStyle w:val="Hyperlink"/>
          </w:rPr>
          <w:t xml:space="preserve">Appendix D — Glossary</w:t>
        </w:r>
      </w:hyperlink>
      <w:r>
        <w:t xml:space="preserve">;</w:t>
      </w:r>
      <w:r>
        <w:t xml:space="preserve"> </w:t>
      </w:r>
      <w:r>
        <w:t xml:space="preserve">the closed list of anchors is</w:t>
      </w:r>
      <w:r>
        <w:t xml:space="preserve"> </w:t>
      </w:r>
      <w:r>
        <w:rPr>
          <w:rStyle w:val="VerbatimChar"/>
        </w:rPr>
        <w:t xml:space="preserve">GLOSSARY_ANCHORS</w:t>
      </w:r>
      <w:r>
        <w:t xml:space="preserve"> </w:t>
      </w:r>
      <w:r>
        <w:t xml:space="preserve">in</w:t>
      </w:r>
      <w:r>
        <w:t xml:space="preserve"> </w:t>
      </w:r>
      <w:hyperlink r:id="rId364">
        <w:r>
          <w:rPr>
            <w:rStyle w:val="VerbatimChar"/>
          </w:rPr>
          <w:t xml:space="preserve">src/textbook/constants.py</w:t>
        </w:r>
      </w:hyperlink>
      <w:r>
        <w:t xml:space="preserve">.</w:t>
      </w:r>
    </w:p>
    <w:bookmarkStart w:id="473" w:name="placeholder-entries"/>
    <w:p>
      <w:pPr>
        <w:pStyle w:val="Heading2"/>
      </w:pPr>
      <w:r>
        <w:t xml:space="preserve">Placeholder Entries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dynamics</w:t>
      </w:r>
      <w:r>
        <w:t xml:space="preserve"> </w:t>
      </w:r>
      <w:r>
        <w:t xml:space="preserve">— see sec. 13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equilibrium</w:t>
      </w:r>
      <w:r>
        <w:t xml:space="preserve"> </w:t>
      </w:r>
      <w:r>
        <w:t xml:space="preserve">— see sec. 14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— see sec. 14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see sec. 6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network</w:t>
      </w:r>
      <w:r>
        <w:t xml:space="preserve"> </w:t>
      </w:r>
      <w:r>
        <w:t xml:space="preserve">— see sec. 10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see sec. 12</w:t>
      </w:r>
    </w:p>
    <w:p>
      <w:pPr>
        <w:pStyle w:val="FirstParagraph"/>
      </w:pPr>
      <w:r>
        <w:t xml:space="preserve">See also:</w:t>
      </w:r>
      <w:r>
        <w:t xml:space="preserve"> </w:t>
      </w:r>
      <w:hyperlink r:id="rId365">
        <w:r>
          <w:rPr>
            <w:rStyle w:val="Hyperlink"/>
          </w:rPr>
          <w:t xml:space="preserve">Appendix D — Glossary</w:t>
        </w:r>
      </w:hyperlink>
      <w:r>
        <w:t xml:space="preserve">.</w:t>
      </w:r>
    </w:p>
    <w:bookmarkStart w:id="472" w:name="refs"/>
    <w:bookmarkStart w:id="462" w:name="ref-brown2017principles"/>
    <w:p>
      <w:pPr>
        <w:pStyle w:val="Bibliography"/>
      </w:pPr>
      <w:r>
        <w:t xml:space="preserve">Brown, Casey. 2017.</w:t>
      </w:r>
      <w:r>
        <w:t xml:space="preserve"> </w:t>
      </w:r>
      <w:r>
        <w:rPr>
          <w:i/>
          <w:iCs/>
        </w:rPr>
        <w:t xml:space="preserve">First Principles: A Placeholder Reference</w:t>
      </w:r>
      <w:r>
        <w:t xml:space="preserve">. Placeholder Press.</w:t>
      </w:r>
    </w:p>
    <w:bookmarkEnd w:id="462"/>
    <w:bookmarkStart w:id="463" w:name="ref-doe2019methods"/>
    <w:p>
      <w:pPr>
        <w:pStyle w:val="Bibliography"/>
      </w:pPr>
      <w:r>
        <w:t xml:space="preserve">Doe, Jordan. 2019.</w:t>
      </w:r>
      <w:r>
        <w:t xml:space="preserve"> </w:t>
      </w:r>
      <w:r>
        <w:t xml:space="preserve">“Core Methods: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1: 1–20.</w:t>
      </w:r>
    </w:p>
    <w:bookmarkEnd w:id="463"/>
    <w:bookmarkStart w:id="464" w:name="ref-garcia2022dynamics"/>
    <w:p>
      <w:pPr>
        <w:pStyle w:val="Bibliography"/>
      </w:pPr>
      <w:r>
        <w:t xml:space="preserve">Garcia, Robin. 2022.</w:t>
      </w:r>
      <w:r>
        <w:t xml:space="preserve"> </w:t>
      </w:r>
      <w:r>
        <w:t xml:space="preserve">“Dynamics and Change: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4: 88–110.</w:t>
      </w:r>
    </w:p>
    <w:bookmarkEnd w:id="464"/>
    <w:bookmarkStart w:id="465" w:name="ref-kim2020data"/>
    <w:p>
      <w:pPr>
        <w:pStyle w:val="Bibliography"/>
      </w:pPr>
      <w:r>
        <w:t xml:space="preserve">Kim, Dana. 2020.</w:t>
      </w:r>
      <w:r>
        <w:t xml:space="preserve"> </w:t>
      </w:r>
      <w:r>
        <w:t xml:space="preserve">“Working with Data: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2: 200–225.</w:t>
      </w:r>
    </w:p>
    <w:bookmarkEnd w:id="465"/>
    <w:bookmarkStart w:id="466" w:name="ref-lee2021systems"/>
    <w:p>
      <w:pPr>
        <w:pStyle w:val="Bibliography"/>
      </w:pPr>
      <w:r>
        <w:t xml:space="preserve">Lee, Sam. 2021.</w:t>
      </w:r>
      <w:r>
        <w:t xml:space="preserve"> </w:t>
      </w:r>
      <w:r>
        <w:t xml:space="preserve">“Systems Thinking: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3: 44–67.</w:t>
      </w:r>
    </w:p>
    <w:bookmarkEnd w:id="466"/>
    <w:bookmarkStart w:id="467" w:name="ref-nguyen2023synthesis"/>
    <w:p>
      <w:pPr>
        <w:pStyle w:val="Bibliography"/>
      </w:pPr>
      <w:r>
        <w:t xml:space="preserve">Nguyen, Minh. 2023.</w:t>
      </w:r>
      <w:r>
        <w:t xml:space="preserve"> </w:t>
      </w:r>
      <w:r>
        <w:t xml:space="preserve">“Synthesis Across Scales: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5: 12–34.</w:t>
      </w:r>
    </w:p>
    <w:bookmarkEnd w:id="467"/>
    <w:bookmarkStart w:id="468" w:name="ref-patel2018models"/>
    <w:p>
      <w:pPr>
        <w:pStyle w:val="Bibliography"/>
      </w:pPr>
      <w:r>
        <w:t xml:space="preserve">Patel, Riya. 2018.</w:t>
      </w:r>
      <w:r>
        <w:t xml:space="preserve"> </w:t>
      </w:r>
      <w:r>
        <w:rPr>
          <w:i/>
          <w:iCs/>
        </w:rPr>
        <w:t xml:space="preserve">Modelling Practice: A Placeholder Reference</w:t>
      </w:r>
      <w:r>
        <w:t xml:space="preserve">. Placeholder Press.</w:t>
      </w:r>
    </w:p>
    <w:bookmarkEnd w:id="468"/>
    <w:bookmarkStart w:id="469" w:name="ref-smith2020foundations"/>
    <w:p>
      <w:pPr>
        <w:pStyle w:val="Bibliography"/>
      </w:pPr>
      <w:r>
        <w:t xml:space="preserve">Smith, Alex. 2020.</w:t>
      </w:r>
      <w:r>
        <w:t xml:space="preserve"> </w:t>
      </w:r>
      <w:r>
        <w:rPr>
          <w:i/>
          <w:iCs/>
        </w:rPr>
        <w:t xml:space="preserve">Foundations of the Field: A Placeholder Reference</w:t>
      </w:r>
      <w:r>
        <w:t xml:space="preserve">. Placeholder Press.</w:t>
      </w:r>
    </w:p>
    <w:bookmarkEnd w:id="469"/>
    <w:bookmarkStart w:id="470" w:name="ref-taylor2019theory"/>
    <w:p>
      <w:pPr>
        <w:pStyle w:val="Bibliography"/>
      </w:pPr>
      <w:r>
        <w:t xml:space="preserve">Taylor, Quinn. 2019.</w:t>
      </w:r>
      <w:r>
        <w:t xml:space="preserve"> </w:t>
      </w:r>
      <w:r>
        <w:t xml:space="preserve">“Toward a Theory: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1: 300–330.</w:t>
      </w:r>
    </w:p>
    <w:bookmarkEnd w:id="470"/>
    <w:bookmarkStart w:id="471" w:name="ref-wilson2021analysis"/>
    <w:p>
      <w:pPr>
        <w:pStyle w:val="Bibliography"/>
      </w:pPr>
      <w:r>
        <w:t xml:space="preserve">Wilson, Drew. 2021.</w:t>
      </w:r>
      <w:r>
        <w:t xml:space="preserve"> </w:t>
      </w:r>
      <w:r>
        <w:t xml:space="preserve">“Methods of Analysis: A Placeholder Reference.”</w:t>
      </w:r>
      <w:r>
        <w:t xml:space="preserve"> </w:t>
      </w:r>
      <w:r>
        <w:rPr>
          <w:i/>
          <w:iCs/>
        </w:rPr>
        <w:t xml:space="preserve">Journal of Placeholders</w:t>
      </w:r>
      <w:r>
        <w:t xml:space="preserve"> </w:t>
      </w:r>
      <w:r>
        <w:t xml:space="preserve">3: 130–58.</w:t>
      </w:r>
    </w:p>
    <w:bookmarkEnd w:id="471"/>
    <w:bookmarkEnd w:id="472"/>
    <w:bookmarkEnd w:id="473"/>
    <w:bookmarkEnd w:id="4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Footnotes collect at the end of the document (or page, in PDF). Use them</w:t>
      </w:r>
      <w:r>
        <w:t xml:space="preserve"> </w:t>
      </w:r>
      <w:r>
        <w:t xml:space="preserve">for asides that would interrupt the sentence.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3"/>
  </w:num>
  <w:num w:numId="1117">
    <w:abstractNumId w:val="993"/>
  </w:num>
  <w:num w:numId="1118">
    <w:abstractNumId w:val="992"/>
  </w:num>
  <w:num w:numId="1119">
    <w:abstractNumId w:val="992"/>
  </w:num>
  <w:num w:numId="11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6" Target="media/rId416.png" /><Relationship Type="http://schemas.openxmlformats.org/officeDocument/2006/relationships/image" Id="rId193" Target="media/rId193.png" /><Relationship Type="http://schemas.openxmlformats.org/officeDocument/2006/relationships/image" Id="rId433" Target="media/rId433.png" /><Relationship Type="http://schemas.openxmlformats.org/officeDocument/2006/relationships/image" Id="rId412" Target="media/rId412.png" /><Relationship Type="http://schemas.openxmlformats.org/officeDocument/2006/relationships/image" Id="rId424" Target="media/rId424.png" /><Relationship Type="http://schemas.openxmlformats.org/officeDocument/2006/relationships/image" Id="rId420" Target="media/rId420.png" /><Relationship Type="http://schemas.openxmlformats.org/officeDocument/2006/relationships/image" Id="rId77" Target="media/rId77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60" Target="media/rId60.png" /><Relationship Type="http://schemas.openxmlformats.org/officeDocument/2006/relationships/image" Id="rId177" Target="media/rId177.png" /><Relationship Type="http://schemas.openxmlformats.org/officeDocument/2006/relationships/image" Id="rId209" Target="media/rId209.png" /><Relationship Type="http://schemas.openxmlformats.org/officeDocument/2006/relationships/image" Id="rId144" Target="media/rId144.png" /><Relationship Type="http://schemas.openxmlformats.org/officeDocument/2006/relationships/image" Id="rId160" Target="media/rId160.png" /><Relationship Type="http://schemas.openxmlformats.org/officeDocument/2006/relationships/image" Id="rId128" Target="media/rId128.png" /><Relationship Type="http://schemas.openxmlformats.org/officeDocument/2006/relationships/image" Id="rId95" Target="media/rId95.png" /><Relationship Type="http://schemas.openxmlformats.org/officeDocument/2006/relationships/image" Id="rId111" Target="media/rId111.png" /><Relationship Type="http://schemas.openxmlformats.org/officeDocument/2006/relationships/hyperlink" Id="rId364" Target="../../src/textbook/constants.py" TargetMode="External" /><Relationship Type="http://schemas.openxmlformats.org/officeDocument/2006/relationships/hyperlink" Id="rId374" Target="../../src/textbook/models.py" TargetMode="External" /><Relationship Type="http://schemas.openxmlformats.org/officeDocument/2006/relationships/hyperlink" Id="rId362" Target="../../src/visualization/plots.py" TargetMode="External" /><Relationship Type="http://schemas.openxmlformats.org/officeDocument/2006/relationships/hyperlink" Id="rId437" Target="../assets/data/sample_dataset.csv" TargetMode="External" /><Relationship Type="http://schemas.openxmlformats.org/officeDocument/2006/relationships/hyperlink" Id="rId357" Target="../config.yaml" TargetMode="External" /><Relationship Type="http://schemas.openxmlformats.org/officeDocument/2006/relationships/hyperlink" Id="rId365" Target="../glossary.md" TargetMode="External" /><Relationship Type="http://schemas.openxmlformats.org/officeDocument/2006/relationships/hyperlink" Id="rId381" Target="../glossary.md#gl:dynamics" TargetMode="External" /><Relationship Type="http://schemas.openxmlformats.org/officeDocument/2006/relationships/hyperlink" Id="rId385" Target="../glossary.md#gl:model" TargetMode="External" /><Relationship Type="http://schemas.openxmlformats.org/officeDocument/2006/relationships/hyperlink" Id="rId387" Target="../glossary.md#gl:observable" TargetMode="External" /><Relationship Type="http://schemas.openxmlformats.org/officeDocument/2006/relationships/hyperlink" Id="rId379" Target="../glossary.md#gl:parameter" TargetMode="External" /><Relationship Type="http://schemas.openxmlformats.org/officeDocument/2006/relationships/hyperlink" Id="rId383" Target="../glossary.md#gl:threshold" TargetMode="External" /><Relationship Type="http://schemas.openxmlformats.org/officeDocument/2006/relationships/hyperlink" Id="rId378" Target="../glossary.md#gl:variable" TargetMode="External" /><Relationship Type="http://schemas.openxmlformats.org/officeDocument/2006/relationships/hyperlink" Id="rId367" Target="../references.bib" TargetMode="External" /><Relationship Type="http://schemas.openxmlformats.org/officeDocument/2006/relationships/hyperlink" Id="rId14" Target="AGENTS.md" TargetMode="External" /><Relationship Type="http://schemas.openxmlformats.org/officeDocument/2006/relationships/hyperlink" Id="rId18" Target="README.md" TargetMode="External" /><Relationship Type="http://schemas.openxmlformats.org/officeDocument/2006/relationships/hyperlink" Id="rId19" Target="SYNTAX.md" TargetMode="External" /><Relationship Type="http://schemas.openxmlformats.org/officeDocument/2006/relationships/hyperlink" Id="rId13" Target="appendices/appendix_authoring_guide.md" TargetMode="External" /><Relationship Type="http://schemas.openxmlformats.org/officeDocument/2006/relationships/hyperlink" Id="rId388" Target="appendix_authoring_guide.md" TargetMode="External" /><Relationship Type="http://schemas.openxmlformats.org/officeDocument/2006/relationships/hyperlink" Id="rId371" Target="appendix_math_review.md" TargetMode="External" /><Relationship Type="http://schemas.openxmlformats.org/officeDocument/2006/relationships/hyperlink" Id="rId370" Target="appendix_notation.md" TargetMode="External" /><Relationship Type="http://schemas.openxmlformats.org/officeDocument/2006/relationships/hyperlink" Id="rId10" Target="config.yaml" TargetMode="External" /><Relationship Type="http://schemas.openxmlformats.org/officeDocument/2006/relationships/hyperlink" Id="rId16" Target="glossary.md" TargetMode="External" /><Relationship Type="http://schemas.openxmlformats.org/officeDocument/2006/relationships/hyperlink" Id="rId11" Target="labs/" TargetMode="External" /><Relationship Type="http://schemas.openxmlformats.org/officeDocument/2006/relationships/hyperlink" Id="rId12" Target="ques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4" Target="../../src/textbook/constants.py" TargetMode="External" /><Relationship Type="http://schemas.openxmlformats.org/officeDocument/2006/relationships/hyperlink" Id="rId374" Target="../../src/textbook/models.py" TargetMode="External" /><Relationship Type="http://schemas.openxmlformats.org/officeDocument/2006/relationships/hyperlink" Id="rId362" Target="../../src/visualization/plots.py" TargetMode="External" /><Relationship Type="http://schemas.openxmlformats.org/officeDocument/2006/relationships/hyperlink" Id="rId437" Target="../assets/data/sample_dataset.csv" TargetMode="External" /><Relationship Type="http://schemas.openxmlformats.org/officeDocument/2006/relationships/hyperlink" Id="rId357" Target="../config.yaml" TargetMode="External" /><Relationship Type="http://schemas.openxmlformats.org/officeDocument/2006/relationships/hyperlink" Id="rId365" Target="../glossary.md" TargetMode="External" /><Relationship Type="http://schemas.openxmlformats.org/officeDocument/2006/relationships/hyperlink" Id="rId381" Target="../glossary.md#gl:dynamics" TargetMode="External" /><Relationship Type="http://schemas.openxmlformats.org/officeDocument/2006/relationships/hyperlink" Id="rId385" Target="../glossary.md#gl:model" TargetMode="External" /><Relationship Type="http://schemas.openxmlformats.org/officeDocument/2006/relationships/hyperlink" Id="rId387" Target="../glossary.md#gl:observable" TargetMode="External" /><Relationship Type="http://schemas.openxmlformats.org/officeDocument/2006/relationships/hyperlink" Id="rId379" Target="../glossary.md#gl:parameter" TargetMode="External" /><Relationship Type="http://schemas.openxmlformats.org/officeDocument/2006/relationships/hyperlink" Id="rId383" Target="../glossary.md#gl:threshold" TargetMode="External" /><Relationship Type="http://schemas.openxmlformats.org/officeDocument/2006/relationships/hyperlink" Id="rId378" Target="../glossary.md#gl:variable" TargetMode="External" /><Relationship Type="http://schemas.openxmlformats.org/officeDocument/2006/relationships/hyperlink" Id="rId367" Target="../references.bib" TargetMode="External" /><Relationship Type="http://schemas.openxmlformats.org/officeDocument/2006/relationships/hyperlink" Id="rId14" Target="AGENTS.md" TargetMode="External" /><Relationship Type="http://schemas.openxmlformats.org/officeDocument/2006/relationships/hyperlink" Id="rId18" Target="README.md" TargetMode="External" /><Relationship Type="http://schemas.openxmlformats.org/officeDocument/2006/relationships/hyperlink" Id="rId19" Target="SYNTAX.md" TargetMode="External" /><Relationship Type="http://schemas.openxmlformats.org/officeDocument/2006/relationships/hyperlink" Id="rId13" Target="appendices/appendix_authoring_guide.md" TargetMode="External" /><Relationship Type="http://schemas.openxmlformats.org/officeDocument/2006/relationships/hyperlink" Id="rId388" Target="appendix_authoring_guide.md" TargetMode="External" /><Relationship Type="http://schemas.openxmlformats.org/officeDocument/2006/relationships/hyperlink" Id="rId371" Target="appendix_math_review.md" TargetMode="External" /><Relationship Type="http://schemas.openxmlformats.org/officeDocument/2006/relationships/hyperlink" Id="rId370" Target="appendix_notation.md" TargetMode="External" /><Relationship Type="http://schemas.openxmlformats.org/officeDocument/2006/relationships/hyperlink" Id="rId10" Target="config.yaml" TargetMode="External" /><Relationship Type="http://schemas.openxmlformats.org/officeDocument/2006/relationships/hyperlink" Id="rId16" Target="glossary.md" TargetMode="External" /><Relationship Type="http://schemas.openxmlformats.org/officeDocument/2006/relationships/hyperlink" Id="rId11" Target="labs/" TargetMode="External" /><Relationship Type="http://schemas.openxmlformats.org/officeDocument/2006/relationships/hyperlink" Id="rId12" Target="ques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Ari Friedman</dc:creator>
  <cp:keywords/>
  <dcterms:created xsi:type="dcterms:W3CDTF">2026-06-26T14:03:54Z</dcterms:created>
  <dcterms:modified xsi:type="dcterms:W3CDTF">2026-06-26T14:03:54Z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/Users/4d/Documents/GitHub/template/projects/templates/template_textbook/manuscript/references.bib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