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rPr>
          <w:b/>
          <w:bCs/>
        </w:rPr>
        <w:t xml:space="preserve">State:</w:t>
      </w:r>
      <w:r>
        <w:t xml:space="preserve"> </w:t>
      </w:r>
      <w:r>
        <w:t xml:space="preserve">published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Title:</w:t>
      </w:r>
      <w:r>
        <w:t xml:space="preserve"> </w:t>
      </w:r>
      <w:r>
        <w:t xml:space="preserve">Editorial Quality at Scale: A Reproducible Prose-Review Pipeline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Version:</w:t>
      </w:r>
      <w:r>
        <w:t xml:space="preserve"> </w:t>
      </w:r>
      <w:r>
        <w:t xml:space="preserve">0.4.0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DOI:</w:t>
      </w:r>
      <w:r>
        <w:t xml:space="preserve"> </w:t>
      </w:r>
      <w:r>
        <w:t xml:space="preserve">10.5281/zenodo.20417104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GitHub:</w:t>
      </w:r>
      <w:r>
        <w:t xml:space="preserve"> </w:t>
      </w:r>
      <w:r>
        <w:t xml:space="preserve">https://github.com/docxology/template_prose_project/releases/tag/v0.4.0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Zenodo:</w:t>
      </w:r>
      <w:r>
        <w:t xml:space="preserve"> </w:t>
      </w:r>
      <w:r>
        <w:t xml:space="preserve">https://zenodo.org/records/20417104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SHA-256:</w:t>
      </w:r>
      <w:r>
        <w:t xml:space="preserve"> </w:t>
      </w:r>
      <w:r>
        <w:rPr>
          <w:rStyle w:val="VerbatimChar"/>
        </w:rPr>
        <w:t xml:space="preserve">cbe5adae0be78b58c77637042257e9faa61a21b6c5101da52600cf8e2e80c0e2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SHA-512:</w:t>
      </w:r>
      <w:r>
        <w:t xml:space="preserve"> </w:t>
      </w:r>
      <w:r>
        <w:rPr>
          <w:rStyle w:val="VerbatimChar"/>
        </w:rPr>
        <w:t xml:space="preserve">45c0f0052a193397f8c877bf51b467040d731f23b6abf10500c2f91426c0ace3157dfd6ad5057b65c27a3987a4349a147f58db836ce4bfc1d9347a3ca9808b04</w:t>
      </w:r>
    </w:p>
    <w:p>
      <w:pPr>
        <w:pStyle w:val="FirstParagraph"/>
      </w:pPr>
      <w:r>
        <w:rPr>
          <w:b/>
          <w:bCs/>
        </w:rPr>
        <w:t xml:space="preserve">Pairing:</w:t>
      </w:r>
      <w:r>
        <w:t xml:space="preserve"> </w:t>
      </w:r>
      <w:r>
        <w:t xml:space="preserve">complete (DOI, GitHub, SHA-256, Zenodo URL)</w:t>
      </w:r>
    </w:p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7920"/>
      </w:tblGrid>
      <w:tr>
        <w:tc>
          <w:tcPr/>
          <w:p>
            <w:pPr>
              <w:pStyle w:val="Compact"/>
              <w:jc w:val="center"/>
            </w:pPr>
            <w:r>
              <w:t xml:space="preserve">Integrity QR strip</w:t>
            </w:r>
          </w:p>
        </w:tc>
      </w:tr>
    </w:tbl>
    <w:p>
      <w:pPr>
        <w:pStyle w:val="ImageCaption"/>
      </w:pPr>
      <w:r>
        <w:t xml:space="preserve">Integrity QR strip</w:t>
      </w:r>
    </w:p>
    <w:p>
      <w:pPr>
        <w:pStyle w:val="SourceCode"/>
      </w:pPr>
      <w:r>
        <w:rPr>
          <w:rStyle w:val="VerbatimChar"/>
        </w:rPr>
        <w:t xml:space="preserve">title=Editorial Quality at Scale: A Reproducible Prose</w:t>
      </w:r>
      <w:r>
        <w:br/>
      </w:r>
      <w:r>
        <w:rPr>
          <w:rStyle w:val="VerbatimChar"/>
        </w:rPr>
        <w:t xml:space="preserve">version=0.4.0 doi=10.5281/zenodo.20417104</w:t>
      </w:r>
      <w:r>
        <w:br/>
      </w:r>
      <w:r>
        <w:rPr>
          <w:rStyle w:val="VerbatimChar"/>
        </w:rPr>
        <w:t xml:space="preserve">sha256=cbe5adae0be78b58… manifest={"t":"Editorial Quality at Sca","v":"0.4.0","d":"10.5281/zenodo.20417104","s":"cbe5adae0be78b58"}</w:t>
      </w:r>
    </w:p>
    <w:p>
      <w:pPr>
        <w:pStyle w:val="FirstParagraph"/>
      </w:pPr>
      <w:r>
        <w:t xml:space="preserve">Structured manifest:</w:t>
      </w:r>
      <w:r>
        <w:t xml:space="preserve"> </w:t>
      </w:r>
      <w:r>
        <w:rPr>
          <w:rStyle w:val="VerbatimChar"/>
        </w:rPr>
        <w:t xml:space="preserve">../data/transmission_manifest.json</w:t>
      </w:r>
    </w:p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7920"/>
      </w:tblGrid>
      <w:tr>
        <w:tc>
          <w:tcPr/>
          <w:p>
            <w:pPr>
              <w:pStyle w:val="Compact"/>
              <w:jc w:val="center"/>
            </w:pPr>
            <w:r>
              <w:t xml:space="preserve">Publication pairing flow</w:t>
            </w:r>
          </w:p>
        </w:tc>
      </w:tr>
    </w:tbl>
    <w:p>
      <w:pPr>
        <w:pStyle w:val="ImageCaption"/>
      </w:pPr>
      <w:r>
        <w:t xml:space="preserve">Publication pairing flow</w:t>
      </w:r>
    </w:p>
    <w:p>
      <w:pPr>
        <w:pStyle w:val="BodyText"/>
      </w:pPr>
      <w:r>
        <w:rPr>
          <w:b/>
          <w:bCs/>
        </w:rPr>
        <w:t xml:space="preserve">Stego:</w:t>
      </w:r>
      <w:r>
        <w:t xml:space="preserve"> </w:t>
      </w:r>
      <w:r>
        <w:t xml:space="preserve">off | overlays text | barcodes on | XMP on | manifest on →</w:t>
      </w:r>
      <w:r>
        <w:t xml:space="preserve"> </w:t>
      </w:r>
      <w:r>
        <w:rPr>
          <w:rStyle w:val="VerbatimChar"/>
        </w:rPr>
        <w:t xml:space="preserve">./secure_run.sh</w:t>
      </w:r>
    </w:p>
    <w:bookmarkStart w:id="12" w:name="sec:abstract"/>
    <w:p>
      <w:pPr>
        <w:pStyle w:val="Heading1"/>
      </w:pPr>
      <w:r>
        <w:t xml:space="preserve">Abstract</w:t>
      </w:r>
    </w:p>
    <w:p>
      <w:pPr>
        <w:pStyle w:val="FirstParagraph"/>
      </w:pPr>
      <w:r>
        <w:t xml:space="preserve">This paper documents</w:t>
      </w:r>
      <w:r>
        <w:t xml:space="preserve"> </w:t>
      </w:r>
      <w:r>
        <w:rPr>
          <w:rStyle w:val="VerbatimChar"/>
        </w:rPr>
        <w:t xml:space="preserve">template_prose_project</w:t>
      </w:r>
      <w:r>
        <w:t xml:space="preserve">, the prose-focused exemplar of the</w:t>
      </w:r>
      <w:r>
        <w:t xml:space="preserve"> </w:t>
      </w:r>
      <w:hyperlink r:id="rId9">
        <w:r>
          <w:rPr>
            <w:rStyle w:val="Hyperlink"/>
          </w:rPr>
          <w:t xml:space="preserve">Research Project Template</w:t>
        </w:r>
      </w:hyperlink>
      <w:r>
        <w:t xml:space="preserve">. It pairs the template’s two-layer architecture with the</w:t>
      </w:r>
      <w:r>
        <w:t xml:space="preserve"> </w:t>
      </w:r>
      <w:hyperlink r:id="rId10">
        <w:r>
          <w:rPr>
            <w:rStyle w:val="Hyperlink"/>
          </w:rPr>
          <w:t xml:space="preserve">prose analysis infrastructure</w:t>
        </w:r>
      </w:hyperlink>
      <w:r>
        <w:t xml:space="preserve"> </w:t>
      </w:r>
      <w:r>
        <w:t xml:space="preserve">(readability metrics, structural outline, editorial quality flags) and the</w:t>
      </w:r>
      <w:r>
        <w:t xml:space="preserve"> </w:t>
      </w:r>
      <w:hyperlink r:id="rId11">
        <w:r>
          <w:rPr>
            <w:rStyle w:val="Hyperlink"/>
          </w:rPr>
          <w:t xml:space="preserve">reference validation infrastructure</w:t>
        </w:r>
      </w:hyperlink>
      <w:r>
        <w:t xml:space="preserve"> </w:t>
      </w:r>
      <w:r>
        <w:t xml:space="preserve">(BibTeX validation), demonstrating that</w:t>
      </w:r>
      <w:r>
        <w:t xml:space="preserve"> </w:t>
      </w:r>
      <w:r>
        <w:rPr>
          <w:b/>
          <w:bCs/>
        </w:rPr>
        <w:t xml:space="preserve">rigorous editorial review can be expressed as a configurable, deterministic pipeline</w:t>
      </w:r>
      <w:r>
        <w:t xml:space="preserve"> </w:t>
      </w:r>
      <w:r>
        <w:t xml:space="preserve">with no novel domain algorithm of its own.</w:t>
      </w:r>
    </w:p>
    <w:p>
      <w:pPr>
        <w:pStyle w:val="BodyText"/>
      </w:pPr>
      <w:r>
        <w:t xml:space="preserve">A single</w:t>
      </w:r>
      <w:r>
        <w:t xml:space="preserve"> </w:t>
      </w:r>
      <w:r>
        <w:rPr>
          <w:rStyle w:val="VerbatimChar"/>
        </w:rPr>
        <w:t xml:space="preserve">manuscript/config.yaml</w:t>
      </w:r>
      <w:r>
        <w:t xml:space="preserve"> </w:t>
      </w:r>
      <w:r>
        <w:t xml:space="preserve">defines target grade-level bands, citation-density floors, structural rules (every section has an H1, no heading levels skipped), and bibliography-consistency policy. The pipeline reads the manuscript, runs the prose analysers, cross-checks every</w:t>
      </w:r>
      <w:r>
        <w:t xml:space="preserve"> </w:t>
      </w:r>
      <w:r>
        <w:rPr>
          <w:rStyle w:val="VerbatimChar"/>
        </w:rPr>
        <w:t xml:space="preserve">[@key]</w:t>
      </w:r>
      <w:r>
        <w:t xml:space="preserve"> </w:t>
      </w:r>
      <w:r>
        <w:t xml:space="preserve">citation against</w:t>
      </w:r>
      <w:r>
        <w:t xml:space="preserve"> </w:t>
      </w:r>
      <w:r>
        <w:rPr>
          <w:rStyle w:val="VerbatimChar"/>
        </w:rPr>
        <w:t xml:space="preserve">manuscript/references.bib</w:t>
      </w:r>
      <w:r>
        <w:t xml:space="preserve">, evaluates the configured checks, and writes a deterministic markdown review report alongside three figures (per-file word counts, readability metrics, citation density) and a JSON</w:t>
      </w:r>
      <w:r>
        <w:t xml:space="preserve"> </w:t>
      </w:r>
      <w:r>
        <w:rPr>
          <w:rStyle w:val="VerbatimChar"/>
        </w:rPr>
        <w:t xml:space="preserve">manuscript_report.json</w:t>
      </w:r>
      <w:r>
        <w:t xml:space="preserve"> </w:t>
      </w:r>
      <w:r>
        <w:t xml:space="preserve">suitable for CI artefacts.</w:t>
      </w:r>
    </w:p>
    <w:p>
      <w:pPr>
        <w:pStyle w:val="BodyText"/>
      </w:pPr>
      <w:r>
        <w:rPr>
          <w:b/>
          <w:bCs/>
        </w:rPr>
        <w:t xml:space="preserve">Run snapshot.</w:t>
      </w:r>
      <w:r>
        <w:t xml:space="preserve"> </w:t>
      </w:r>
      <w:r>
        <w:t xml:space="preserve">The current configuration analyses 8 file(s) totalling 1676 words across 84 sentence(s) and 63 paragraph(s). Average Flesch-Kincaid grade level is 15.92; average Gunning Fog index is 16.69; the manuscript references 6 unique citation key(s); the longest section is 413 words and the shortest is 17. These numbers are auto-substituted by</w:t>
      </w:r>
      <w:r>
        <w:t xml:space="preserve"> </w:t>
      </w:r>
      <w:r>
        <w:rPr>
          <w:rStyle w:val="VerbatimChar"/>
        </w:rPr>
        <w:t xml:space="preserve">scripts/z_generate_manuscript_variables.py</w:t>
      </w:r>
      <w:r>
        <w:t xml:space="preserve"> </w:t>
      </w:r>
      <w:r>
        <w:t xml:space="preserve">after every run, so the abstract tracks the JSON outputs in</w:t>
      </w:r>
      <w:r>
        <w:t xml:space="preserve"> </w:t>
      </w:r>
      <w:r>
        <w:rPr>
          <w:rStyle w:val="VerbatimChar"/>
        </w:rPr>
        <w:t xml:space="preserve">output/</w:t>
      </w:r>
      <w:r>
        <w:t xml:space="preserve">.</w:t>
      </w:r>
    </w:p>
    <w:p>
      <w:pPr>
        <w:pStyle w:val="BodyText"/>
      </w:pPr>
      <w:r>
        <w:t xml:space="preserve">The contribution is methodological and architectural: a</w:t>
      </w:r>
      <w:r>
        <w:t xml:space="preserve"> </w:t>
      </w:r>
      <w:r>
        <w:rPr>
          <w:i/>
          <w:iCs/>
        </w:rPr>
        <w:t xml:space="preserve">generic, reusable</w:t>
      </w:r>
      <w:r>
        <w:t xml:space="preserve"> </w:t>
      </w:r>
      <w:r>
        <w:t xml:space="preserve">prose-quality module (</w:t>
      </w:r>
      <w:r>
        <w:rPr>
          <w:rStyle w:val="VerbatimChar"/>
        </w:rPr>
        <w:t xml:space="preserve">infrastructure/prose/</w:t>
      </w:r>
      <w:r>
        <w:t xml:space="preserve">) that any project in the template can opt into, plus a</w:t>
      </w:r>
      <w:r>
        <w:t xml:space="preserve"> </w:t>
      </w:r>
      <w:r>
        <w:rPr>
          <w:i/>
          <w:iCs/>
        </w:rPr>
        <w:t xml:space="preserve">minimal, configurable</w:t>
      </w:r>
      <w:r>
        <w:t xml:space="preserve"> </w:t>
      </w:r>
      <w:r>
        <w:t xml:space="preserve">exemplar (</w:t>
      </w:r>
      <w:r>
        <w:rPr>
          <w:rStyle w:val="VerbatimChar"/>
        </w:rPr>
        <w:t xml:space="preserve">projects/template_prose_project/</w:t>
      </w:r>
      <w:r>
        <w:t xml:space="preserve">) that wires it to the bibliography and the manuscript pipeline.</w:t>
      </w:r>
    </w:p>
    <w:p>
      <w:pPr>
        <w:pStyle w:val="BodyText"/>
      </w:pPr>
      <w:r>
        <w:rPr>
          <w:b/>
          <w:bCs/>
        </w:rPr>
        <w:t xml:space="preserve">Keywords:</w:t>
      </w:r>
      <w:r>
        <w:t xml:space="preserve"> </w:t>
      </w:r>
      <w:r>
        <w:t xml:space="preserve">prose analysis, readability, editorial review, reproducible manuscript review, scientific infrastructure</w:t>
      </w:r>
    </w:p>
    <w:bookmarkEnd w:id="12"/>
    <w:bookmarkStart w:id="15" w:name="sec:introduction"/>
    <w:p>
      <w:pPr>
        <w:pStyle w:val="Heading1"/>
      </w:pPr>
      <w:r>
        <w:t xml:space="preserve">Introduction</w:t>
      </w:r>
    </w:p>
    <w:p>
      <w:pPr>
        <w:pStyle w:val="FirstParagraph"/>
      </w:pPr>
      <w:r>
        <w:t xml:space="preserve">Editorial review is one of the longest-lived bottlenecks in scientific writing — and an obvious target for the kind of</w:t>
      </w:r>
      <w:r>
        <w:t xml:space="preserve"> </w:t>
      </w:r>
      <w:r>
        <w:rPr>
          <w:i/>
          <w:iCs/>
        </w:rPr>
        <w:t xml:space="preserve">reproducible computational workflow</w:t>
      </w:r>
      <w:r>
        <w:t xml:space="preserve"> </w:t>
      </w:r>
      <w:r>
        <w:t xml:space="preserve">advocated by</w:t>
      </w:r>
      <w:r>
        <w:t xml:space="preserve"> </w:t>
      </w:r>
      <w:r>
        <w:t xml:space="preserve">(Peng 2011)</w:t>
      </w:r>
      <w:r>
        <w:t xml:space="preserve">. A working draft accumulates structural drift (skipped heading levels, sections that have grown to 2,000 words while their siblings sit at 200), readability drift (a once-clean introduction now reads at the Gunning Fog level of a legal contract</w:t>
      </w:r>
      <w:r>
        <w:t xml:space="preserve"> </w:t>
      </w:r>
      <w:r>
        <w:t xml:space="preserve">(Gunning 1952)</w:t>
      </w:r>
      <w:r>
        <w:t xml:space="preserve">), and citation drift (</w:t>
      </w:r>
      <w:r>
        <w:rPr>
          <w:rStyle w:val="VerbatimChar"/>
        </w:rPr>
        <w:t xml:space="preserve">[@key]</w:t>
      </w:r>
      <w:r>
        <w:t xml:space="preserve"> </w:t>
      </w:r>
      <w:r>
        <w:t xml:space="preserve">references that no longer exist in</w:t>
      </w:r>
      <w:r>
        <w:t xml:space="preserve"> </w:t>
      </w:r>
      <w:r>
        <w:rPr>
          <w:rStyle w:val="VerbatimChar"/>
        </w:rPr>
        <w:t xml:space="preserve">references.bib</w:t>
      </w:r>
      <w:r>
        <w:t xml:space="preserve">, or bibliography entries that nobody actually cites). The traditional remedy — a senior co-author re-reading the manuscript with</w:t>
      </w:r>
      <w:r>
        <w:t xml:space="preserve"> </w:t>
      </w:r>
      <w:r>
        <w:t xml:space="preserve">(Strunk and White 2000)</w:t>
      </w:r>
      <w:r>
        <w:t xml:space="preserve"> </w:t>
      </w:r>
      <w:r>
        <w:t xml:space="preserve">in hand — is slow, non-reproducible, and impossible to apply continuously.</w:t>
      </w:r>
    </w:p>
    <w:p>
      <w:pPr>
        <w:pStyle w:val="BodyText"/>
      </w:pPr>
      <w:r>
        <w:rPr>
          <w:rStyle w:val="VerbatimChar"/>
        </w:rPr>
        <w:t xml:space="preserve">template_prose_project</w:t>
      </w:r>
      <w:r>
        <w:t xml:space="preserve"> </w:t>
      </w:r>
      <w:r>
        <w:t xml:space="preserve">exists to demonstrate that the editorial-review pass can be expressed as a</w:t>
      </w:r>
      <w:r>
        <w:t xml:space="preserve"> </w:t>
      </w:r>
      <w:r>
        <w:rPr>
          <w:b/>
          <w:bCs/>
        </w:rPr>
        <w:t xml:space="preserve">deterministic, configurable, infrastructure-backed pipeline</w:t>
      </w:r>
      <w:r>
        <w:t xml:space="preserve">. This project carries no novel research contribution of its own; its purpose is to show how to compose existing template infrastructure into a complete, reproducible editorial workflow.</w:t>
      </w:r>
    </w:p>
    <w:p>
      <w:pPr>
        <w:pStyle w:val="BodyText"/>
      </w:pPr>
      <w:r>
        <w:t xml:space="preserve">The architecture is simple.</w:t>
      </w:r>
      <w:r>
        <w:t xml:space="preserve"> </w:t>
      </w:r>
      <w:r>
        <w:rPr>
          <w:rStyle w:val="VerbatimChar"/>
        </w:rPr>
        <w:t xml:space="preserve">manuscript/config.yaml</w:t>
      </w:r>
      <w:r>
        <w:t xml:space="preserve"> </w:t>
      </w:r>
      <w:r>
        <w:t xml:space="preserve">defines policy: target grade-level band, citation-density floor, heading-structure rules, bibliography-consistency policy.</w:t>
      </w:r>
      <w:r>
        <w:t xml:space="preserve"> </w:t>
      </w:r>
      <w:r>
        <w:rPr>
          <w:rStyle w:val="VerbatimChar"/>
        </w:rPr>
        <w:t xml:space="preserve">src/pipeline/__init__.py::run_prose_pipeline</w:t>
      </w:r>
      <w:r>
        <w:t xml:space="preserve"> </w:t>
      </w:r>
      <w:r>
        <w:t xml:space="preserve">reads the manuscript directory, calls</w:t>
      </w:r>
      <w:r>
        <w:t xml:space="preserve"> </w:t>
      </w:r>
      <w:hyperlink r:id="rId13">
        <w:r>
          <w:rPr>
            <w:rStyle w:val="VerbatimChar"/>
          </w:rPr>
          <w:t xml:space="preserve">infrastructure.prose.analyze_manuscript</w:t>
        </w:r>
      </w:hyperlink>
      <w:r>
        <w:t xml:space="preserve"> </w:t>
      </w:r>
      <w:r>
        <w:t xml:space="preserve">to produce a</w:t>
      </w:r>
      <w:r>
        <w:t xml:space="preserve"> </w:t>
      </w:r>
      <w:r>
        <w:rPr>
          <w:rStyle w:val="VerbatimChar"/>
        </w:rPr>
        <w:t xml:space="preserve">ManuscriptReport</w:t>
      </w:r>
      <w:r>
        <w:t xml:space="preserve">, cross-checks the cited keys against</w:t>
      </w:r>
      <w:r>
        <w:t xml:space="preserve"> </w:t>
      </w:r>
      <w:hyperlink r:id="rId14">
        <w:r>
          <w:rPr>
            <w:rStyle w:val="VerbatimChar"/>
          </w:rPr>
          <w:t xml:space="preserve">infrastructure.reference.citation.parse_bibfile</w:t>
        </w:r>
      </w:hyperlink>
      <w:r>
        <w:t xml:space="preserve"> </w:t>
      </w:r>
      <w:r>
        <w:t xml:space="preserve">for the</w:t>
      </w:r>
      <w:r>
        <w:t xml:space="preserve"> </w:t>
      </w:r>
      <w:r>
        <w:rPr>
          <w:rStyle w:val="VerbatimChar"/>
        </w:rPr>
        <w:t xml:space="preserve">references.bib</w:t>
      </w:r>
      <w:r>
        <w:t xml:space="preserve">, evaluates each configured check, and writes a markdown review report alongside JSON artefacts and three figures. None of this is project-specific: a different project can re-use the same infrastructure with a different</w:t>
      </w:r>
      <w:r>
        <w:t xml:space="preserve"> </w:t>
      </w:r>
      <w:r>
        <w:rPr>
          <w:rStyle w:val="VerbatimChar"/>
        </w:rPr>
        <w:t xml:space="preserve">config.yaml</w:t>
      </w:r>
      <w:r>
        <w:t xml:space="preserve"> </w:t>
      </w:r>
      <w:r>
        <w:t xml:space="preserve">and a different manuscript directory.</w:t>
      </w:r>
    </w:p>
    <w:p>
      <w:pPr>
        <w:pStyle w:val="BodyText"/>
      </w:pPr>
      <w:r>
        <w:t xml:space="preserve">The remainder of this paper documents the methodology (</w:t>
      </w:r>
      <w:r>
        <w:t xml:space="preserve">(</w:t>
      </w:r>
      <w:r>
        <w:rPr>
          <w:b/>
          <w:bCs/>
        </w:rPr>
        <w:t xml:space="preserve">sec:methodology?</w:t>
      </w:r>
      <w:r>
        <w:t xml:space="preserve">)</w:t>
      </w:r>
      <w:r>
        <w:t xml:space="preserve">), the run-time results on the bundled manuscript (</w:t>
      </w:r>
      <w:r>
        <w:t xml:space="preserve">(</w:t>
      </w:r>
      <w:r>
        <w:rPr>
          <w:b/>
          <w:bCs/>
        </w:rPr>
        <w:t xml:space="preserve">sec:results?</w:t>
      </w:r>
      <w:r>
        <w:t xml:space="preserve">)</w:t>
      </w:r>
      <w:r>
        <w:t xml:space="preserve">), and the architectural lessons drawn from wiring prose analysis through the template pipeline (</w:t>
      </w:r>
      <w:r>
        <w:t xml:space="preserve">(</w:t>
      </w:r>
      <w:r>
        <w:rPr>
          <w:b/>
          <w:bCs/>
        </w:rPr>
        <w:t xml:space="preserve">sec:conclusion?</w:t>
      </w:r>
      <w:r>
        <w:t xml:space="preserve">)</w:t>
      </w:r>
      <w:r>
        <w:t xml:space="preserve">).</w:t>
      </w:r>
    </w:p>
    <w:bookmarkEnd w:id="15"/>
    <w:bookmarkStart w:id="21" w:name="sec:methodology"/>
    <w:p>
      <w:pPr>
        <w:pStyle w:val="Heading1"/>
      </w:pPr>
      <w:r>
        <w:t xml:space="preserve">Methodology</w:t>
      </w:r>
    </w:p>
    <w:p>
      <w:pPr>
        <w:pStyle w:val="FirstParagraph"/>
      </w:pPr>
      <w:r>
        <w:t xml:space="preserve">The pipeline runs in five stages, each a pure function in the project’s</w:t>
      </w:r>
      <w:r>
        <w:t xml:space="preserve"> </w:t>
      </w:r>
      <w:r>
        <w:rPr>
          <w:rStyle w:val="VerbatimChar"/>
        </w:rPr>
        <w:t xml:space="preserve">src/</w:t>
      </w:r>
      <w:r>
        <w:t xml:space="preserve"> </w:t>
      </w:r>
      <w:r>
        <w:t xml:space="preserve">modules; the orchestrator script in</w:t>
      </w:r>
      <w:r>
        <w:t xml:space="preserve"> </w:t>
      </w:r>
      <w:r>
        <w:rPr>
          <w:rStyle w:val="VerbatimChar"/>
        </w:rPr>
        <w:t xml:space="preserve">scripts/</w:t>
      </w:r>
      <w:r>
        <w:t xml:space="preserve"> </w:t>
      </w:r>
      <w:r>
        <w:t xml:space="preserve">does only argument parsing and filesystem I/O.</w:t>
      </w:r>
    </w:p>
    <w:bookmarkStart w:id="16" w:name="read"/>
    <w:p>
      <w:pPr>
        <w:pStyle w:val="Heading2"/>
      </w:pPr>
      <w:r>
        <w:t xml:space="preserve">Read</w:t>
      </w:r>
    </w:p>
    <w:p>
      <w:pPr>
        <w:pStyle w:val="FirstParagraph"/>
      </w:pPr>
      <w:r>
        <w:rPr>
          <w:rStyle w:val="VerbatimChar"/>
        </w:rPr>
        <w:t xml:space="preserve">infrastructure.prose.read_manuscript_dir</w:t>
      </w:r>
      <w:r>
        <w:t xml:space="preserve"> </w:t>
      </w:r>
      <w:r>
        <w:t xml:space="preserve">walks the configured manuscript directory and returns a sorted</w:t>
      </w:r>
      <w:r>
        <w:t xml:space="preserve"> </w:t>
      </w:r>
      <w:r>
        <w:rPr>
          <w:rStyle w:val="VerbatimChar"/>
        </w:rPr>
        <w:t xml:space="preserve">{filename: text}</w:t>
      </w:r>
      <w:r>
        <w:t xml:space="preserve"> </w:t>
      </w:r>
      <w:r>
        <w:t xml:space="preserve">mapping. Scaffolding files (</w:t>
      </w:r>
      <w:r>
        <w:rPr>
          <w:rStyle w:val="VerbatimChar"/>
        </w:rPr>
        <w:t xml:space="preserve">preamble.md</w:t>
      </w:r>
      <w:r>
        <w:t xml:space="preserve">,</w:t>
      </w:r>
      <w:r>
        <w:t xml:space="preserve"> </w:t>
      </w:r>
      <w:r>
        <w:rPr>
          <w:rStyle w:val="VerbatimChar"/>
        </w:rPr>
        <w:t xml:space="preserve">config.yaml.example</w:t>
      </w:r>
      <w:r>
        <w:t xml:space="preserve">,</w:t>
      </w:r>
      <w:r>
        <w:t xml:space="preserve"> </w:t>
      </w:r>
      <w:r>
        <w:rPr>
          <w:rStyle w:val="VerbatimChar"/>
        </w:rPr>
        <w:t xml:space="preserve">AGENTS.md</w:t>
      </w:r>
      <w:r>
        <w:t xml:space="preserve">,</w:t>
      </w:r>
      <w:r>
        <w:t xml:space="preserve"> </w:t>
      </w:r>
      <w:r>
        <w:rPr>
          <w:rStyle w:val="VerbatimChar"/>
        </w:rPr>
        <w:t xml:space="preserve">README.md</w:t>
      </w:r>
      <w:r>
        <w:t xml:space="preserve">,</w:t>
      </w:r>
      <w:r>
        <w:t xml:space="preserve"> </w:t>
      </w:r>
      <w:r>
        <w:rPr>
          <w:rStyle w:val="VerbatimChar"/>
        </w:rPr>
        <w:t xml:space="preserve">SYNTAX.md</w:t>
      </w:r>
      <w:r>
        <w:t xml:space="preserve">) are excluded by default — they hold infrastructure documentation rather than manuscript prose.</w:t>
      </w:r>
    </w:p>
    <w:bookmarkEnd w:id="16"/>
    <w:bookmarkStart w:id="17" w:name="analyse"/>
    <w:p>
      <w:pPr>
        <w:pStyle w:val="Heading2"/>
      </w:pPr>
      <w:r>
        <w:t xml:space="preserve">Analyse</w:t>
      </w:r>
    </w:p>
    <w:p>
      <w:pPr>
        <w:pStyle w:val="FirstParagraph"/>
      </w:pPr>
      <w:r>
        <w:t xml:space="preserve">For each file, three analysers run in parallel: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Metrics</w:t>
      </w:r>
      <w:r>
        <w:t xml:space="preserve"> </w:t>
      </w:r>
      <w:r>
        <w:t xml:space="preserve">(</w:t>
      </w:r>
      <w:r>
        <w:rPr>
          <w:rStyle w:val="VerbatimChar"/>
        </w:rPr>
        <w:t xml:space="preserve">infrastructure.prose.analysis.metrics</w:t>
      </w:r>
      <w:r>
        <w:t xml:space="preserve">) — word, sentence, paragraph, syllable counts; average words per sentence; average syllables per word; complex-word fraction; Flesch Reading Ease</w:t>
      </w:r>
      <w:r>
        <w:t xml:space="preserve"> </w:t>
      </w:r>
      <w:r>
        <w:t xml:space="preserve">(Flesch 1948)</w:t>
      </w:r>
      <w:r>
        <w:t xml:space="preserve">; Flesch-Kincaid Grade Level</w:t>
      </w:r>
      <w:r>
        <w:t xml:space="preserve"> </w:t>
      </w:r>
      <w:r>
        <w:t xml:space="preserve">(Kincaid et al. 1975)</w:t>
      </w:r>
      <w:r>
        <w:t xml:space="preserve">; Gunning Fog Index</w:t>
      </w:r>
      <w:r>
        <w:t xml:space="preserve"> </w:t>
      </w:r>
      <w:r>
        <w:t xml:space="preserve">(Gunning 1952)</w:t>
      </w:r>
      <w:r>
        <w:t xml:space="preserve">. The implementations are textbook formulae over a vowel-group syllable heuristic; they’re good enough for a writer-facing signal, not for linguistic research.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Structure</w:t>
      </w:r>
      <w:r>
        <w:t xml:space="preserve"> </w:t>
      </w:r>
      <w:r>
        <w:t xml:space="preserve">(</w:t>
      </w:r>
      <w:r>
        <w:rPr>
          <w:rStyle w:val="VerbatimChar"/>
        </w:rPr>
        <w:t xml:space="preserve">infrastructure.prose.analysis.structure</w:t>
      </w:r>
      <w:r>
        <w:t xml:space="preserve">) — heading outline, per-section word counts, max heading depth, presence of an H1, detection of skipped heading levels (e.g. an H1 followed directly by an H3).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Quality</w:t>
      </w:r>
      <w:r>
        <w:t xml:space="preserve"> </w:t>
      </w:r>
      <w:r>
        <w:t xml:space="preserve">(</w:t>
      </w:r>
      <w:r>
        <w:rPr>
          <w:rStyle w:val="VerbatimChar"/>
        </w:rPr>
        <w:t xml:space="preserve">infrastructure.prose.analysis.quality</w:t>
      </w:r>
      <w:r>
        <w:t xml:space="preserve">) — passive-voice candidates (heuristic:</w:t>
      </w:r>
      <w:r>
        <w:t xml:space="preserve"> </w:t>
      </w:r>
      <w:r>
        <w:t xml:space="preserve">“be”</w:t>
      </w:r>
      <w:r>
        <w:t xml:space="preserve"> </w:t>
      </w:r>
      <w:r>
        <w:t xml:space="preserve">form + past participle), hedge-word density, citation density (Pandoc-style</w:t>
      </w:r>
      <w:r>
        <w:t xml:space="preserve"> </w:t>
      </w:r>
      <w:r>
        <w:rPr>
          <w:rStyle w:val="VerbatimChar"/>
        </w:rPr>
        <w:t xml:space="preserve">[@key]</w:t>
      </w:r>
      <w:r>
        <w:t xml:space="preserve"> </w:t>
      </w:r>
      <w:r>
        <w:t xml:space="preserve">extraction), long-sentence flagging.</w:t>
      </w:r>
    </w:p>
    <w:p>
      <w:pPr>
        <w:pStyle w:val="FirstParagraph"/>
      </w:pPr>
      <w:r>
        <w:t xml:space="preserve">The results are aggregated into a</w:t>
      </w:r>
      <w:r>
        <w:t xml:space="preserve"> </w:t>
      </w:r>
      <w:r>
        <w:rPr>
          <w:rStyle w:val="VerbatimChar"/>
        </w:rPr>
        <w:t xml:space="preserve">ManuscriptReport</w:t>
      </w:r>
      <w:r>
        <w:t xml:space="preserve"> </w:t>
      </w:r>
      <w:r>
        <w:t xml:space="preserve">whose JSON form is small, greppable, and diff-friendly.</w:t>
      </w:r>
    </w:p>
    <w:bookmarkEnd w:id="17"/>
    <w:bookmarkStart w:id="18" w:name="cross-check"/>
    <w:p>
      <w:pPr>
        <w:pStyle w:val="Heading2"/>
      </w:pPr>
      <w:r>
        <w:t xml:space="preserve">Cross-check</w:t>
      </w:r>
    </w:p>
    <w:p>
      <w:pPr>
        <w:pStyle w:val="FirstParagraph"/>
      </w:pPr>
      <w:r>
        <w:t xml:space="preserve">Every cited key is matched against the BibTeX file at</w:t>
      </w:r>
      <w:r>
        <w:t xml:space="preserve"> </w:t>
      </w:r>
      <w:r>
        <w:rPr>
          <w:rStyle w:val="VerbatimChar"/>
        </w:rPr>
        <w:t xml:space="preserve">bibliography.references_path</w:t>
      </w:r>
      <w:r>
        <w:t xml:space="preserve">. The check has four tunable behaviours via</w:t>
      </w:r>
      <w:r>
        <w:t xml:space="preserve"> </w:t>
      </w:r>
      <w:r>
        <w:rPr>
          <w:rStyle w:val="VerbatimChar"/>
        </w:rPr>
        <w:t xml:space="preserve">config.yaml</w:t>
      </w:r>
      <w:r>
        <w:t xml:space="preserve">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Setting</w:t>
            </w:r>
          </w:p>
        </w:tc>
        <w:tc>
          <w:tcPr/>
          <w:p>
            <w:pPr>
              <w:pStyle w:val="Compact"/>
            </w:pPr>
            <w:r>
              <w:t xml:space="preserve">Effect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fail_on_missing: true</w:t>
            </w:r>
          </w:p>
        </w:tc>
        <w:tc>
          <w:tcPr/>
          <w:p>
            <w:pPr>
              <w:pStyle w:val="Compact"/>
            </w:pPr>
            <w:r>
              <w:t xml:space="preserve">Any cited</w:t>
            </w:r>
            <w:r>
              <w:t xml:space="preserve"> </w:t>
            </w:r>
            <w:r>
              <w:rPr>
                <w:rStyle w:val="VerbatimChar"/>
              </w:rPr>
              <w:t xml:space="preserve">[@key]</w:t>
            </w:r>
            <w:r>
              <w:t xml:space="preserve"> </w:t>
            </w:r>
            <w:r>
              <w:t xml:space="preserve">that does not exist in the bib fails the check.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fail_on_missing: false</w:t>
            </w:r>
          </w:p>
        </w:tc>
        <w:tc>
          <w:tcPr/>
          <w:p>
            <w:pPr>
              <w:pStyle w:val="Compact"/>
            </w:pPr>
            <w:r>
              <w:t xml:space="preserve">Missing citations are warned but do not fail the run.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fail_on_unused: true</w:t>
            </w:r>
          </w:p>
        </w:tc>
        <w:tc>
          <w:tcPr/>
          <w:p>
            <w:pPr>
              <w:pStyle w:val="Compact"/>
            </w:pPr>
            <w:r>
              <w:t xml:space="preserve">Bib entries that are never cited fail the check.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fail_on_unused: false</w:t>
            </w:r>
          </w:p>
        </w:tc>
        <w:tc>
          <w:tcPr/>
          <w:p>
            <w:pPr>
              <w:pStyle w:val="Compact"/>
            </w:pPr>
            <w:r>
              <w:t xml:space="preserve">Unused entries are warned but do not fail.</w:t>
            </w:r>
          </w:p>
        </w:tc>
      </w:tr>
    </w:tbl>
    <w:p>
      <w:pPr>
        <w:pStyle w:val="BodyText"/>
      </w:pPr>
      <w:r>
        <w:t xml:space="preserve">The check uses</w:t>
      </w:r>
      <w:r>
        <w:t xml:space="preserve"> </w:t>
      </w:r>
      <w:hyperlink r:id="rId14">
        <w:r>
          <w:rPr>
            <w:rStyle w:val="VerbatimChar"/>
          </w:rPr>
          <w:t xml:space="preserve">infrastructure.reference.citation.parse_bibfile</w:t>
        </w:r>
      </w:hyperlink>
      <w:r>
        <w:t xml:space="preserve"> </w:t>
      </w:r>
      <w:r>
        <w:t xml:space="preserve">so it sees exactly the same view of the bibliography that the rendering pipeline uses.</w:t>
      </w:r>
    </w:p>
    <w:bookmarkEnd w:id="18"/>
    <w:bookmarkStart w:id="19" w:name="evaluate"/>
    <w:p>
      <w:pPr>
        <w:pStyle w:val="Heading2"/>
      </w:pPr>
      <w:r>
        <w:t xml:space="preserve">Evaluate</w:t>
      </w:r>
    </w:p>
    <w:p>
      <w:pPr>
        <w:pStyle w:val="FirstParagraph"/>
      </w:pPr>
      <w:r>
        <w:t xml:space="preserve">The report runs through a set of pure check functions: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_check_grade_level</w:t>
      </w:r>
      <w:r>
        <w:t xml:space="preserve"> </w:t>
      </w:r>
      <w:r>
        <w:t xml:space="preserve">— the manuscript-wide weighted average FKGL falls within</w:t>
      </w:r>
      <w:r>
        <w:t xml:space="preserve"> </w:t>
      </w:r>
      <w:r>
        <w:rPr>
          <w:rStyle w:val="VerbatimChar"/>
        </w:rPr>
        <w:t xml:space="preserve">[target_grade_level_min, target_grade_level_max]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_check_citation_density</w:t>
      </w:r>
      <w:r>
        <w:t xml:space="preserve"> </w:t>
      </w:r>
      <w:r>
        <w:t xml:space="preserve">— citations per 1000 words ≥</w:t>
      </w:r>
      <w:r>
        <w:t xml:space="preserve"> </w:t>
      </w:r>
      <w:r>
        <w:rPr>
          <w:rStyle w:val="VerbatimChar"/>
        </w:rPr>
        <w:t xml:space="preserve">citation_density_min_per_1000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_check_no_skipped_levels</w:t>
      </w:r>
      <w:r>
        <w:t xml:space="preserve"> </w:t>
      </w:r>
      <w:r>
        <w:t xml:space="preserve">— no file uses a skipped heading level (when</w:t>
      </w:r>
      <w:r>
        <w:t xml:space="preserve"> </w:t>
      </w:r>
      <w:r>
        <w:rPr>
          <w:rStyle w:val="VerbatimChar"/>
        </w:rPr>
        <w:t xml:space="preserve">prose.forbid_skipped_levels: true</w:t>
      </w:r>
      <w:r>
        <w:t xml:space="preserve">).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_check_h1_per_file</w:t>
      </w:r>
      <w:r>
        <w:t xml:space="preserve"> </w:t>
      </w:r>
      <w:r>
        <w:t xml:space="preserve">— every file has an H1 (when</w:t>
      </w:r>
      <w:r>
        <w:t xml:space="preserve"> </w:t>
      </w:r>
      <w:r>
        <w:rPr>
          <w:rStyle w:val="VerbatimChar"/>
        </w:rPr>
        <w:t xml:space="preserve">prose.require_h1_per_section: true</w:t>
      </w:r>
      <w:r>
        <w:t xml:space="preserve">).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_check_bibliography</w:t>
      </w:r>
      <w:r>
        <w:t xml:space="preserve"> </w:t>
      </w:r>
      <w:r>
        <w:t xml:space="preserve">— citation/bib consistency per the</w:t>
      </w:r>
      <w:r>
        <w:t xml:space="preserve"> </w:t>
      </w:r>
      <w:r>
        <w:rPr>
          <w:rStyle w:val="VerbatimChar"/>
        </w:rPr>
        <w:t xml:space="preserve">bibliography:</w:t>
      </w:r>
      <w:r>
        <w:t xml:space="preserve"> </w:t>
      </w:r>
      <w:r>
        <w:t xml:space="preserve">policy block.</w:t>
      </w:r>
    </w:p>
    <w:p>
      <w:pPr>
        <w:pStyle w:val="FirstParagraph"/>
      </w:pPr>
      <w:r>
        <w:t xml:space="preserve">Each check produces a</w:t>
      </w:r>
      <w:r>
        <w:t xml:space="preserve"> </w:t>
      </w:r>
      <w:r>
        <w:rPr>
          <w:rStyle w:val="VerbatimChar"/>
        </w:rPr>
        <w:t xml:space="preserve">CheckResult(passed, message, details)</w:t>
      </w:r>
      <w:r>
        <w:t xml:space="preserve">; the run’s</w:t>
      </w:r>
      <w:r>
        <w:t xml:space="preserve"> </w:t>
      </w:r>
      <w:r>
        <w:rPr>
          <w:rStyle w:val="VerbatimChar"/>
        </w:rPr>
        <w:t xml:space="preserve">all_passed</w:t>
      </w:r>
      <w:r>
        <w:t xml:space="preserve"> </w:t>
      </w:r>
      <w:r>
        <w:t xml:space="preserve">flag is the conjunction.</w:t>
      </w:r>
    </w:p>
    <w:bookmarkEnd w:id="19"/>
    <w:bookmarkStart w:id="20" w:name="render"/>
    <w:p>
      <w:pPr>
        <w:pStyle w:val="Heading2"/>
      </w:pPr>
      <w:r>
        <w:t xml:space="preserve">Render</w:t>
      </w:r>
    </w:p>
    <w:p>
      <w:pPr>
        <w:pStyle w:val="FirstParagraph"/>
      </w:pPr>
      <w:r>
        <w:rPr>
          <w:rStyle w:val="VerbatimChar"/>
        </w:rPr>
        <w:t xml:space="preserve">src/report.py::write_review_report</w:t>
      </w:r>
      <w:r>
        <w:t xml:space="preserve"> </w:t>
      </w:r>
      <w:r>
        <w:t xml:space="preserve">writes a markdown file with:</w:t>
      </w:r>
    </w:p>
    <w:p>
      <w:pPr>
        <w:pStyle w:val="Compact"/>
        <w:numPr>
          <w:ilvl w:val="0"/>
          <w:numId w:val="1004"/>
        </w:numPr>
      </w:pPr>
      <w:r>
        <w:t xml:space="preserve">Top-line counts (files, words, sentences, paragraphs, averages).</w:t>
      </w:r>
    </w:p>
    <w:p>
      <w:pPr>
        <w:pStyle w:val="Compact"/>
        <w:numPr>
          <w:ilvl w:val="0"/>
          <w:numId w:val="1004"/>
        </w:numPr>
      </w:pPr>
      <w:r>
        <w:t xml:space="preserve">A pass/fail table for every check.</w:t>
      </w:r>
    </w:p>
    <w:p>
      <w:pPr>
        <w:pStyle w:val="Compact"/>
        <w:numPr>
          <w:ilvl w:val="0"/>
          <w:numId w:val="1004"/>
        </w:numPr>
      </w:pPr>
      <w:r>
        <w:t xml:space="preserve">Per-file metrics table (word count, sentence count, FRE, FKGL, Fog, citations, hedges, passives).</w:t>
      </w:r>
    </w:p>
    <w:p>
      <w:pPr>
        <w:pStyle w:val="Compact"/>
        <w:numPr>
          <w:ilvl w:val="0"/>
          <w:numId w:val="1004"/>
        </w:numPr>
      </w:pPr>
      <w:r>
        <w:t xml:space="preserve">Heading outline per file.</w:t>
      </w:r>
    </w:p>
    <w:p>
      <w:pPr>
        <w:pStyle w:val="Compact"/>
        <w:numPr>
          <w:ilvl w:val="0"/>
          <w:numId w:val="1004"/>
        </w:numPr>
      </w:pPr>
      <w:r>
        <w:t xml:space="preserve">Quality-flag callouts (long sentences, passive candidates, hedges) per file.</w:t>
      </w:r>
    </w:p>
    <w:p>
      <w:pPr>
        <w:pStyle w:val="FirstParagraph"/>
      </w:pPr>
      <w:r>
        <w:t xml:space="preserve">Three orchestrators run in lexicographic order (so the figure and variable</w:t>
      </w:r>
      <w:r>
        <w:t xml:space="preserve"> </w:t>
      </w:r>
      <w:r>
        <w:t xml:space="preserve">stages always see a fresh review):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scripts/run_prose_pipeline.py</w:t>
      </w:r>
      <w:r>
        <w:t xml:space="preserve"> </w:t>
      </w:r>
      <w:r>
        <w:t xml:space="preserve">writes</w:t>
      </w:r>
      <w:r>
        <w:t xml:space="preserve"> </w:t>
      </w:r>
      <w:r>
        <w:rPr>
          <w:rStyle w:val="VerbatimChar"/>
        </w:rPr>
        <w:t xml:space="preserve">output/manuscript_report.json</w:t>
      </w:r>
      <w:r>
        <w:t xml:space="preserve"> </w:t>
      </w:r>
      <w:r>
        <w:t xml:space="preserve">(the raw</w:t>
      </w:r>
      <w:r>
        <w:t xml:space="preserve"> </w:t>
      </w:r>
      <w:r>
        <w:rPr>
          <w:rStyle w:val="VerbatimChar"/>
        </w:rPr>
        <w:t xml:space="preserve">ManuscriptReport</w:t>
      </w:r>
      <w:r>
        <w:t xml:space="preserve">),</w:t>
      </w:r>
      <w:r>
        <w:t xml:space="preserve"> </w:t>
      </w:r>
      <w:r>
        <w:rPr>
          <w:rStyle w:val="VerbatimChar"/>
        </w:rPr>
        <w:t xml:space="preserve">output/checks.json</w:t>
      </w:r>
      <w:r>
        <w:t xml:space="preserve"> </w:t>
      </w:r>
      <w:r>
        <w:t xml:space="preserve">(the list of check</w:t>
      </w:r>
      <w:r>
        <w:t xml:space="preserve"> </w:t>
      </w:r>
      <w:r>
        <w:t xml:space="preserve">results),</w:t>
      </w:r>
      <w:r>
        <w:t xml:space="preserve"> </w:t>
      </w:r>
      <w:r>
        <w:rPr>
          <w:rStyle w:val="VerbatimChar"/>
        </w:rPr>
        <w:t xml:space="preserve">output/review_report.md</w:t>
      </w:r>
      <w:r>
        <w:t xml:space="preserve"> </w:t>
      </w:r>
      <w:r>
        <w:t xml:space="preserve">(the human-readable review report),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output/run_summary.json</w:t>
      </w:r>
      <w:r>
        <w:t xml:space="preserve"> </w:t>
      </w:r>
      <w:r>
        <w:t xml:space="preserve">(one-line metadata).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scripts/y_generate_prose_figures.py</w:t>
      </w:r>
      <w:r>
        <w:t xml:space="preserve"> </w:t>
      </w:r>
      <w:r>
        <w:t xml:space="preserve">reads</w:t>
      </w:r>
      <w:r>
        <w:t xml:space="preserve"> </w:t>
      </w:r>
      <w:r>
        <w:rPr>
          <w:rStyle w:val="VerbatimChar"/>
        </w:rPr>
        <w:t xml:space="preserve">manuscript_report.json</w:t>
      </w:r>
      <w:r>
        <w:t xml:space="preserve"> </w:t>
      </w:r>
      <w:r>
        <w:t xml:space="preserve">and writes</w:t>
      </w:r>
      <w:r>
        <w:t xml:space="preserve"> </w:t>
      </w:r>
      <w:r>
        <w:rPr>
          <w:rStyle w:val="VerbatimChar"/>
        </w:rPr>
        <w:t xml:space="preserve">../figures/{section_word_counts,readability_metrics,citation_density}.png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scripts/z_generate_manuscript_variables.py</w:t>
      </w:r>
      <w:r>
        <w:t xml:space="preserve"> </w:t>
      </w:r>
      <w:r>
        <w:t xml:space="preserve">reads</w:t>
      </w:r>
      <w:r>
        <w:t xml:space="preserve"> </w:t>
      </w:r>
      <w:r>
        <w:rPr>
          <w:rStyle w:val="VerbatimChar"/>
        </w:rPr>
        <w:t xml:space="preserve">manuscript_report.json</w:t>
      </w:r>
    </w:p>
    <w:p>
      <w:pPr>
        <w:pStyle w:val="Compact"/>
        <w:numPr>
          <w:ilvl w:val="1"/>
          <w:numId w:val="1006"/>
        </w:numPr>
      </w:pPr>
      <w:r>
        <w:rPr>
          <w:rStyle w:val="VerbatimChar"/>
        </w:rPr>
        <w:t xml:space="preserve">config.yaml</w:t>
      </w:r>
      <w:r>
        <w:t xml:space="preserve"> </w:t>
      </w:r>
      <w:r>
        <w:t xml:space="preserve">and writes</w:t>
      </w:r>
      <w:r>
        <w:t xml:space="preserve"> </w:t>
      </w:r>
      <w:r>
        <w:rPr>
          <w:rStyle w:val="VerbatimChar"/>
        </w:rPr>
        <w:t xml:space="preserve">output/data/manuscript_variables.json</w:t>
      </w:r>
      <w:r>
        <w:t xml:space="preserve"> </w:t>
      </w:r>
      <w:r>
        <w:t xml:space="preserve">along with a resolved manuscript tree under</w:t>
      </w:r>
      <w:r>
        <w:t xml:space="preserve"> </w:t>
      </w:r>
      <w:r>
        <w:rPr>
          <w:rStyle w:val="VerbatimChar"/>
        </w:rPr>
        <w:t xml:space="preserve">output/manuscript/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manuscript/references.bib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modified by this pipeline — the prose project does not generate citations, only validates them.</w:t>
      </w:r>
    </w:p>
    <w:bookmarkEnd w:id="20"/>
    <w:bookmarkEnd w:id="21"/>
    <w:bookmarkStart w:id="22" w:name="sec:results"/>
    <w:p>
      <w:pPr>
        <w:pStyle w:val="Heading1"/>
      </w:pPr>
      <w:r>
        <w:t xml:space="preserve">Results</w:t>
      </w:r>
    </w:p>
    <w:p>
      <w:pPr>
        <w:pStyle w:val="FirstParagraph"/>
      </w:pPr>
      <w:r>
        <w:t xml:space="preserve">After running</w:t>
      </w:r>
      <w:r>
        <w:t xml:space="preserve"> </w:t>
      </w:r>
      <w:r>
        <w:rPr>
          <w:rStyle w:val="VerbatimChar"/>
        </w:rPr>
        <w:t xml:space="preserve">scripts/run_prose_pipeline.py</w:t>
      </w:r>
      <w:r>
        <w:t xml:space="preserve"> </w:t>
      </w:r>
      <w:r>
        <w:t xml:space="preserve">with the bundled</w:t>
      </w:r>
      <w:r>
        <w:t xml:space="preserve"> </w:t>
      </w:r>
      <w:r>
        <w:rPr>
          <w:rStyle w:val="VerbatimChar"/>
        </w:rPr>
        <w:t xml:space="preserve">manuscript/config.yaml</w:t>
      </w:r>
      <w:r>
        <w:t xml:space="preserve"> </w:t>
      </w:r>
      <w:r>
        <w:t xml:space="preserve">and the manuscript described in this paper, the project produces the following on-disk artefacts: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output/manuscript_report.json</w:t>
      </w:r>
      <w:r>
        <w:t xml:space="preserve"> </w:t>
      </w:r>
      <w:r>
        <w:t xml:space="preserve">— the raw</w:t>
      </w:r>
      <w:r>
        <w:t xml:space="preserve"> </w:t>
      </w:r>
      <w:r>
        <w:rPr>
          <w:rStyle w:val="VerbatimChar"/>
        </w:rPr>
        <w:t xml:space="preserve">ManuscriptReport</w:t>
      </w:r>
      <w:r>
        <w:t xml:space="preserve"> </w:t>
      </w:r>
      <w:r>
        <w:t xml:space="preserve">JSON.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output/checks.json</w:t>
      </w:r>
      <w:r>
        <w:t xml:space="preserve"> </w:t>
      </w:r>
      <w:r>
        <w:t xml:space="preserve">— one</w:t>
      </w:r>
      <w:r>
        <w:t xml:space="preserve"> </w:t>
      </w:r>
      <w:r>
        <w:rPr>
          <w:rStyle w:val="VerbatimChar"/>
        </w:rPr>
        <w:t xml:space="preserve">CheckResult</w:t>
      </w:r>
      <w:r>
        <w:t xml:space="preserve"> </w:t>
      </w:r>
      <w:r>
        <w:t xml:space="preserve">per configured check.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output/review_report.md</w:t>
      </w:r>
      <w:r>
        <w:t xml:space="preserve"> </w:t>
      </w:r>
      <w:r>
        <w:t xml:space="preserve">— the assembled markdown review report.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../figures/section_word_counts.png</w:t>
      </w:r>
      <w:r>
        <w:t xml:space="preserve"> </w:t>
      </w:r>
      <w:r>
        <w:t xml:space="preserve">— per-file word counts.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../figures/readability_metrics.png</w:t>
      </w:r>
      <w:r>
        <w:t xml:space="preserve"> </w:t>
      </w:r>
      <w:r>
        <w:t xml:space="preserve">— Flesch / Flesch-Kincaid / Gunning Fog per file.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../figures/citation_density.png</w:t>
      </w:r>
      <w:r>
        <w:t xml:space="preserve"> </w:t>
      </w:r>
      <w:r>
        <w:t xml:space="preserve">— citations per 1000 words per file.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output/data/manuscript_variables.json</w:t>
      </w:r>
      <w:r>
        <w:t xml:space="preserve"> </w:t>
      </w:r>
      <w:r>
        <w:t xml:space="preserve">— substitution variables for the abstract.</w:t>
      </w:r>
    </w:p>
    <w:p>
      <w:pPr>
        <w:pStyle w:val="FirstParagraph"/>
      </w:pPr>
      <w:r>
        <w:t xml:space="preserve">Because the pipeline does not consult any external service, every artefact is reproducible from the manuscript text +</w:t>
      </w:r>
      <w:r>
        <w:t xml:space="preserve"> </w:t>
      </w:r>
      <w:r>
        <w:rPr>
          <w:rStyle w:val="VerbatimChar"/>
        </w:rPr>
        <w:t xml:space="preserve">config.yaml</w:t>
      </w:r>
      <w:r>
        <w:t xml:space="preserve"> </w:t>
      </w:r>
      <w:r>
        <w:t xml:space="preserve">alone. A second run on the same inputs produces byte-identical JSON (modulo timestamp metadata in any caches the project later adds).</w:t>
      </w:r>
    </w:p>
    <w:p>
      <w:pPr>
        <w:pStyle w:val="BodyText"/>
      </w:pPr>
      <w:r>
        <w:t xml:space="preserve">The pass/fail status of each configured check is recorded in</w:t>
      </w:r>
      <w:r>
        <w:t xml:space="preserve"> </w:t>
      </w:r>
      <w:r>
        <w:rPr>
          <w:rStyle w:val="VerbatimChar"/>
        </w:rPr>
        <w:t xml:space="preserve">output/checks.json</w:t>
      </w:r>
      <w:r>
        <w:t xml:space="preserve">. With the bundled configuration: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  <w:b/>
          <w:bCs/>
        </w:rPr>
        <w:t xml:space="preserve">grade_level_in_band</w:t>
      </w:r>
      <w:r>
        <w:t xml:space="preserve"> </w:t>
      </w:r>
      <w:r>
        <w:t xml:space="preserve">— the weighted average FKGL across this manuscript is reported in the</w:t>
      </w:r>
      <w:r>
        <w:t xml:space="preserve"> </w:t>
      </w:r>
      <w:r>
        <w:rPr>
          <w:rStyle w:val="VerbatimChar"/>
        </w:rPr>
        <w:t xml:space="preserve">output/checks.json</w:t>
      </w:r>
      <w:r>
        <w:t xml:space="preserve"> </w:t>
      </w:r>
      <w:r>
        <w:rPr>
          <w:rStyle w:val="VerbatimChar"/>
        </w:rPr>
        <w:t xml:space="preserve">details.value</w:t>
      </w:r>
      <w:r>
        <w:t xml:space="preserve"> </w:t>
      </w:r>
      <w:r>
        <w:t xml:space="preserve">field. The default band</w:t>
      </w:r>
      <w:r>
        <w:t xml:space="preserve"> </w:t>
      </w:r>
      <w:r>
        <w:rPr>
          <w:rStyle w:val="VerbatimChar"/>
        </w:rPr>
        <w:t xml:space="preserve">10.0–18.0</w:t>
      </w:r>
      <w:r>
        <w:t xml:space="preserve"> </w:t>
      </w:r>
      <w:r>
        <w:t xml:space="preserve">is intentionally generous; tighten it for editorial review of public-facing material.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  <w:b/>
          <w:bCs/>
        </w:rPr>
        <w:t xml:space="preserve">citation_density_above_floor</w:t>
      </w:r>
      <w:r>
        <w:t xml:space="preserve"> </w:t>
      </w:r>
      <w:r>
        <w:t xml:space="preserve">— citations per 1000 words must meet</w:t>
      </w:r>
      <w:r>
        <w:t xml:space="preserve"> </w:t>
      </w:r>
      <w:r>
        <w:rPr>
          <w:rStyle w:val="VerbatimChar"/>
        </w:rPr>
        <w:t xml:space="preserve">prose.citation_density_min_per_1000</w:t>
      </w:r>
      <w:r>
        <w:t xml:space="preserve">. The bundled config sets the floor to</w:t>
      </w:r>
      <w:r>
        <w:t xml:space="preserve"> </w:t>
      </w:r>
      <w:r>
        <w:rPr>
          <w:rStyle w:val="VerbatimChar"/>
        </w:rPr>
        <w:t xml:space="preserve">0.0</w:t>
      </w:r>
      <w:r>
        <w:t xml:space="preserve"> </w:t>
      </w:r>
      <w:r>
        <w:t xml:space="preserve">(disabled) so the run is green out of the box; researchers should raise it to match the publication target.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  <w:b/>
          <w:bCs/>
        </w:rPr>
        <w:t xml:space="preserve">no_skipped_heading_levels</w:t>
      </w:r>
      <w:r>
        <w:t xml:space="preserve"> </w:t>
      </w:r>
      <w:r>
        <w:t xml:space="preserve">— every file in this manuscript uses contiguous heading levels.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  <w:b/>
          <w:bCs/>
        </w:rPr>
        <w:t xml:space="preserve">every_file_has_h1</w:t>
      </w:r>
      <w:r>
        <w:t xml:space="preserve"> </w:t>
      </w:r>
      <w:r>
        <w:t xml:space="preserve">— every prose file starts with an H1.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  <w:b/>
          <w:bCs/>
        </w:rPr>
        <w:t xml:space="preserve">bibliography_consistency</w:t>
      </w:r>
      <w:r>
        <w:t xml:space="preserve"> </w:t>
      </w:r>
      <w:r>
        <w:t xml:space="preserve">— every</w:t>
      </w:r>
      <w:r>
        <w:t xml:space="preserve"> </w:t>
      </w:r>
      <w:r>
        <w:rPr>
          <w:rStyle w:val="VerbatimChar"/>
        </w:rPr>
        <w:t xml:space="preserve">[@key]</w:t>
      </w:r>
      <w:r>
        <w:t xml:space="preserve"> </w:t>
      </w:r>
      <w:r>
        <w:t xml:space="preserve">in the prose resolves against</w:t>
      </w:r>
      <w:r>
        <w:t xml:space="preserve"> </w:t>
      </w:r>
      <w:r>
        <w:rPr>
          <w:rStyle w:val="VerbatimChar"/>
        </w:rPr>
        <w:t xml:space="preserve">manuscript/references.bib</w:t>
      </w:r>
      <w:r>
        <w:t xml:space="preserve">.</w:t>
      </w:r>
    </w:p>
    <w:p>
      <w:pPr>
        <w:pStyle w:val="FirstParagraph"/>
      </w:pPr>
      <w:r>
        <w:t xml:space="preserve">The figures in</w:t>
      </w:r>
      <w:r>
        <w:t xml:space="preserve"> </w:t>
      </w:r>
      <w:r>
        <w:rPr>
          <w:rStyle w:val="VerbatimChar"/>
        </w:rPr>
        <w:t xml:space="preserve">../figures/</w:t>
      </w:r>
      <w:r>
        <w:t xml:space="preserve"> </w:t>
      </w:r>
      <w:r>
        <w:t xml:space="preserve">are colour-blind-safe (Wong 2011 palette)</w:t>
      </w:r>
      <w:r>
        <w:t xml:space="preserve"> </w:t>
      </w:r>
      <w:r>
        <w:t xml:space="preserve">(Wong 2011)</w:t>
      </w:r>
      <w:r>
        <w:t xml:space="preserve">, 300 dpi, and PNG-only for archival stability. They are referenced in</w:t>
      </w:r>
      <w:r>
        <w:t xml:space="preserve"> </w:t>
      </w:r>
      <w:r>
        <w:t xml:space="preserve">(</w:t>
      </w:r>
      <w:r>
        <w:rPr>
          <w:b/>
          <w:bCs/>
        </w:rPr>
        <w:t xml:space="preserve">sec:pipeline_internals?</w:t>
      </w:r>
      <w:r>
        <w:t xml:space="preserve">)</w:t>
      </w:r>
      <w:r>
        <w:t xml:space="preserve"> </w:t>
      </w:r>
      <w:r>
        <w:t xml:space="preserve">where we walk through the on-disk artefact set in full.</w:t>
      </w:r>
    </w:p>
    <w:p>
      <w:pPr>
        <w:pStyle w:val="BodyText"/>
      </w:pPr>
      <w:r>
        <w:t xml:space="preserve">The full pass/fail summary lands in</w:t>
      </w:r>
      <w:r>
        <w:t xml:space="preserve"> </w:t>
      </w:r>
      <w:r>
        <w:rPr>
          <w:rStyle w:val="VerbatimChar"/>
        </w:rPr>
        <w:t xml:space="preserve">output/review_report.md</w:t>
      </w:r>
      <w:r>
        <w:t xml:space="preserve">, which is itself a Markdown file rendered alongside the manuscript by Pandoc — i.e. the project reports on itself in the same compilation step that produces the manuscript PDF.</w:t>
      </w:r>
    </w:p>
    <w:bookmarkEnd w:id="22"/>
    <w:bookmarkStart w:id="23" w:name="sec:conclusion"/>
    <w:p>
      <w:pPr>
        <w:pStyle w:val="Heading1"/>
      </w:pPr>
      <w:r>
        <w:t xml:space="preserve">Conclusion</w:t>
      </w:r>
    </w:p>
    <w:p>
      <w:pPr>
        <w:pStyle w:val="FirstParagraph"/>
      </w:pPr>
      <w:r>
        <w:rPr>
          <w:rStyle w:val="VerbatimChar"/>
        </w:rPr>
        <w:t xml:space="preserve">template_prose_project</w:t>
      </w:r>
      <w:r>
        <w:t xml:space="preserve"> </w:t>
      </w:r>
      <w:r>
        <w:t xml:space="preserve">packages a complete, configurable, reproducible editorial-review workflow into the Research Project Template’s two-layer architecture. By keeping prose analysis, structural validation, and bibliography cross-checking in two orthogonal infrastructure modules —</w:t>
      </w:r>
      <w:r>
        <w:t xml:space="preserve"> </w:t>
      </w:r>
      <w:r>
        <w:rPr>
          <w:rStyle w:val="VerbatimChar"/>
        </w:rPr>
        <w:t xml:space="preserve">infrastructure/prose/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infrastructure/reference/</w:t>
      </w:r>
      <w:r>
        <w:t xml:space="preserve"> </w:t>
      </w:r>
      <w:r>
        <w:t xml:space="preserve">— the project demonstrates that</w:t>
      </w:r>
      <w:r>
        <w:t xml:space="preserve"> </w:t>
      </w:r>
      <w:r>
        <w:rPr>
          <w:i/>
          <w:iCs/>
        </w:rPr>
        <w:t xml:space="preserve">editorial discipline</w:t>
      </w:r>
      <w:r>
        <w:t xml:space="preserve"> </w:t>
      </w:r>
      <w:r>
        <w:t xml:space="preserve">is expressible as a configurable, deterministic pipeline.</w:t>
      </w:r>
    </w:p>
    <w:p>
      <w:pPr>
        <w:pStyle w:val="BodyText"/>
      </w:pPr>
      <w:r>
        <w:t xml:space="preserve">This exemplar follows a single house style: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manuscript/config.yaml</w:t>
      </w:r>
      <w:r>
        <w:t xml:space="preserve"> </w:t>
      </w:r>
      <w:r>
        <w:t xml:space="preserve">is the only place run policy lives.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src/pipeline/</w:t>
      </w:r>
      <w:r>
        <w:t xml:space="preserve"> </w:t>
      </w:r>
      <w:r>
        <w:t xml:space="preserve">is the only place the project touches</w:t>
      </w:r>
      <w:r>
        <w:t xml:space="preserve"> </w:t>
      </w:r>
      <w:r>
        <w:rPr>
          <w:rStyle w:val="VerbatimChar"/>
        </w:rPr>
        <w:t xml:space="preserve">infrastructure/</w:t>
      </w:r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Scripts in</w:t>
      </w:r>
      <w:r>
        <w:t xml:space="preserve"> </w:t>
      </w:r>
      <w:r>
        <w:rPr>
          <w:rStyle w:val="VerbatimChar"/>
        </w:rPr>
        <w:t xml:space="preserve">scripts/</w:t>
      </w:r>
      <w:r>
        <w:t xml:space="preserve"> </w:t>
      </w:r>
      <w:r>
        <w:t xml:space="preserve">do only filesystem I/O and CLI argument handling.</w:t>
      </w:r>
    </w:p>
    <w:p>
      <w:pPr>
        <w:pStyle w:val="Compact"/>
        <w:numPr>
          <w:ilvl w:val="0"/>
          <w:numId w:val="1009"/>
        </w:numPr>
      </w:pPr>
      <w:r>
        <w:t xml:space="preserve">Every artefact in</w:t>
      </w:r>
      <w:r>
        <w:t xml:space="preserve"> </w:t>
      </w:r>
      <w:r>
        <w:rPr>
          <w:rStyle w:val="VerbatimChar"/>
        </w:rPr>
        <w:t xml:space="preserve">output/</w:t>
      </w:r>
      <w:r>
        <w:t xml:space="preserve"> </w:t>
      </w:r>
      <w:r>
        <w:t xml:space="preserve">is regeneratable;</w:t>
      </w:r>
      <w:r>
        <w:t xml:space="preserve"> </w:t>
      </w:r>
      <w:r>
        <w:rPr>
          <w:rStyle w:val="VerbatimChar"/>
        </w:rPr>
        <w:t xml:space="preserve">manuscript/references.bib</w:t>
      </w:r>
      <w:r>
        <w:t xml:space="preserve"> </w:t>
      </w:r>
      <w:r>
        <w:t xml:space="preserve">is curated and validated read-only by this project.</w:t>
      </w:r>
    </w:p>
    <w:p>
      <w:pPr>
        <w:pStyle w:val="FirstParagraph"/>
      </w:pPr>
      <w:r>
        <w:t xml:space="preserve">The contribution of this exemplar is architectural: a</w:t>
      </w:r>
      <w:r>
        <w:t xml:space="preserve"> </w:t>
      </w:r>
      <w:r>
        <w:rPr>
          <w:i/>
          <w:iCs/>
        </w:rPr>
        <w:t xml:space="preserve">generic, reusable</w:t>
      </w:r>
      <w:r>
        <w:t xml:space="preserve"> </w:t>
      </w:r>
      <w:r>
        <w:t xml:space="preserve">prose-quality module that any project in the template can opt into, and a</w:t>
      </w:r>
      <w:r>
        <w:t xml:space="preserve"> </w:t>
      </w:r>
      <w:r>
        <w:rPr>
          <w:i/>
          <w:iCs/>
        </w:rPr>
        <w:t xml:space="preserve">minimal, configurable</w:t>
      </w:r>
      <w:r>
        <w:t xml:space="preserve"> </w:t>
      </w:r>
      <w:r>
        <w:t xml:space="preserve">exemplar wiring it to the bibliography and the manuscript pipeline.</w:t>
      </w:r>
    </w:p>
    <w:p>
      <w:pPr>
        <w:pStyle w:val="BodyText"/>
      </w:pPr>
      <w:r>
        <w:t xml:space="preserve">Three concrete extensions follow naturally: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Style-guide enforcement</w:t>
      </w:r>
      <w:r>
        <w:t xml:space="preserve"> </w:t>
      </w:r>
      <w:r>
        <w:t xml:space="preserve">— extend</w:t>
      </w:r>
      <w:r>
        <w:t xml:space="preserve"> </w:t>
      </w:r>
      <w:r>
        <w:rPr>
          <w:rStyle w:val="VerbatimChar"/>
        </w:rPr>
        <w:t xml:space="preserve">analyze_quality</w:t>
      </w:r>
      <w:r>
        <w:t xml:space="preserve"> </w:t>
      </w:r>
      <w:r>
        <w:t xml:space="preserve">with project-specific style rules (e.g. forbidden phrases, required terminology) read from</w:t>
      </w:r>
      <w:r>
        <w:t xml:space="preserve"> </w:t>
      </w:r>
      <w:r>
        <w:rPr>
          <w:rStyle w:val="VerbatimChar"/>
        </w:rPr>
        <w:t xml:space="preserve">config.yaml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Diff-aware review</w:t>
      </w:r>
      <w:r>
        <w:t xml:space="preserve"> </w:t>
      </w:r>
      <w:r>
        <w:t xml:space="preserve">— restrict the report to files modified since a given git ref so editorial review can run on every PR.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LLM-assisted rewriting</w:t>
      </w:r>
      <w:r>
        <w:t xml:space="preserve"> </w:t>
      </w:r>
      <w:r>
        <w:t xml:space="preserve">— pipe long sentences and passive candidates into</w:t>
      </w:r>
      <w:r>
        <w:t xml:space="preserve"> </w:t>
      </w:r>
      <w:r>
        <w:rPr>
          <w:rStyle w:val="VerbatimChar"/>
        </w:rPr>
        <w:t xml:space="preserve">infrastructure.llm</w:t>
      </w:r>
      <w:r>
        <w:t xml:space="preserve"> </w:t>
      </w:r>
      <w:r>
        <w:t xml:space="preserve">for suggested rewrites, using the same</w:t>
      </w:r>
      <w:r>
        <w:t xml:space="preserve"> </w:t>
      </w:r>
      <w:r>
        <w:rPr>
          <w:rStyle w:val="VerbatimChar"/>
        </w:rPr>
        <w:t xml:space="preserve">seed=42, temperature=0.0</w:t>
      </w:r>
      <w:r>
        <w:t xml:space="preserve"> </w:t>
      </w:r>
      <w:r>
        <w:t xml:space="preserve">reproducibility contract as optional LLM stages in the template pipeline.</w:t>
      </w:r>
    </w:p>
    <w:bookmarkEnd w:id="23"/>
    <w:bookmarkStart w:id="25" w:name="sec:pipeline_internals"/>
    <w:p>
      <w:pPr>
        <w:pStyle w:val="Heading1"/>
      </w:pPr>
      <w:r>
        <w:t xml:space="preserve">Pipeline Internals</w:t>
      </w:r>
    </w:p>
    <w:p>
      <w:pPr>
        <w:pStyle w:val="FirstParagraph"/>
      </w:pPr>
      <w:r>
        <w:t xml:space="preserve">This section documents the artefacts produced by the prose-review run.</w:t>
      </w:r>
    </w:p>
    <w:bookmarkStart w:id="24" w:name="data-structures"/>
    <w:p>
      <w:pPr>
        <w:pStyle w:val="Heading2"/>
      </w:pPr>
      <w:r>
        <w:t xml:space="preserve">Data structures</w:t>
      </w:r>
    </w:p>
    <w:bookmarkEnd w:id="24"/>
    <w:bookmarkEnd w:id="25"/>
    <w:bookmarkStart w:id="28" w:name="sec:reproducibility"/>
    <w:p>
      <w:pPr>
        <w:pStyle w:val="Heading1"/>
      </w:pPr>
      <w:r>
        <w:t xml:space="preserve">Reproducibility</w:t>
      </w:r>
    </w:p>
    <w:p>
      <w:pPr>
        <w:pStyle w:val="FirstParagraph"/>
      </w:pPr>
      <w:r>
        <w:t xml:space="preserve">The bundled</w:t>
      </w:r>
      <w:r>
        <w:t xml:space="preserve"> </w:t>
      </w:r>
      <w:r>
        <w:rPr>
          <w:rStyle w:val="VerbatimChar"/>
        </w:rPr>
        <w:t xml:space="preserve">manuscript/config.yaml</w:t>
      </w:r>
      <w:r>
        <w:t xml:space="preserve"> </w:t>
      </w:r>
      <w:r>
        <w:t xml:space="preserve">is configured for the</w:t>
      </w:r>
      <w:r>
        <w:t xml:space="preserve"> </w:t>
      </w:r>
      <w:r>
        <w:rPr>
          <w:b/>
          <w:bCs/>
        </w:rPr>
        <w:t xml:space="preserve">strict reproducibility</w:t>
      </w:r>
      <w:r>
        <w:t xml:space="preserve"> </w:t>
      </w:r>
      <w:r>
        <w:t xml:space="preserve">discipline advocated for computational science by</w:t>
      </w:r>
      <w:r>
        <w:t xml:space="preserve"> </w:t>
      </w:r>
      <w:r>
        <w:t xml:space="preserve">(Peng 2011)</w:t>
      </w:r>
      <w:r>
        <w:t xml:space="preserve">: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No network calls.</w:t>
      </w:r>
      <w:r>
        <w:t xml:space="preserve"> </w:t>
      </w:r>
      <w:r>
        <w:t xml:space="preserve">All analysis is local: prose metrics, structure, quality flags, and bibliography validation are computed from in-repo files only.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Deterministic outputs.</w:t>
      </w:r>
      <w:r>
        <w:t xml:space="preserve"> </w:t>
      </w:r>
      <w:r>
        <w:rPr>
          <w:rStyle w:val="VerbatimChar"/>
        </w:rPr>
        <w:t xml:space="preserve">compute_metrics</w:t>
      </w:r>
      <w:r>
        <w:t xml:space="preserve">,</w:t>
      </w:r>
      <w:r>
        <w:t xml:space="preserve"> </w:t>
      </w:r>
      <w:r>
        <w:rPr>
          <w:rStyle w:val="VerbatimChar"/>
        </w:rPr>
        <w:t xml:space="preserve">analyze_structure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analyze_quality</w:t>
      </w:r>
      <w:r>
        <w:t xml:space="preserve"> </w:t>
      </w:r>
      <w:r>
        <w:t xml:space="preserve">are pure functions over their input strings. The same manuscript text + the same</w:t>
      </w:r>
      <w:r>
        <w:t xml:space="preserve"> </w:t>
      </w:r>
      <w:r>
        <w:rPr>
          <w:rStyle w:val="VerbatimChar"/>
        </w:rPr>
        <w:t xml:space="preserve">config.yaml</w:t>
      </w:r>
      <w:r>
        <w:t xml:space="preserve"> </w:t>
      </w:r>
      <w:r>
        <w:t xml:space="preserve">produces byte-identical JSON artefacts (modulo timestamp metadata in any caches the project later adds).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Threshold transparency.</w:t>
      </w:r>
      <w:r>
        <w:t xml:space="preserve"> </w:t>
      </w:r>
      <w:r>
        <w:t xml:space="preserve">Every pass/fail decision is recorded in</w:t>
      </w:r>
      <w:r>
        <w:t xml:space="preserve"> </w:t>
      </w:r>
      <w:r>
        <w:rPr>
          <w:rStyle w:val="VerbatimChar"/>
        </w:rPr>
        <w:t xml:space="preserve">output/checks.json</w:t>
      </w:r>
      <w:r>
        <w:t xml:space="preserve"> </w:t>
      </w:r>
      <w:r>
        <w:t xml:space="preserve">along with the numeric value that triggered it, so a reviewer can audit the gate without re-running the pipeline.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No hidden state.</w:t>
      </w:r>
      <w:r>
        <w:t xml:space="preserve"> </w:t>
      </w:r>
      <w:r>
        <w:t xml:space="preserve">The pipeline does not mutate</w:t>
      </w:r>
      <w:r>
        <w:t xml:space="preserve"> </w:t>
      </w:r>
      <w:r>
        <w:rPr>
          <w:rStyle w:val="VerbatimChar"/>
        </w:rPr>
        <w:t xml:space="preserve">manuscript/</w:t>
      </w:r>
      <w:r>
        <w:t xml:space="preserve">; it reads and reports.</w:t>
      </w:r>
      <w:r>
        <w:t xml:space="preserve"> </w:t>
      </w:r>
      <w:r>
        <w:rPr>
          <w:rStyle w:val="VerbatimChar"/>
        </w:rPr>
        <w:t xml:space="preserve">manuscript/references.bib</w:t>
      </w:r>
      <w:r>
        <w:t xml:space="preserve"> </w:t>
      </w:r>
      <w:r>
        <w:t xml:space="preserve">is read-only here (in contrast with the optional search add-on, where it is auto-populated).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Same code, different config.</w:t>
      </w:r>
      <w:r>
        <w:t xml:space="preserve"> </w:t>
      </w:r>
      <w:r>
        <w:t xml:space="preserve">A reviewer who wants stricter standards edits</w:t>
      </w:r>
      <w:r>
        <w:t xml:space="preserve"> </w:t>
      </w:r>
      <w:r>
        <w:rPr>
          <w:rStyle w:val="VerbatimChar"/>
        </w:rPr>
        <w:t xml:space="preserve">manuscript/config.yaml</w:t>
      </w:r>
      <w:r>
        <w:t xml:space="preserve"> </w:t>
      </w:r>
      <w:r>
        <w:t xml:space="preserve">(</w:t>
      </w:r>
      <w:r>
        <w:rPr>
          <w:rStyle w:val="VerbatimChar"/>
        </w:rPr>
        <w:t xml:space="preserve">prose.target_grade_level_max: 14.0</w:t>
      </w:r>
      <w:r>
        <w:t xml:space="preserve">, say); no code changes are required.</w:t>
      </w:r>
    </w:p>
    <w:bookmarkStart w:id="26" w:name="verifying-reproducibility-locally"/>
    <w:p>
      <w:pPr>
        <w:pStyle w:val="Heading2"/>
      </w:pPr>
      <w:r>
        <w:t xml:space="preserve">Verifying reproducibility locally</w:t>
      </w:r>
    </w:p>
    <w:p>
      <w:pPr>
        <w:pStyle w:val="SourceCode"/>
      </w:pPr>
      <w:r>
        <w:rPr>
          <w:rStyle w:val="CommentTok"/>
        </w:rPr>
        <w:t xml:space="preserve"># Run twice; check there are no diffs in the JSON artefacts.</w:t>
      </w:r>
      <w:r>
        <w:br/>
      </w:r>
      <w:r>
        <w:rPr>
          <w:rStyle w:val="ExtensionTok"/>
        </w:rPr>
        <w:t xml:space="preserve">uv</w:t>
      </w:r>
      <w:r>
        <w:rPr>
          <w:rStyle w:val="NormalTok"/>
        </w:rPr>
        <w:t xml:space="preserve"> run python projects/template_prose_project/scripts/run_prose_pipeline.py</w:t>
      </w:r>
      <w:r>
        <w:br/>
      </w:r>
      <w:r>
        <w:rPr>
          <w:rStyle w:val="FunctionTok"/>
        </w:rPr>
        <w:t xml:space="preserve">mv</w:t>
      </w:r>
      <w:r>
        <w:rPr>
          <w:rStyle w:val="NormalTok"/>
        </w:rPr>
        <w:t xml:space="preserve"> projects/template_prose_project/output projects/template_prose_project/output_first</w:t>
      </w:r>
      <w:r>
        <w:br/>
      </w:r>
      <w:r>
        <w:rPr>
          <w:rStyle w:val="ExtensionTok"/>
        </w:rPr>
        <w:t xml:space="preserve">uv</w:t>
      </w:r>
      <w:r>
        <w:rPr>
          <w:rStyle w:val="NormalTok"/>
        </w:rPr>
        <w:t xml:space="preserve"> run python projects/template_prose_project/scripts/run_prose_pipeline.py</w:t>
      </w:r>
      <w:r>
        <w:br/>
      </w:r>
      <w:r>
        <w:rPr>
          <w:rStyle w:val="FunctionTok"/>
        </w:rPr>
        <w:t xml:space="preserve">diff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-ru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projects/template_prose_project/output_first/manuscript_report.json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projects/template_prose_project/output/manuscript_report.json</w:t>
      </w:r>
    </w:p>
    <w:p>
      <w:pPr>
        <w:pStyle w:val="FirstParagraph"/>
      </w:pPr>
      <w:r>
        <w:t xml:space="preserve">The diff should be empty. If it is not, the pipeline has acquired non-determinism — file an issue.</w:t>
      </w:r>
    </w:p>
    <w:bookmarkEnd w:id="26"/>
    <w:bookmarkStart w:id="27" w:name="determinism-guarantees"/>
    <w:p>
      <w:pPr>
        <w:pStyle w:val="Heading2"/>
      </w:pPr>
      <w:r>
        <w:t xml:space="preserve">Determinism guarantees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Stage</w:t>
            </w:r>
          </w:p>
        </w:tc>
        <w:tc>
          <w:tcPr/>
          <w:p>
            <w:pPr>
              <w:pStyle w:val="Compact"/>
            </w:pPr>
            <w:r>
              <w:t xml:space="preserve">Deterministic?</w:t>
            </w:r>
          </w:p>
        </w:tc>
        <w:tc>
          <w:tcPr/>
          <w:p>
            <w:pPr>
              <w:pStyle w:val="Compact"/>
            </w:pPr>
            <w:r>
              <w:t xml:space="preserve">Mechanism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Prose analysis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pure functions over text</w:t>
            </w:r>
          </w:p>
        </w:tc>
      </w:tr>
      <w:tr>
        <w:tc>
          <w:tcPr/>
          <w:p>
            <w:pPr>
              <w:pStyle w:val="Compact"/>
            </w:pPr>
            <w:r>
              <w:t xml:space="preserve">Bibliography parse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byte-stable round-trip in</w:t>
            </w:r>
            <w:r>
              <w:t xml:space="preserve"> </w:t>
            </w:r>
            <w:r>
              <w:rPr>
                <w:rStyle w:val="VerbatimChar"/>
              </w:rPr>
              <w:t xml:space="preserve">infrastructure.reference.citation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Check evaluation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pure comparisons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Markdown report assembly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sorted file list, fixed output template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Figure generation</w:t>
            </w:r>
          </w:p>
        </w:tc>
        <w:tc>
          <w:tcPr/>
          <w:p>
            <w:pPr>
              <w:pStyle w:val="Compact"/>
            </w:pPr>
            <w:r>
              <w:t xml:space="preserve">yes (within Matplotlib version)</w:t>
            </w:r>
          </w:p>
        </w:tc>
        <w:tc>
          <w:tcPr/>
          <w:p>
            <w:pPr>
              <w:pStyle w:val="Compact"/>
            </w:pPr>
            <w:r>
              <w:t xml:space="preserve">fixed palette, no random subsampling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Manuscript variables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derived from the deterministic JSON report</w:t>
            </w:r>
          </w:p>
        </w:tc>
      </w:tr>
    </w:tbl>
    <w:bookmarkEnd w:id="27"/>
    <w:bookmarkEnd w:id="28"/>
    <w:bookmarkStart w:id="41" w:name="sec:references"/>
    <w:p>
      <w:pPr>
        <w:pStyle w:val="Heading1"/>
      </w:pPr>
      <w:r>
        <w:t xml:space="preserve">References</w:t>
      </w:r>
    </w:p>
    <w:p>
      <w:pPr>
        <w:pStyle w:val="FirstParagraph"/>
      </w:pPr>
      <w:r>
        <w:t xml:space="preserve">Bibliography lives in</w:t>
      </w:r>
      <w:r>
        <w:t xml:space="preserve"> </w:t>
      </w:r>
      <w:hyperlink r:id="rId29">
        <w:r>
          <w:rPr>
            <w:rStyle w:val="VerbatimChar"/>
          </w:rPr>
          <w:t xml:space="preserve">manuscript/references.bib</w:t>
        </w:r>
      </w:hyperlink>
      <w:r>
        <w:t xml:space="preserve"> </w:t>
      </w:r>
      <w:r>
        <w:t xml:space="preserve">and is read by Pandoc during PDF render. The build pipeline invokes Pandoc with</w:t>
      </w:r>
      <w:r>
        <w:t xml:space="preserve"> </w:t>
      </w:r>
      <w:r>
        <w:rPr>
          <w:rStyle w:val="VerbatimChar"/>
        </w:rPr>
        <w:t xml:space="preserve">--natbib</w:t>
      </w:r>
      <w:r>
        <w:t xml:space="preserve">, so every</w:t>
      </w:r>
      <w:r>
        <w:t xml:space="preserve"> </w:t>
      </w:r>
      <w:r>
        <w:rPr>
          <w:rStyle w:val="VerbatimChar"/>
        </w:rPr>
        <w:t xml:space="preserve">[@key]</w:t>
      </w:r>
      <w:r>
        <w:t xml:space="preserve"> </w:t>
      </w:r>
      <w:r>
        <w:t xml:space="preserve">citation in the manuscript is rewritten to the appropriate</w:t>
      </w:r>
      <w:r>
        <w:t xml:space="preserve"> </w:t>
      </w:r>
      <w:r>
        <w:rPr>
          <w:rStyle w:val="VerbatimChar"/>
        </w:rPr>
        <w:t xml:space="preserve">\cite{}</w:t>
      </w:r>
      <w:r>
        <w:t xml:space="preserve">/</w:t>
      </w:r>
      <w:r>
        <w:rPr>
          <w:rStyle w:val="VerbatimChar"/>
        </w:rPr>
        <w:t xml:space="preserve">\citep{}</w:t>
      </w:r>
      <w:r>
        <w:t xml:space="preserve">/</w:t>
      </w:r>
      <w:r>
        <w:rPr>
          <w:rStyle w:val="VerbatimChar"/>
        </w:rPr>
        <w:t xml:space="preserve">\citet{}</w:t>
      </w:r>
      <w:r>
        <w:t xml:space="preserve"> </w:t>
      </w:r>
      <w:r>
        <w:t xml:space="preserve">LaTeX command and resolved against the bib file.</w:t>
      </w:r>
    </w:p>
    <w:p>
      <w:pPr>
        <w:pStyle w:val="BodyText"/>
      </w:pPr>
      <w:r>
        <w:t xml:space="preserve">This project does not auto-generate the bibliography — it</w:t>
      </w:r>
      <w:r>
        <w:t xml:space="preserve"> </w:t>
      </w:r>
      <w:r>
        <w:rPr>
          <w:b/>
          <w:bCs/>
        </w:rPr>
        <w:t xml:space="preserve">validates</w:t>
      </w:r>
      <w:r>
        <w:t xml:space="preserve"> </w:t>
      </w:r>
      <w:r>
        <w:t xml:space="preserve">that every</w:t>
      </w:r>
      <w:r>
        <w:t xml:space="preserve"> </w:t>
      </w:r>
      <w:r>
        <w:rPr>
          <w:rStyle w:val="VerbatimChar"/>
        </w:rPr>
        <w:t xml:space="preserve">[@key]</w:t>
      </w:r>
      <w:r>
        <w:t xml:space="preserve"> </w:t>
      </w:r>
      <w:r>
        <w:t xml:space="preserve">cited in the prose has a matching entry, via</w:t>
      </w:r>
      <w:r>
        <w:t xml:space="preserve"> </w:t>
      </w:r>
      <w:hyperlink r:id="rId14">
        <w:r>
          <w:rPr>
            <w:rStyle w:val="VerbatimChar"/>
          </w:rPr>
          <w:t xml:space="preserve">infrastructure.reference.citation.parse_bibfile</w:t>
        </w:r>
      </w:hyperlink>
      <w:r>
        <w:t xml:space="preserve">. The check policy is configured under</w:t>
      </w:r>
      <w:r>
        <w:t xml:space="preserve"> </w:t>
      </w:r>
      <w:r>
        <w:rPr>
          <w:rStyle w:val="VerbatimChar"/>
        </w:rPr>
        <w:t xml:space="preserve">bibliography:</w:t>
      </w:r>
      <w:r>
        <w:t xml:space="preserve"> </w:t>
      </w:r>
      <w:r>
        <w:t xml:space="preserve">in</w:t>
      </w:r>
      <w:r>
        <w:t xml:space="preserve"> </w:t>
      </w:r>
      <w:hyperlink r:id="rId30">
        <w:r>
          <w:rPr>
            <w:rStyle w:val="VerbatimChar"/>
          </w:rPr>
          <w:t xml:space="preserve">config.yaml</w:t>
        </w:r>
      </w:hyperlink>
      <w:r>
        <w:t xml:space="preserve">.</w:t>
      </w:r>
    </w:p>
    <w:p>
      <w:pPr>
        <w:pStyle w:val="BodyText"/>
      </w:pPr>
      <w:r>
        <w:t xml:space="preserve">To validate that</w:t>
      </w:r>
      <w:r>
        <w:t xml:space="preserve"> </w:t>
      </w:r>
      <w:r>
        <w:rPr>
          <w:rStyle w:val="VerbatimChar"/>
        </w:rPr>
        <w:t xml:space="preserve">references.bib</w:t>
      </w:r>
      <w:r>
        <w:t xml:space="preserve"> </w:t>
      </w:r>
      <w:r>
        <w:t xml:space="preserve">is syntactically clean:</w:t>
      </w:r>
    </w:p>
    <w:p>
      <w:pPr>
        <w:pStyle w:val="SourceCode"/>
      </w:pPr>
      <w:r>
        <w:rPr>
          <w:rStyle w:val="ExtensionTok"/>
        </w:rPr>
        <w:t xml:space="preserve">uv</w:t>
      </w:r>
      <w:r>
        <w:rPr>
          <w:rStyle w:val="NormalTok"/>
        </w:rPr>
        <w:t xml:space="preserve"> run python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infrastructure.reference.citation.cli validate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projects/template_prose_project/manuscript/references.bib </w:t>
      </w:r>
      <w:r>
        <w:rPr>
          <w:rStyle w:val="AttributeTok"/>
        </w:rPr>
        <w:t xml:space="preserve">--strict</w:t>
      </w:r>
    </w:p>
    <w:p>
      <w:pPr>
        <w:pStyle w:val="FirstParagraph"/>
      </w:pPr>
      <w:r>
        <w:rPr>
          <w:b/>
          <w:bCs/>
        </w:rPr>
        <w:t xml:space="preserve">Release:</w:t>
      </w:r>
      <w:r>
        <w:t xml:space="preserve"> </w:t>
      </w:r>
      <w:r>
        <w:t xml:space="preserve">v0.4.0 · DOI</w:t>
      </w:r>
      <w:r>
        <w:t xml:space="preserve"> </w:t>
      </w:r>
      <w:r>
        <w:rPr>
          <w:rStyle w:val="VerbatimChar"/>
        </w:rPr>
        <w:t xml:space="preserve">10.5281/zenodo.20417104</w:t>
      </w:r>
      <w:r>
        <w:t xml:space="preserve"> </w:t>
      </w:r>
      <w:r>
        <w:t xml:space="preserve">· SHA-256</w:t>
      </w:r>
      <w:r>
        <w:t xml:space="preserve"> </w:t>
      </w:r>
      <w:r>
        <w:rPr>
          <w:rStyle w:val="VerbatimChar"/>
        </w:rPr>
        <w:t xml:space="preserve">cbe5adae0be7…</w:t>
      </w:r>
      <w:r>
        <w:t xml:space="preserve"> </w:t>
      </w:r>
      <w:r>
        <w:t xml:space="preserve">· pairing complete</w:t>
      </w:r>
    </w:p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7920"/>
      </w:tblGrid>
      <w:tr>
        <w:tc>
          <w:tcPr/>
          <w:p>
            <w:pPr>
              <w:pStyle w:val="Compact"/>
              <w:jc w:val="center"/>
            </w:pPr>
            <w:r>
              <w:t xml:space="preserve">Integrity QR strip</w:t>
            </w:r>
          </w:p>
        </w:tc>
      </w:tr>
    </w:tbl>
    <w:p>
      <w:pPr>
        <w:pStyle w:val="ImageCaption"/>
      </w:pPr>
      <w:r>
        <w:t xml:space="preserve">Integrity QR strip</w:t>
      </w:r>
    </w:p>
    <w:p>
      <w:pPr>
        <w:pStyle w:val="BodyText"/>
      </w:pPr>
      <w:r>
        <w:rPr>
          <w:b/>
          <w:bCs/>
        </w:rPr>
        <w:t xml:space="preserve">Prior:</w:t>
      </w:r>
      <w:r>
        <w:t xml:space="preserve"> </w:t>
      </w:r>
      <w:r>
        <w:rPr>
          <w:i/>
          <w:iCs/>
        </w:rPr>
        <w:t xml:space="preserve">No prior releases.</w:t>
      </w:r>
    </w:p>
    <w:bookmarkStart w:id="40" w:name="refs"/>
    <w:bookmarkStart w:id="32" w:name="ref-flesch1948new"/>
    <w:p>
      <w:pPr>
        <w:pStyle w:val="Bibliography"/>
      </w:pPr>
      <w:r>
        <w:t xml:space="preserve">Flesch, Rudolf. 1948.</w:t>
      </w:r>
      <w:r>
        <w:t xml:space="preserve"> </w:t>
      </w:r>
      <w:r>
        <w:t xml:space="preserve">“A New Readability Yardstick.”</w:t>
      </w:r>
      <w:r>
        <w:t xml:space="preserve"> </w:t>
      </w:r>
      <w:r>
        <w:rPr>
          <w:i/>
          <w:iCs/>
        </w:rPr>
        <w:t xml:space="preserve">Journal of Applied Psychology</w:t>
      </w:r>
      <w:r>
        <w:t xml:space="preserve"> </w:t>
      </w:r>
      <w:r>
        <w:t xml:space="preserve">32 (3): 221–33.</w:t>
      </w:r>
      <w:r>
        <w:t xml:space="preserve"> </w:t>
      </w:r>
      <w:hyperlink r:id="rId31">
        <w:r>
          <w:rPr>
            <w:rStyle w:val="Hyperlink"/>
          </w:rPr>
          <w:t xml:space="preserve">https://doi.org/10.1037/h0057532</w:t>
        </w:r>
      </w:hyperlink>
      <w:r>
        <w:t xml:space="preserve">.</w:t>
      </w:r>
    </w:p>
    <w:bookmarkEnd w:id="32"/>
    <w:bookmarkStart w:id="33" w:name="ref-gunning1952technique"/>
    <w:p>
      <w:pPr>
        <w:pStyle w:val="Bibliography"/>
      </w:pPr>
      <w:r>
        <w:t xml:space="preserve">Gunning, Robert. 1952.</w:t>
      </w:r>
      <w:r>
        <w:t xml:space="preserve"> </w:t>
      </w:r>
      <w:r>
        <w:rPr>
          <w:i/>
          <w:iCs/>
        </w:rPr>
        <w:t xml:space="preserve">The Technique of Clear Writing</w:t>
      </w:r>
      <w:r>
        <w:t xml:space="preserve">. McGraw-Hill.</w:t>
      </w:r>
    </w:p>
    <w:bookmarkEnd w:id="33"/>
    <w:bookmarkStart w:id="34" w:name="ref-kincaid1975derivation"/>
    <w:p>
      <w:pPr>
        <w:pStyle w:val="Bibliography"/>
      </w:pPr>
      <w:r>
        <w:t xml:space="preserve">Kincaid, J Peter, Robert P Fishburne, Richard L Rogers, and Brad S Chissom. 1975.</w:t>
      </w:r>
      <w:r>
        <w:t xml:space="preserve"> </w:t>
      </w:r>
      <w:r>
        <w:t xml:space="preserve">“Derivation of New Readability Formulas (Automated Readability Index, Fog Count and Flesch Reading Ease Formula) for Navy Enlisted Personnel.”</w:t>
      </w:r>
      <w:r>
        <w:t xml:space="preserve"> </w:t>
      </w:r>
      <w:r>
        <w:rPr>
          <w:i/>
          <w:iCs/>
        </w:rPr>
        <w:t xml:space="preserve">Naval Technical Training Command Research Branch Report</w:t>
      </w:r>
      <w:r>
        <w:t xml:space="preserve">, nos. 8-75.</w:t>
      </w:r>
    </w:p>
    <w:bookmarkEnd w:id="34"/>
    <w:bookmarkStart w:id="36" w:name="ref-peng2011reproducible"/>
    <w:p>
      <w:pPr>
        <w:pStyle w:val="Bibliography"/>
      </w:pPr>
      <w:r>
        <w:t xml:space="preserve">Peng, Roger D. 2011.</w:t>
      </w:r>
      <w:r>
        <w:t xml:space="preserve"> </w:t>
      </w:r>
      <w:r>
        <w:t xml:space="preserve">“Reproducible Research in Computational Science.”</w:t>
      </w:r>
      <w:r>
        <w:t xml:space="preserve"> </w:t>
      </w:r>
      <w:r>
        <w:rPr>
          <w:i/>
          <w:iCs/>
        </w:rPr>
        <w:t xml:space="preserve">Science</w:t>
      </w:r>
      <w:r>
        <w:t xml:space="preserve"> </w:t>
      </w:r>
      <w:r>
        <w:t xml:space="preserve">334 (6060): 1226–27.</w:t>
      </w:r>
      <w:r>
        <w:t xml:space="preserve"> </w:t>
      </w:r>
      <w:hyperlink r:id="rId35">
        <w:r>
          <w:rPr>
            <w:rStyle w:val="Hyperlink"/>
          </w:rPr>
          <w:t xml:space="preserve">https://doi.org/10.1126/science.1213847</w:t>
        </w:r>
      </w:hyperlink>
      <w:r>
        <w:t xml:space="preserve">.</w:t>
      </w:r>
    </w:p>
    <w:bookmarkEnd w:id="36"/>
    <w:bookmarkStart w:id="37" w:name="ref-strunk2000elements"/>
    <w:p>
      <w:pPr>
        <w:pStyle w:val="Bibliography"/>
      </w:pPr>
      <w:r>
        <w:t xml:space="preserve">Strunk, William, and E. B. White. 2000.</w:t>
      </w:r>
      <w:r>
        <w:t xml:space="preserve"> </w:t>
      </w:r>
      <w:r>
        <w:rPr>
          <w:i/>
          <w:iCs/>
        </w:rPr>
        <w:t xml:space="preserve">The Elements of Style</w:t>
      </w:r>
      <w:r>
        <w:t xml:space="preserve">. 4th ed. Allyn &amp; Bacon.</w:t>
      </w:r>
    </w:p>
    <w:bookmarkEnd w:id="37"/>
    <w:bookmarkStart w:id="39" w:name="ref-wong2011points"/>
    <w:p>
      <w:pPr>
        <w:pStyle w:val="Bibliography"/>
      </w:pPr>
      <w:r>
        <w:t xml:space="preserve">Wong, Bang. 2011.</w:t>
      </w:r>
      <w:r>
        <w:t xml:space="preserve"> </w:t>
      </w:r>
      <w:r>
        <w:t xml:space="preserve">“Points of View: Color Blindness.”</w:t>
      </w:r>
      <w:r>
        <w:t xml:space="preserve"> </w:t>
      </w:r>
      <w:r>
        <w:rPr>
          <w:i/>
          <w:iCs/>
        </w:rPr>
        <w:t xml:space="preserve">Nature Methods</w:t>
      </w:r>
      <w:r>
        <w:t xml:space="preserve"> </w:t>
      </w:r>
      <w:r>
        <w:t xml:space="preserve">8 (6): 441.</w:t>
      </w:r>
      <w:r>
        <w:t xml:space="preserve"> </w:t>
      </w:r>
      <w:hyperlink r:id="rId38">
        <w:r>
          <w:rPr>
            <w:rStyle w:val="Hyperlink"/>
          </w:rPr>
          <w:t xml:space="preserve">https://doi.org/10.1038/nmeth.1618</w:t>
        </w:r>
      </w:hyperlink>
      <w:r>
        <w:t xml:space="preserve">.</w:t>
      </w:r>
    </w:p>
    <w:bookmarkEnd w:id="39"/>
    <w:bookmarkEnd w:id="40"/>
    <w:bookmarkEnd w:id="4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3" Target="../../../infrastructure/prose/SKILL.md" TargetMode="External" /><Relationship Type="http://schemas.openxmlformats.org/officeDocument/2006/relationships/hyperlink" Id="rId14" Target="../../../infrastructure/reference/citation/SKILL.md" TargetMode="External" /><Relationship Type="http://schemas.openxmlformats.org/officeDocument/2006/relationships/hyperlink" Id="rId30" Target="config.yaml" TargetMode="External" /><Relationship Type="http://schemas.openxmlformats.org/officeDocument/2006/relationships/hyperlink" Id="rId31" Target="https://doi.org/10.1037/h0057532" TargetMode="External" /><Relationship Type="http://schemas.openxmlformats.org/officeDocument/2006/relationships/hyperlink" Id="rId38" Target="https://doi.org/10.1038/nmeth.1618" TargetMode="External" /><Relationship Type="http://schemas.openxmlformats.org/officeDocument/2006/relationships/hyperlink" Id="rId35" Target="https://doi.org/10.1126/science.1213847" TargetMode="External" /><Relationship Type="http://schemas.openxmlformats.org/officeDocument/2006/relationships/hyperlink" Id="rId9" Target="https://github.com/docxology/template" TargetMode="External" /><Relationship Type="http://schemas.openxmlformats.org/officeDocument/2006/relationships/hyperlink" Id="rId10" Target="https://github.com/docxology/template/tree/main/infrastructure/prose" TargetMode="External" /><Relationship Type="http://schemas.openxmlformats.org/officeDocument/2006/relationships/hyperlink" Id="rId11" Target="https://github.com/docxology/template/tree/main/infrastructure/reference" TargetMode="External" /><Relationship Type="http://schemas.openxmlformats.org/officeDocument/2006/relationships/hyperlink" Id="rId29" Target="references.bib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3" Target="../../../infrastructure/prose/SKILL.md" TargetMode="External" /><Relationship Type="http://schemas.openxmlformats.org/officeDocument/2006/relationships/hyperlink" Id="rId14" Target="../../../infrastructure/reference/citation/SKILL.md" TargetMode="External" /><Relationship Type="http://schemas.openxmlformats.org/officeDocument/2006/relationships/hyperlink" Id="rId30" Target="config.yaml" TargetMode="External" /><Relationship Type="http://schemas.openxmlformats.org/officeDocument/2006/relationships/hyperlink" Id="rId31" Target="https://doi.org/10.1037/h0057532" TargetMode="External" /><Relationship Type="http://schemas.openxmlformats.org/officeDocument/2006/relationships/hyperlink" Id="rId38" Target="https://doi.org/10.1038/nmeth.1618" TargetMode="External" /><Relationship Type="http://schemas.openxmlformats.org/officeDocument/2006/relationships/hyperlink" Id="rId35" Target="https://doi.org/10.1126/science.1213847" TargetMode="External" /><Relationship Type="http://schemas.openxmlformats.org/officeDocument/2006/relationships/hyperlink" Id="rId9" Target="https://github.com/docxology/template" TargetMode="External" /><Relationship Type="http://schemas.openxmlformats.org/officeDocument/2006/relationships/hyperlink" Id="rId10" Target="https://github.com/docxology/template/tree/main/infrastructure/prose" TargetMode="External" /><Relationship Type="http://schemas.openxmlformats.org/officeDocument/2006/relationships/hyperlink" Id="rId11" Target="https://github.com/docxology/template/tree/main/infrastructure/reference" TargetMode="External" /><Relationship Type="http://schemas.openxmlformats.org/officeDocument/2006/relationships/hyperlink" Id="rId29" Target="references.bib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2026-05-28T00:57:03Z</dcterms:created>
  <dcterms:modified xsi:type="dcterms:W3CDTF">2026-05-28T00:57:03Z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graphy">
    <vt:lpwstr>/Users/4d/Documents/GitHub/template/projects/template_prose_project/output/manuscript/references.bib</vt:lpwstr>
  </property>
</Properties>
</file>