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State:</w:t>
      </w:r>
      <w:r>
        <w:t xml:space="preserve"> </w:t>
      </w:r>
      <w:r>
        <w:t xml:space="preserve">unpublished / pending pairing</w:t>
      </w:r>
    </w:p>
    <w:p>
      <w:pPr>
        <w:pStyle w:val="BodyText"/>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2.5.0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Version DOI</w:t>
            </w:r>
          </w:p>
        </w:tc>
        <w:tc>
          <w:tcPr/>
          <w:p>
            <w:pPr>
              <w:pStyle w:val="Compact"/>
            </w:pPr>
            <w:r>
              <w:t xml:space="preserve">10.5281/zenodo.20420368</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9">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Integrity QR strip</w:t>
            </w:r>
          </w:p>
        </w:tc>
      </w:tr>
    </w:tbl>
    <w:p>
      <w:pPr>
        <w:pStyle w:val="ImageCaption"/>
      </w:pPr>
      <w:r>
        <w:t xml:space="preserve">Integrity QR strip</w:t>
      </w:r>
    </w:p>
    <w:p>
      <w:pPr>
        <w:pStyle w:val="BodyText"/>
      </w:pPr>
      <w:r>
        <w:t xml:space="preserve">Structured manifest:</w:t>
      </w:r>
      <w:r>
        <w:t xml:space="preserve"> </w:t>
      </w:r>
      <w:r>
        <w:rPr>
          <w:rStyle w:val="VerbatimChar"/>
        </w:rPr>
        <w:t xml:space="preserve">../data/transmission_manifest.json</w:t>
      </w:r>
    </w:p>
    <w:tbl>
      <w:tblPr>
        <w:tblStyle w:val="FigureTable"/>
        <w:tblW w:type="auto" w:w="0"/>
        <w:jc w:val="center"/>
        <w:tblLook w:firstRow="0" w:lastRow="0" w:firstColumn="0" w:lastColumn="0"/>
      </w:tblPr>
      <w:tblGrid>
        <w:gridCol w:w="7920"/>
      </w:tblGrid>
      <w:tr>
        <w:tc>
          <w:tcPr/>
          <w:p>
            <w:pPr>
              <w:pStyle w:val="Compact"/>
              <w:jc w:val="center"/>
            </w:pPr>
            <w:r>
              <w:t xml:space="preserve">Publication pairing flow</w:t>
            </w:r>
          </w:p>
        </w:tc>
      </w:tr>
    </w:tbl>
    <w:p>
      <w:pPr>
        <w:pStyle w:val="ImageCaption"/>
      </w:pPr>
      <w:r>
        <w:t xml:space="preserve">Publication pairing flow</w:t>
      </w:r>
    </w:p>
    <w:p>
      <w:pPr>
        <w:pStyle w:val="BodyText"/>
      </w:pPr>
      <w:r>
        <w:rPr>
          <w:b/>
          <w:bCs/>
        </w:rPr>
        <w:t xml:space="preserve">Stego:</w:t>
      </w:r>
      <w:r>
        <w:t xml:space="preserve"> </w:t>
      </w:r>
      <w:r>
        <w:t xml:space="preserve">on | overlays text | barcodes on | XMP on | manifest on →</w:t>
      </w:r>
      <w:r>
        <w:t xml:space="preserve"> </w:t>
      </w:r>
      <w:r>
        <w:rPr>
          <w:rStyle w:val="VerbatimChar"/>
        </w:rPr>
        <w:t xml:space="preserve">./secure_run.sh</w:t>
      </w:r>
    </w:p>
    <w:bookmarkStart w:id="12"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0">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src/figures/</w:t>
      </w:r>
      <w:r>
        <w:t xml:space="preserve"> </w:t>
      </w:r>
      <w:r>
        <w:t xml:space="preserve">and</w:t>
      </w:r>
      <w:r>
        <w:t xml:space="preserve"> </w:t>
      </w:r>
      <w:r>
        <w:rPr>
          <w:rStyle w:val="VerbatimChar"/>
        </w:rPr>
        <w:t xml:space="preserve">src/analysis/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1">
        <w:r>
          <w:rPr>
            <w:rStyle w:val="Hyperlink"/>
          </w:rPr>
          <w:t xml:space="preserve">test_optimizer.py</w:t>
        </w:r>
      </w:hyperlink>
      <w:r>
        <w:t xml:space="preserve">), automated six-figure analysis, and reproducibility metadata (configuration hash, artifact counts) injected into</w:t>
      </w:r>
      <w:r>
        <w:t xml:space="preserve"> </w:t>
      </w:r>
      <w:r>
        <w:t xml:space="preserve">(</w:t>
      </w:r>
      <w:r>
        <w:rPr>
          <w:b/>
          <w:bCs/>
        </w:rPr>
        <w:t xml:space="preserve">sec:reproducibility?</w:t>
      </w:r>
      <w:r>
        <w:t xml:space="preserve">)</w:t>
      </w:r>
      <w:r>
        <w:t xml:space="preserve">.</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gradient descent, reproducible research, zero-mock testing, scientific infrastructure, pipeline orchestration</w:t>
      </w:r>
    </w:p>
    <w:bookmarkEnd w:id="12"/>
    <w:bookmarkStart w:id="21"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0">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15"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13">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w:t>
      </w:r>
      <w:r>
        <w:t xml:space="preserve"> </w:t>
      </w:r>
      <w:r>
        <w:t xml:space="preserve">(</w:t>
      </w:r>
      <w:r>
        <w:rPr>
          <w:b/>
          <w:bCs/>
        </w:rPr>
        <w:t xml:space="preserve">eq:optimization_problem?</w:t>
      </w:r>
      <w:r>
        <w:t xml:space="preserve">)</w:t>
      </w:r>
      <w:r>
        <w:t xml:space="preserve"> </w:t>
      </w:r>
      <w:r>
        <w:t xml:space="preserve">is mapped programmatically inside the</w:t>
      </w:r>
      <w:r>
        <w:t xml:space="preserve"> </w:t>
      </w:r>
      <w:hyperlink r:id="rId14">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15"/>
    <w:bookmarkStart w:id="16"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guarantee numerical boundaries and performance scaling.</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16"/>
    <w:bookmarkStart w:id="17" w:name="algorithm-overview"/>
    <w:p>
      <w:pPr>
        <w:pStyle w:val="Heading2"/>
      </w:pPr>
      <w:r>
        <w:t xml:space="preserve">Algorithm Overview</w:t>
      </w:r>
    </w:p>
    <w:p>
      <w:pPr>
        <w:pStyle w:val="FirstParagraph"/>
      </w:pPr>
      <w:r>
        <w:t xml:space="preserve">The reference gradient descent algorithm iteratively updates the solution using the rule shown in</w:t>
      </w:r>
      <w:r>
        <w:t xml:space="preserve"> </w:t>
      </w:r>
      <w:r>
        <w:t xml:space="preserve">(</w:t>
      </w:r>
      <w:r>
        <w:rPr>
          <w:b/>
          <w:bCs/>
        </w:rPr>
        <w:t xml:space="preserve">eq:gradient_descent_update?</w:t>
      </w:r>
      <w:r>
        <w:t xml:space="preserv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17"/>
    <w:bookmarkStart w:id="18"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18"/>
    <w:bookmarkStart w:id="19" w:name="readers-guide-to-the-manuscript"/>
    <w:p>
      <w:pPr>
        <w:pStyle w:val="Heading2"/>
      </w:pPr>
      <w:r>
        <w:t xml:space="preserve">Reader’s guide to the manuscript</w:t>
      </w:r>
    </w:p>
    <w:p>
      <w:pPr>
        <w:pStyle w:val="Compact"/>
        <w:numPr>
          <w:ilvl w:val="0"/>
          <w:numId w:val="1005"/>
        </w:numPr>
      </w:pPr>
      <w:r>
        <w:rPr>
          <w:b/>
          <w:bCs/>
        </w:rPr>
        <w:t xml:space="preserve">(</w:t>
      </w:r>
      <w:r>
        <w:rPr>
          <w:b/>
          <w:b/>
          <w:bCs/>
          <w:bCs/>
        </w:rPr>
        <w:t xml:space="preserve">sec:methodology?</w:t>
      </w:r>
      <w:r>
        <w:rPr>
          <w:b/>
          <w:bCs/>
        </w:rPr>
        <w:t xml:space="preserve">)</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w:t>
      </w:r>
      <w:r>
        <w:rPr>
          <w:b/>
          <w:b/>
          <w:bCs/>
          <w:bCs/>
        </w:rPr>
        <w:t xml:space="preserve">sec:results?</w:t>
      </w:r>
      <w:r>
        <w:rPr>
          <w:b/>
          <w:bCs/>
        </w:rPr>
        <w:t xml:space="preserve">)</w:t>
      </w:r>
      <w:r>
        <w:t xml:space="preserve"> </w:t>
      </w:r>
      <w:r>
        <w:t xml:space="preserve">is figure-centric: every panel references a generator in</w:t>
      </w:r>
      <w:r>
        <w:t xml:space="preserve"> </w:t>
      </w:r>
      <w:r>
        <w:rPr>
          <w:rStyle w:val="VerbatimChar"/>
        </w:rPr>
        <w:t xml:space="preserve">src/figures/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placeholders for numeric values.</w:t>
      </w:r>
    </w:p>
    <w:p>
      <w:pPr>
        <w:pStyle w:val="Compact"/>
        <w:numPr>
          <w:ilvl w:val="0"/>
          <w:numId w:val="1005"/>
        </w:numPr>
      </w:pPr>
      <w:r>
        <w:rPr>
          <w:b/>
          <w:bCs/>
        </w:rPr>
        <w:t xml:space="preserve">(</w:t>
      </w:r>
      <w:r>
        <w:rPr>
          <w:b/>
          <w:b/>
          <w:bCs/>
          <w:bCs/>
        </w:rPr>
        <w:t xml:space="preserve">sec:experimental_setup?</w:t>
      </w:r>
      <w:r>
        <w:rPr>
          <w:b/>
          <w:bCs/>
        </w:rPr>
        <w:t xml:space="preserve">)</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w:t>
      </w:r>
      <w:r>
        <w:rPr>
          <w:b/>
          <w:b/>
          <w:bCs/>
          <w:bCs/>
        </w:rPr>
        <w:t xml:space="preserve">sec:reproducibility?</w:t>
      </w:r>
      <w:r>
        <w:rPr>
          <w:b/>
          <w:bCs/>
        </w:rPr>
        <w:t xml:space="preserve">)</w:t>
      </w:r>
      <w:r>
        <w:t xml:space="preserve"> </w:t>
      </w:r>
      <w:r>
        <w:t xml:space="preserve">records the configuration hash and artifact inventory produced alongside the PDF.</w:t>
      </w:r>
    </w:p>
    <w:p>
      <w:pPr>
        <w:pStyle w:val="Compact"/>
        <w:numPr>
          <w:ilvl w:val="0"/>
          <w:numId w:val="1005"/>
        </w:numPr>
      </w:pPr>
      <w:r>
        <w:rPr>
          <w:b/>
          <w:bCs/>
        </w:rPr>
        <w:t xml:space="preserve">(</w:t>
      </w:r>
      <w:r>
        <w:rPr>
          <w:b/>
          <w:b/>
          <w:bCs/>
          <w:bCs/>
        </w:rPr>
        <w:t xml:space="preserve">sec:scope?</w:t>
      </w:r>
      <w:r>
        <w:rPr>
          <w:b/>
          <w:bCs/>
        </w:rPr>
        <w:t xml:space="preserve">)</w:t>
      </w:r>
      <w:r>
        <w:t xml:space="preserve"> </w:t>
      </w:r>
      <w:r>
        <w:t xml:space="preserve">states scope and related literature so the exemplar is not mistaken for a general-purpose optimizer benchmark suite.</w:t>
      </w:r>
    </w:p>
    <w:bookmarkEnd w:id="19"/>
    <w:bookmarkStart w:id="20"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w:t>
      </w:r>
      <w:r>
        <w:t xml:space="preserve"> </w:t>
      </w:r>
      <w:r>
        <w:t xml:space="preserve">(</w:t>
      </w:r>
      <w:r>
        <w:rPr>
          <w:b/>
          <w:bCs/>
        </w:rPr>
        <w:t xml:space="preserve">eq:scalar_linear_update?</w:t>
      </w:r>
      <w:r>
        <w:t xml:space="preserv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w:t>
      </w:r>
      <w:r>
        <w:t xml:space="preserve">(</w:t>
      </w:r>
      <w:r>
        <w:rPr>
          <w:b/>
          <w:bCs/>
        </w:rPr>
        <w:t xml:space="preserve">sec:scope?</w:t>
      </w:r>
      <w:r>
        <w:t xml:space="preserve">)</w:t>
      </w:r>
      <w:r>
        <w:t xml:space="preserve">).</w:t>
      </w:r>
    </w:p>
    <w:bookmarkEnd w:id="20"/>
    <w:bookmarkEnd w:id="21"/>
    <w:bookmarkStart w:id="42"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26" w:name="algorithm-implementation"/>
    <w:p>
      <w:pPr>
        <w:pStyle w:val="Heading2"/>
      </w:pPr>
      <w:r>
        <w:t xml:space="preserve">Algorithm Implementation</w:t>
      </w:r>
    </w:p>
    <w:bookmarkStart w:id="25"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14">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2">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3">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24">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bookmarkEnd w:id="25"/>
    <w:bookmarkEnd w:id="26"/>
    <w:bookmarkStart w:id="31"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28"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27">
        <w:r>
          <w:rPr>
            <w:rStyle w:val="Hyperlink"/>
          </w:rPr>
          <w:t xml:space="preserve">analysis orchestrator</w:t>
        </w:r>
      </w:hyperlink>
      <w:r>
        <w:t xml:space="preserve"> </w:t>
      </w:r>
      <w:r>
        <w:t xml:space="preserve">execution deliberately aborts, ensuring the methodology cannot enter unrecoverable states.</w:t>
      </w:r>
    </w:p>
    <w:bookmarkEnd w:id="28"/>
    <w:bookmarkStart w:id="30" w:name="performance-benchmarking"/>
    <w:p>
      <w:pPr>
        <w:pStyle w:val="Heading3"/>
      </w:pPr>
      <w:r>
        <w:t xml:space="preserve">Performance Benchmarking</w:t>
      </w:r>
    </w:p>
    <w:p>
      <w:pPr>
        <w:pStyle w:val="FirstParagraph"/>
      </w:pPr>
      <w:r>
        <w:t xml:space="preserve">Computational complexity is evaluated not just theoretically, but empirically via</w:t>
      </w:r>
      <w:r>
        <w:t xml:space="preserve"> </w:t>
      </w:r>
      <w:hyperlink r:id="rId29">
        <w:r>
          <w:rPr>
            <w:rStyle w:val="VerbatimChar"/>
          </w:rPr>
          <w:t xml:space="preserve">infrastructure.scientific.benchmarking.benchmark_function</w:t>
        </w:r>
      </w:hyperlink>
      <w:r>
        <w:t xml:space="preserve">. This module captures high-resolution execution timings and memory footprints across dimensionality sweeps, guaranteeing that the</w:t>
      </w:r>
      <w:r>
        <w:t xml:space="preserve"> </w:t>
      </w:r>
      <m:oMath>
        <m:r>
          <m:t>O</m:t>
        </m:r>
        <m:r>
          <m:rPr>
            <m:sty m:val="p"/>
          </m:rPr>
          <m:t>(</m:t>
        </m:r>
        <m:r>
          <m:t>n</m:t>
        </m:r>
        <m:r>
          <m:rPr>
            <m:sty m:val="p"/>
          </m:rPr>
          <m:t>)</m:t>
        </m:r>
      </m:oMath>
      <w:r>
        <w:t xml:space="preserve"> </w:t>
      </w:r>
      <w:r>
        <w:t xml:space="preserve">space-time complexity predictions hold true on the host architecture.</w:t>
      </w:r>
    </w:p>
    <w:bookmarkEnd w:id="30"/>
    <w:bookmarkEnd w:id="31"/>
    <w:bookmarkStart w:id="32"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2"/>
    <w:bookmarkStart w:id="39" w:name="experimental-setup"/>
    <w:p>
      <w:pPr>
        <w:pStyle w:val="Heading2"/>
      </w:pPr>
      <w:r>
        <w:t xml:space="preserve">Experimental Setup</w:t>
      </w:r>
    </w:p>
    <w:bookmarkStart w:id="33"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3"/>
    <w:bookmarkStart w:id="36"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w:t>
      </w:r>
    </w:p>
    <w:p>
      <w:pPr>
        <w:pStyle w:val="Compact"/>
        <w:numPr>
          <w:ilvl w:val="0"/>
          <w:numId w:val="1009"/>
        </w:numPr>
      </w:pPr>
      <w:r>
        <w:rPr>
          <w:b/>
          <w:bCs/>
        </w:rPr>
        <w:t xml:space="preserve">Project tests</w:t>
      </w:r>
      <w:r>
        <w:t xml:space="preserve">:</w:t>
      </w:r>
      <w:r>
        <w:t xml:space="preserve"> </w:t>
      </w:r>
      <w:hyperlink r:id="rId34">
        <w:r>
          <w:rPr>
            <w:rStyle w:val="VerbatimChar"/>
          </w:rPr>
          <w:t xml:space="preserve">projects/templates/template_code_project/tests/test_optimizer.py</w:t>
        </w:r>
      </w:hyperlink>
      <w:r>
        <w:t xml:space="preserve"> </w:t>
      </w:r>
      <w:r>
        <w:t xml:space="preserve">exercises</w:t>
      </w:r>
      <w:r>
        <w:t xml:space="preserve"> </w:t>
      </w:r>
      <w:r>
        <w:rPr>
          <w:rStyle w:val="VerbatimChar"/>
        </w:rPr>
        <w:t xml:space="preserve">src/optimizer.py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35">
        <w:r>
          <w:rPr>
            <w:rStyle w:val="VerbatimChar"/>
          </w:rPr>
          <w:t xml:space="preserve">docs/_generated/canonical_facts.md</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13">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w:t>
      </w:r>
    </w:p>
    <w:bookmarkEnd w:id="36"/>
    <w:bookmarkStart w:id="37"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t>
      </w:r>
      <w:r>
        <w:t xml:space="preserve">or when</w:t>
      </w:r>
      <w:r>
        <w:t xml:space="preserve"> </w:t>
      </w:r>
      <m:oMath>
        <m:r>
          <m:t>k</m:t>
        </m:r>
      </m:oMath>
      <w:r>
        <w:t xml:space="preserve"> </w:t>
      </w:r>
      <w:r>
        <w:t xml:space="preserve">reaches</w:t>
      </w:r>
      <w:r>
        <w:t xml:space="preserve"> </w:t>
      </w:r>
      <w:r>
        <w:rPr>
          <w:rStyle w:val="VerbatimChar"/>
        </w:rPr>
        <w:t xml:space="preserve">experiment.max_iterations</w:t>
      </w:r>
      <w:r>
        <w:t xml:space="preserve">. The boolean</w:t>
      </w:r>
      <w:r>
        <w:t xml:space="preserve"> </w:t>
      </w:r>
      <w:r>
        <w:rPr>
          <w:rStyle w:val="VerbatimChar"/>
        </w:rPr>
        <w:t xml:space="preserve">converged</w:t>
      </w:r>
      <w:r>
        <w:t xml:space="preserve"> </w:t>
      </w:r>
      <w:r>
        <w:t xml:space="preserve">in exported CSV rows distinguishes these outcomes.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37"/>
    <w:bookmarkStart w:id="38"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bookmarkEnd w:id="38"/>
    <w:bookmarkEnd w:id="39"/>
    <w:bookmarkStart w:id="41"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40">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1"/>
    <w:bookmarkEnd w:id="42"/>
    <w:bookmarkStart w:id="73"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2">
        <w:r>
          <w:rPr>
            <w:rStyle w:val="Hyperlink"/>
          </w:rPr>
          <w:t xml:space="preserve">optimization analysis script</w:t>
        </w:r>
      </w:hyperlink>
      <w:r>
        <w:t xml:space="preserve">. No manual transcription was permitted.</w:t>
      </w:r>
    </w:p>
    <w:bookmarkStart w:id="47" w:name="convergence-analysis-1"/>
    <w:p>
      <w:pPr>
        <w:pStyle w:val="Heading2"/>
      </w:pPr>
      <w:r>
        <w:t xml:space="preserve">Convergence Analysis</w:t>
      </w:r>
    </w:p>
    <w:bookmarkStart w:id="44" w:name="convergence-trajectories"/>
    <w:p>
      <w:pPr>
        <w:pStyle w:val="Heading3"/>
      </w:pPr>
      <w:r>
        <w:t xml:space="preserve">Convergence Trajectories</w:t>
      </w:r>
    </w:p>
    <w:p>
      <w:pPr>
        <w:pStyle w:val="FirstParagraph"/>
      </w:pPr>
      <w:r>
        <w:t xml:space="preserve">(</w:t>
      </w:r>
      <w:r>
        <w:rPr>
          <w:b/>
          <w:bCs/>
        </w:rPr>
        <w:t xml:space="preserve">fig:convergence?</w:t>
      </w:r>
      <w:r>
        <w:t xml:space="preserve">)</w:t>
      </w:r>
      <w:r>
        <w:t xml:space="preserve"> </w:t>
      </w:r>
      <w:r>
        <w:t xml:space="preserve">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43" w:name="fig:convergence"/>
    <w:tbl>
      <w:tblPr>
        <w:tblStyle w:val="FigureTable"/>
        <w:tblW w:type="auto" w:w="0"/>
        <w:jc w:val="center"/>
        <w:tblLook w:firstRow="0" w:lastRow="0" w:firstColumn="0" w:lastColumn="0"/>
      </w:tblPr>
      <w:tblGrid>
        <w:gridCol w:w="7920"/>
      </w:tblGrid>
      <w:tr>
        <w:tc>
          <w:tcPr/>
          <w:p>
            <w:pPr>
              <w:pStyle w:val="Compact"/>
              <w:jc w:val="center"/>
            </w:pPr>
            <w:r>
              <w:t xml:space="preserve">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w:t>
            </w:r>
            <w:r>
              <w:t xml:space="preserve"> </w:t>
            </w:r>
            <w:r>
              <w:t xml:space="preserve">(</w:t>
            </w:r>
            <w:r>
              <w:rPr>
                <w:b/>
                <w:bCs/>
              </w:rPr>
              <w:t xml:space="preserve">sec:methodology?</w:t>
            </w:r>
            <w:r>
              <w:t xml:space="preserve">)</w:t>
            </w:r>
            <w:r>
              <w:t xml:space="preserve">: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w:t>
            </w:r>
            <w:r>
              <w:t xml:space="preserve"> </w:t>
            </w:r>
            <w:r>
              <w:t xml:space="preserve">(</w:t>
            </w:r>
            <w:r>
              <w:rPr>
                <w:b/>
                <w:bCs/>
              </w:rPr>
              <w:t xml:space="preserve">tbl:opt_results?</w:t>
            </w:r>
            <w:r>
              <w:t xml:space="preserve">)</w:t>
            </w:r>
            <w:r>
              <w:t xml:space="preserve">;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tc>
      </w:tr>
    </w:tbl>
    <w:p>
      <w:pPr>
        <w:pStyle w:val="ImageCaption"/>
      </w:pPr>
      <w:r>
        <w:t xml:space="preserve">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w:t>
      </w:r>
      <w:r>
        <w:t xml:space="preserve"> </w:t>
      </w:r>
      <w:r>
        <w:t xml:space="preserve">(</w:t>
      </w:r>
      <w:r>
        <w:rPr>
          <w:b/>
          <w:bCs/>
        </w:rPr>
        <w:t xml:space="preserve">sec:methodology?</w:t>
      </w:r>
      <w:r>
        <w:t xml:space="preserve">)</w:t>
      </w:r>
      <w:r>
        <w:t xml:space="preserve">: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w:t>
      </w:r>
      <w:r>
        <w:t xml:space="preserve"> </w:t>
      </w:r>
      <w:r>
        <w:t xml:space="preserve">(</w:t>
      </w:r>
      <w:r>
        <w:rPr>
          <w:b/>
          <w:bCs/>
        </w:rPr>
        <w:t xml:space="preserve">tbl:opt_results?</w:t>
      </w:r>
      <w:r>
        <w:t xml:space="preserve">)</w:t>
      </w:r>
      <w:r>
        <w:t xml:space="preserve">;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43"/>
    <w:p>
      <w:pPr>
        <w:pStyle w:val="BodyText"/>
      </w:pPr>
      <w:r>
        <w:rPr>
          <w:b/>
          <w:bCs/>
        </w:rPr>
        <w:t xml:space="preserve">Key observations from</w:t>
      </w:r>
      <w:r>
        <w:rPr>
          <w:b/>
          <w:bCs/>
        </w:rPr>
        <w:t xml:space="preserve"> </w:t>
      </w:r>
      <w:r>
        <w:rPr>
          <w:b/>
          <w:bCs/>
        </w:rPr>
        <w:t xml:space="preserve">(</w:t>
      </w:r>
      <w:r>
        <w:rPr>
          <w:b/>
          <w:b/>
          <w:bCs/>
          <w:bCs/>
        </w:rPr>
        <w:t xml:space="preserve">fig:convergence?</w:t>
      </w:r>
      <w:r>
        <w:rPr>
          <w:b/>
          <w:bCs/>
        </w:rPr>
        <w:t xml:space="preserve">)</w:t>
      </w:r>
      <w:r>
        <w:rPr>
          <w:b/>
          <w:bCs/>
        </w:rPr>
        <w:t xml:space="preserve">:</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44"/>
    <w:bookmarkStart w:id="46" w:name="step-size-sensitivity-analysis"/>
    <w:p>
      <w:pPr>
        <w:pStyle w:val="Heading3"/>
      </w:pPr>
      <w:r>
        <w:t xml:space="preserve">Step Size Sensitivity Analysis</w:t>
      </w:r>
    </w:p>
    <w:p>
      <w:pPr>
        <w:pStyle w:val="FirstParagraph"/>
      </w:pPr>
      <w:r>
        <w:t xml:space="preserve">(</w:t>
      </w:r>
      <w:r>
        <w:rPr>
          <w:b/>
          <w:bCs/>
        </w:rPr>
        <w:t xml:space="preserve">fig:step_sensitivity?</w:t>
      </w:r>
      <w:r>
        <w:t xml:space="preserve">)</w:t>
      </w:r>
      <w:r>
        <w:t xml:space="preserve"> </w:t>
      </w:r>
      <w:r>
        <w:t xml:space="preserve">examines how the choice of step size affects the convergence path and solution quality. The analysis reveals the trade-off between convergence speed and numerical stability.</w:t>
      </w:r>
    </w:p>
    <w:bookmarkStart w:id="45" w:name="fig:step_sensitivity"/>
    <w:tbl>
      <w:tblPr>
        <w:tblStyle w:val="FigureTable"/>
        <w:tblW w:type="auto" w:w="0"/>
        <w:jc w:val="center"/>
        <w:tblLook w:firstRow="0" w:lastRow="0" w:firstColumn="0" w:lastColumn="0"/>
      </w:tblPr>
      <w:tblGrid>
        <w:gridCol w:w="7920"/>
      </w:tblGrid>
      <w:tr>
        <w:tc>
          <w:tcPr/>
          <w:p>
            <w:pPr>
              <w:pStyle w:val="Compact"/>
              <w:jc w:val="center"/>
            </w:pPr>
            <w:r>
              <w:t xml:space="preserve">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tc>
      </w:tr>
    </w:tbl>
    <w:p>
      <w:pPr>
        <w:pStyle w:val="ImageCaption"/>
      </w:pPr>
      <w:r>
        <w:t xml:space="preserve">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45"/>
    <w:bookmarkEnd w:id="46"/>
    <w:bookmarkEnd w:id="47"/>
    <w:bookmarkStart w:id="51"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48">
        <w:r>
          <w:rPr>
            <w:rStyle w:val="VerbatimChar"/>
          </w:rPr>
          <w:t xml:space="preserve">infrastructure.reporting.executive_reporter</w:t>
        </w:r>
      </w:hyperlink>
      <w:r>
        <w:t xml:space="preserve">, feeding directly into the</w:t>
      </w:r>
      <w:r>
        <w:t xml:space="preserve"> </w:t>
      </w:r>
      <w:hyperlink r:id="rId49">
        <w:r>
          <w:rPr>
            <w:rStyle w:val="Hyperlink"/>
          </w:rPr>
          <w:t xml:space="preserve">optimization results data</w:t>
        </w:r>
      </w:hyperlink>
      <w:r>
        <w:t xml:space="preserve"> </w:t>
      </w:r>
      <w:r>
        <w:t xml:space="preserve">that acts as the source of truth for</w:t>
      </w:r>
      <w:r>
        <w:t xml:space="preserve"> </w:t>
      </w:r>
      <w:r>
        <w:t xml:space="preserve">(</w:t>
      </w:r>
      <w:r>
        <w:rPr>
          <w:b/>
          <w:bCs/>
        </w:rPr>
        <w:t xml:space="preserve">tbl:opt_results?</w:t>
      </w:r>
      <w:r>
        <w:t xml:space="preserve">)</w:t>
      </w:r>
      <w:r>
        <w:t xml:space="preserve">.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50" w:name="tbl:opt_results"/>
    <w:p>
      <w:pPr>
        <w:pStyle w:val="TableCaption"/>
      </w:pPr>
      <w:r>
        <w:t xml:space="preserve">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and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Rows marked</w:t>
      </w:r>
      <w:r>
        <w:t xml:space="preserve"> </w:t>
      </w:r>
      <w:r>
        <w:t xml:space="preserve">“No”</w:t>
      </w:r>
      <w:r>
        <w:t xml:space="preserve"> </w:t>
      </w:r>
      <w:r>
        <w:t xml:space="preserve">either hit the iteration cap before meeting the gradient tolerance (small</w:t>
      </w:r>
      <w:r>
        <w:t xml:space="preserve"> </w:t>
      </w:r>
      <m:oMath>
        <m:r>
          <m:t>α</m:t>
        </m:r>
      </m:oMath>
      <w:r>
        <w:t xml:space="preserve">) or correspond to unstable dynamics when</w:t>
      </w:r>
      <w:r>
        <w:t xml:space="preserve"> </w:t>
      </w:r>
      <m:oMath>
        <m:r>
          <m:rPr>
            <m:sty m:val="p"/>
          </m:rPr>
          <m:t>|</m:t>
        </m:r>
        <m:r>
          <m:t>1</m:t>
        </m:r>
        <m:r>
          <m:rPr>
            <m:sty m:val="p"/>
          </m:rPr>
          <m:t>−</m:t>
        </m:r>
        <m:r>
          <m:t>α</m:t>
        </m:r>
        <m:r>
          <m:rPr>
            <m:sty m:val="p"/>
          </m:rPr>
          <m:t>|</m:t>
        </m:r>
        <m:r>
          <m:rPr>
            <m:sty m:val="p"/>
          </m:rPr>
          <m:t>≥</m:t>
        </m:r>
        <m:r>
          <m:t>1</m:t>
        </m:r>
      </m:oMath>
      <w:r>
        <w:t xml:space="preserve">.</w:t>
      </w:r>
    </w:p>
    <w:tbl>
      <w:tblPr>
        <w:tblStyle w:val="Table"/>
        <w:tblW w:type="pct" w:w="5000"/>
        <w:tblLayout w:type="fixed"/>
        <w:tblLook w:firstRow="1" w:lastRow="0" w:firstColumn="0" w:lastColumn="0" w:noHBand="0" w:noVBand="0" w:val="0020"/>
        <w:tblCaption w:val="Gradient descent outcomes per configured step size: state at termination, iteration count capped by N_{\max} = 1000, and the converged flag from gradient_descent() using \|\nabla f\| &lt; 10^{-8}. Rows marked “No” either hit the iteration cap before meeting the gradient tolerance (small \alpha) or correspond to unstable dynamics when |1-\alpha| \geq 1."/>
      </w:tblPr>
      <w:tblGrid>
        <w:gridCol w:w="1673"/>
        <w:gridCol w:w="1784"/>
        <w:gridCol w:w="1896"/>
        <w:gridCol w:w="1338"/>
        <w:gridCol w:w="1227"/>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2.50</w:t>
            </w:r>
          </w:p>
        </w:tc>
        <w:tc>
          <w:tcPr/>
          <w:p>
            <w:pPr>
              <w:pStyle w:val="Compact"/>
            </w:pPr>
            <w:r>
              <w:t xml:space="preserve">-123384059690617745524091335813180186890505789975305907992186675554099100089605560395688521301527760116788345515894979896207548805638009361768752272295676536457470613583575384064.0000</w:t>
            </w:r>
          </w:p>
        </w:tc>
        <w:tc>
          <w:tcPr/>
          <w:p>
            <w:pPr>
              <w:pStyle w:val="Compact"/>
            </w:pPr>
            <w:r>
              <w:t xml:space="preserve">inf</w:t>
            </w:r>
          </w:p>
        </w:tc>
        <w:tc>
          <w:tcPr/>
          <w:p>
            <w:pPr>
              <w:pStyle w:val="Compact"/>
            </w:pPr>
            <w:r>
              <w:t xml:space="preserve">1000</w:t>
            </w:r>
          </w:p>
        </w:tc>
        <w:tc>
          <w:tcPr/>
          <w:p>
            <w:pPr>
              <w:pStyle w:val="Compact"/>
            </w:pPr>
            <w:r>
              <w:t xml:space="preserve">No</w:t>
            </w:r>
          </w:p>
        </w:tc>
      </w:tr>
    </w:tbl>
    <w:bookmarkEnd w:id="50"/>
    <w:bookmarkEnd w:id="51"/>
    <w:bookmarkStart w:id="56" w:name="convergence-rate-analysis"/>
    <w:p>
      <w:pPr>
        <w:pStyle w:val="Heading2"/>
      </w:pPr>
      <w:r>
        <w:t xml:space="preserve">Convergence Rate Analysis</w:t>
      </w:r>
    </w:p>
    <w:bookmarkStart w:id="53"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w:t>
      </w:r>
      <w:r>
        <w:rPr>
          <w:b/>
          <w:bCs/>
        </w:rPr>
        <w:t xml:space="preserve">fig:convergence_rate?</w:t>
      </w:r>
      <w:r>
        <w:t xml:space="preserve">)</w:t>
      </w:r>
      <w:r>
        <w:t xml:space="preserve"> </w:t>
      </w:r>
      <w:r>
        <w:t xml:space="preserve">provides a comparative analysis of convergence rates across different step sizes, validating theoretical predictions against empirical results.</w:t>
      </w:r>
    </w:p>
    <w:bookmarkStart w:id="52" w:name="fig:convergence_rate"/>
    <w:tbl>
      <w:tblPr>
        <w:tblStyle w:val="FigureTable"/>
        <w:tblW w:type="auto" w:w="0"/>
        <w:jc w:val="center"/>
        <w:tblLook w:firstRow="0" w:lastRow="0" w:firstColumn="0" w:lastColumn="0"/>
      </w:tblPr>
      <w:tblGrid>
        <w:gridCol w:w="7920"/>
      </w:tblGrid>
      <w:tr>
        <w:tc>
          <w:tcPr/>
          <w:p>
            <w:pPr>
              <w:pStyle w:val="Compact"/>
              <w:jc w:val="center"/>
            </w:pPr>
            <w:r>
              <w:t xml:space="preserve">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w:t>
            </w:r>
            <w:r>
              <w:t xml:space="preserve"> </w:t>
            </w:r>
            <w:r>
              <w:t xml:space="preserve">(</w:t>
            </w:r>
            <w:r>
              <w:rPr>
                <w:b/>
                <w:bCs/>
              </w:rPr>
              <w:t xml:space="preserve">eq:convergence_bound?</w:t>
            </w:r>
            <w:r>
              <w:t xml:space="preserve">)</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tc>
      </w:tr>
    </w:tbl>
    <w:p>
      <w:pPr>
        <w:pStyle w:val="ImageCaption"/>
      </w:pPr>
      <w:r>
        <w:t xml:space="preserve">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w:t>
      </w:r>
      <w:r>
        <w:t xml:space="preserve"> </w:t>
      </w:r>
      <w:r>
        <w:t xml:space="preserve">(</w:t>
      </w:r>
      <w:r>
        <w:rPr>
          <w:b/>
          <w:bCs/>
        </w:rPr>
        <w:t xml:space="preserve">eq:convergence_bound?</w:t>
      </w:r>
      <w:r>
        <w:t xml:space="preserve">)</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52"/>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w:t>
      </w:r>
      <w:r>
        <w:t xml:space="preserve"> </w:t>
      </w:r>
      <w:r>
        <w:t xml:space="preserve">(</w:t>
      </w:r>
      <w:r>
        <w:rPr>
          <w:b/>
          <w:bCs/>
        </w:rPr>
        <w:t xml:space="preserve">eq:convergence_bound?</w:t>
      </w:r>
      <w:r>
        <w:t xml:space="preserve">)</w:t>
      </w:r>
      <w:r>
        <w:t xml:space="preserve">), which explains the straight-line segments on the log–error plot in</w:t>
      </w:r>
      <w:r>
        <w:t xml:space="preserve"> </w:t>
      </w:r>
      <w:r>
        <w:t xml:space="preserve">(</w:t>
      </w:r>
      <w:r>
        <w:rPr>
          <w:b/>
          <w:bCs/>
        </w:rPr>
        <w:t xml:space="preserve">fig:convergence_rate?</w:t>
      </w:r>
      <w:r>
        <w:t xml:space="preserve">)</w:t>
      </w:r>
      <w:r>
        <w:t xml:space="preserve"> </w:t>
      </w:r>
      <w:r>
        <w:t xml:space="preserve">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53"/>
    <w:bookmarkStart w:id="54"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w:t>
      </w:r>
      <w:r>
        <w:t xml:space="preserve"> </w:t>
      </w:r>
      <w:r>
        <w:t xml:space="preserve">(</w:t>
      </w:r>
      <w:r>
        <w:rPr>
          <w:b/>
          <w:bCs/>
        </w:rPr>
        <w:t xml:space="preserve">eq:error_bound?</w:t>
      </w:r>
      <w:r>
        <w:t xml:space="preserve">)</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w:t>
      </w:r>
      <w:r>
        <w:t xml:space="preserve">(</w:t>
      </w:r>
      <w:r>
        <w:rPr>
          <w:b/>
          <w:bCs/>
        </w:rPr>
        <w:t xml:space="preserve">eq:scalar_linear_update?</w:t>
      </w:r>
      <w:r>
        <w:t xml:space="preserv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w:t>
      </w:r>
      <w:r>
        <w:t xml:space="preserve"> </w:t>
      </w:r>
      <w:r>
        <w:t xml:space="preserve">(</w:t>
      </w:r>
      <w:r>
        <w:rPr>
          <w:b/>
          <w:bCs/>
        </w:rPr>
        <w:t xml:space="preserve">tbl:opt_results?</w:t>
      </w:r>
      <w:r>
        <w:t xml:space="preserve">)</w:t>
      </w:r>
      <w:r>
        <w:t xml:space="preserve"> </w:t>
      </w:r>
      <w:r>
        <w:t xml:space="preserve">and</w:t>
      </w:r>
      <w:r>
        <w:t xml:space="preserve"> </w:t>
      </w:r>
      <w:r>
        <w:t xml:space="preserve">(</w:t>
      </w:r>
      <w:r>
        <w:rPr>
          <w:b/>
          <w:bCs/>
        </w:rPr>
        <w:t xml:space="preserve">fig:convergence?</w:t>
      </w:r>
      <w:r>
        <w:t xml:space="preserve">;</w:t>
      </w:r>
      <w:r>
        <w:t xml:space="preserve"> </w:t>
      </w:r>
      <w:r>
        <w:rPr>
          <w:b/>
          <w:bCs/>
        </w:rPr>
        <w:t xml:space="preserve">fig:step_sensitivity?</w:t>
      </w:r>
      <w:r>
        <w:t xml:space="preserve">;</w:t>
      </w:r>
      <w:r>
        <w:t xml:space="preserve"> </w:t>
      </w:r>
      <w:r>
        <w:rPr>
          <w:b/>
          <w:bCs/>
        </w:rPr>
        <w:t xml:space="preserve">fig:convergence_rate?</w:t>
      </w:r>
      <w:r>
        <w:t xml:space="preserve">)</w:t>
      </w:r>
      <w:r>
        <w:t xml:space="preserve"> </w:t>
      </w:r>
      <w:r>
        <w:t xml:space="preserve">ground these statements in the numbers produced by this repository run.</w:t>
      </w:r>
    </w:p>
    <w:bookmarkEnd w:id="54"/>
    <w:bookmarkStart w:id="55"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w:t>
      </w:r>
      <w:r>
        <w:t xml:space="preserve"> </w:t>
      </w:r>
      <w:r>
        <w:t xml:space="preserve">(</w:t>
      </w:r>
      <w:r>
        <w:rPr>
          <w:b/>
          <w:bCs/>
        </w:rPr>
        <w:t xml:space="preserve">eq:iteration_complexity?</w:t>
      </w:r>
      <w:r>
        <w:t xml:space="preserve">)</w:t>
      </w:r>
      <w:r>
        <w:t xml:space="preserve">)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55"/>
    <w:bookmarkEnd w:id="56"/>
    <w:bookmarkStart w:id="59" w:name="performance-analysis"/>
    <w:p>
      <w:pPr>
        <w:pStyle w:val="Heading2"/>
      </w:pPr>
      <w:r>
        <w:t xml:space="preserve">Performance Analysis</w:t>
      </w:r>
    </w:p>
    <w:bookmarkStart w:id="57"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bookmarkEnd w:id="57"/>
    <w:bookmarkStart w:id="58"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58"/>
    <w:bookmarkEnd w:id="59"/>
    <w:bookmarkStart w:id="62" w:name="algorithm-characteristics"/>
    <w:p>
      <w:pPr>
        <w:pStyle w:val="Heading2"/>
      </w:pPr>
      <w:r>
        <w:t xml:space="preserve">Algorithm Characteristics</w:t>
      </w:r>
    </w:p>
    <w:bookmarkStart w:id="60" w:name="strengths"/>
    <w:p>
      <w:pPr>
        <w:pStyle w:val="Heading3"/>
      </w:pPr>
      <w:r>
        <w:t xml:space="preserve">Strengths</w:t>
      </w:r>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bookmarkEnd w:id="60"/>
    <w:bookmarkStart w:id="61" w:name="limitations"/>
    <w:p>
      <w:pPr>
        <w:pStyle w:val="Heading3"/>
      </w:pPr>
      <w:r>
        <w:t xml:space="preserve">Limitations</w:t>
      </w:r>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bookmarkEnd w:id="61"/>
    <w:bookmarkEnd w:id="62"/>
    <w:bookmarkStart w:id="70" w:name="computational-performance"/>
    <w:p>
      <w:pPr>
        <w:pStyle w:val="Heading2"/>
      </w:pPr>
      <w:r>
        <w:t xml:space="preserve">Computational Performance</w:t>
      </w:r>
    </w:p>
    <w:bookmarkStart w:id="64" w:name="algorithm-complexity-visualization"/>
    <w:p>
      <w:pPr>
        <w:pStyle w:val="Heading3"/>
      </w:pPr>
      <w:r>
        <w:t xml:space="preserve">Algorithm Complexity Visualization</w:t>
      </w:r>
    </w:p>
    <w:p>
      <w:pPr>
        <w:pStyle w:val="FirstParagraph"/>
      </w:pPr>
      <w:r>
        <w:t xml:space="preserve">(</w:t>
      </w:r>
      <w:r>
        <w:rPr>
          <w:b/>
          <w:bCs/>
        </w:rPr>
        <w:t xml:space="preserve">fig:complexity?</w:t>
      </w:r>
      <w:r>
        <w:t xml:space="preserve">)</w:t>
      </w:r>
      <w:r>
        <w:t xml:space="preserve"> </w:t>
      </w:r>
      <w:r>
        <w:t xml:space="preserve">provides a visualization of the algorithm’s computational characteristics, including time and space complexity analysis across different problem scales.</w:t>
      </w:r>
    </w:p>
    <w:bookmarkStart w:id="63" w:name="fig:complexity"/>
    <w:tbl>
      <w:tblPr>
        <w:tblStyle w:val="FigureTable"/>
        <w:tblW w:type="auto" w:w="0"/>
        <w:jc w:val="center"/>
        <w:tblLook w:firstRow="0" w:lastRow="0" w:firstColumn="0" w:lastColumn="0"/>
      </w:tblPr>
      <w:tblGrid>
        <w:gridCol w:w="7920"/>
      </w:tblGrid>
      <w:tr>
        <w:tc>
          <w:tcPr/>
          <w:p>
            <w:pPr>
              <w:pStyle w:val="Compact"/>
              <w:jc w:val="center"/>
            </w:pPr>
            <w:r>
              <w:t xml:space="preserve">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w:t>
            </w:r>
            <w:r>
              <w:t xml:space="preserve">(</w:t>
            </w:r>
            <w:r>
              <w:rPr>
                <w:b/>
                <w:bCs/>
              </w:rPr>
              <w:t xml:space="preserve">eq:scalar_linear_update?</w:t>
            </w:r>
            <w:r>
              <w:t xml:space="preserve">)</w:t>
            </w:r>
            <w:r>
              <w:t xml:space="preserve">); the dashed reference at</w:t>
            </w:r>
            <w:r>
              <w:t xml:space="preserve"> </w:t>
            </w:r>
            <m:oMath>
              <m:r>
                <m:t>ρ</m:t>
              </m:r>
              <m:r>
                <m:rPr>
                  <m:sty m:val="p"/>
                </m:rPr>
                <m:t>=</m:t>
              </m:r>
              <m:r>
                <m:t>1</m:t>
              </m:r>
            </m:oMath>
            <w:r>
              <w:t xml:space="preserve"> </w:t>
            </w:r>
            <w:r>
              <w:t xml:space="preserve">separates stable bars (left of it) from divergent ones (right).</w:t>
            </w:r>
          </w:p>
        </w:tc>
      </w:tr>
    </w:tbl>
    <w:p>
      <w:pPr>
        <w:pStyle w:val="ImageCaption"/>
      </w:pPr>
      <w:r>
        <w:t xml:space="preserve">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w:t>
      </w:r>
      <w:r>
        <w:t xml:space="preserve">(</w:t>
      </w:r>
      <w:r>
        <w:rPr>
          <w:b/>
          <w:bCs/>
        </w:rPr>
        <w:t xml:space="preserve">eq:scalar_linear_update?</w:t>
      </w:r>
      <w:r>
        <w:t xml:space="preserve">)</w:t>
      </w:r>
      <w:r>
        <w:t xml:space="preserve">); the dashed reference at</w:t>
      </w:r>
      <w:r>
        <w:t xml:space="preserve"> </w:t>
      </w:r>
      <m:oMath>
        <m:r>
          <m:t>ρ</m:t>
        </m:r>
        <m:r>
          <m:rPr>
            <m:sty m:val="p"/>
          </m:rPr>
          <m:t>=</m:t>
        </m:r>
        <m:r>
          <m:t>1</m:t>
        </m:r>
      </m:oMath>
      <w:r>
        <w:t xml:space="preserve"> </w:t>
      </w:r>
      <w:r>
        <w:t xml:space="preserve">separates stable bars (left of it) from divergent ones (right).</w:t>
      </w:r>
    </w:p>
    <w:bookmarkEnd w:id="63"/>
    <w:p>
      <w:pPr>
        <w:pStyle w:val="BodyText"/>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372 iterations</w:t>
      </w:r>
    </w:p>
    <w:p>
      <w:pPr>
        <w:pStyle w:val="Compact"/>
        <w:numPr>
          <w:ilvl w:val="0"/>
          <w:numId w:val="1016"/>
        </w:numPr>
      </w:pPr>
      <w:r>
        <w:rPr>
          <w:b/>
          <w:bCs/>
        </w:rPr>
        <w:t xml:space="preserve">Scalability</w:t>
      </w:r>
      <w:r>
        <w:t xml:space="preserve">: Memory-efficient implementation suitable for high-dimensional problems</w:t>
      </w:r>
    </w:p>
    <w:bookmarkEnd w:id="64"/>
    <w:bookmarkStart w:id="66" w:name="performance-benchmarking-1"/>
    <w:p>
      <w:pPr>
        <w:pStyle w:val="Heading3"/>
      </w:pPr>
      <w:r>
        <w:t xml:space="preserve">Performance Benchmarking</w:t>
      </w:r>
    </w:p>
    <w:p>
      <w:pPr>
        <w:pStyle w:val="FirstParagraph"/>
      </w:pPr>
      <w:r>
        <w:t xml:space="preserve">(</w:t>
      </w:r>
      <w:r>
        <w:rPr>
          <w:b/>
          <w:bCs/>
        </w:rPr>
        <w:t xml:space="preserve">fig:benchmark?</w:t>
      </w:r>
      <w:r>
        <w:t xml:space="preserve">)</w:t>
      </w:r>
      <w:r>
        <w:t xml:space="preserve"> </w:t>
      </w:r>
      <w:r>
        <w:t xml:space="preserve">shows how</w:t>
      </w:r>
      <w:r>
        <w:t xml:space="preserve"> </w:t>
      </w:r>
      <w:r>
        <w:rPr>
          <w:rStyle w:val="VerbatimChar"/>
        </w:rPr>
        <w:t xml:space="preserve">gradient_descent()</w:t>
      </w:r>
      <w:r>
        <w:t xml:space="preserve"> </w:t>
      </w:r>
      <w:r>
        <w:t xml:space="preserve">scales with problem dimension by running the optimizer 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65" w:name="fig:benchmark"/>
    <w:tbl>
      <w:tblPr>
        <w:tblStyle w:val="FigureTable"/>
        <w:tblW w:type="auto" w:w="0"/>
        <w:jc w:val="center"/>
        <w:tblLook w:firstRow="0" w:lastRow="0" w:firstColumn="0" w:lastColumn="0"/>
      </w:tblPr>
      <w:tblGrid>
        <w:gridCol w:w="7920"/>
      </w:tblGrid>
      <w:tr>
        <w:tc>
          <w:tcPr/>
          <w:p>
            <w:pPr>
              <w:pStyle w:val="Compact"/>
              <w:jc w:val="center"/>
            </w:pPr>
            <w:r>
              <w:t xml:space="preserve">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tc>
      </w:tr>
    </w:tbl>
    <w:p>
      <w:pPr>
        <w:pStyle w:val="ImageCaption"/>
      </w:pPr>
      <w:r>
        <w:t xml:space="preserve">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bookmarkEnd w:id="65"/>
    <w:bookmarkEnd w:id="66"/>
    <w:bookmarkStart w:id="68" w:name="numerical-stability-analysis-1"/>
    <w:p>
      <w:pPr>
        <w:pStyle w:val="Heading3"/>
      </w:pPr>
      <w:r>
        <w:t xml:space="preserve">Numerical Stability Analysis</w:t>
      </w:r>
    </w:p>
    <w:p>
      <w:pPr>
        <w:pStyle w:val="FirstParagraph"/>
      </w:pPr>
      <w:r>
        <w:t xml:space="preserve">(</w:t>
      </w:r>
      <w:r>
        <w:rPr>
          <w:b/>
          <w:bCs/>
        </w:rPr>
        <w:t xml:space="preserve">fig:stability?</w:t>
      </w:r>
      <w:r>
        <w:t xml:space="preserve">)</w:t>
      </w:r>
      <w:r>
        <w:t xml:space="preserve"> </w:t>
      </w:r>
      <w:r>
        <w:t xml:space="preserve">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67" w:name="fig:stability"/>
    <w:tbl>
      <w:tblPr>
        <w:tblStyle w:val="FigureTable"/>
        <w:tblW w:type="auto" w:w="0"/>
        <w:jc w:val="center"/>
        <w:tblLook w:firstRow="0" w:lastRow="0" w:firstColumn="0" w:lastColumn="0"/>
      </w:tblPr>
      <w:tblGrid>
        <w:gridCol w:w="7920"/>
      </w:tblGrid>
      <w:tr>
        <w:tc>
          <w:tcPr/>
          <w:p>
            <w:pPr>
              <w:pStyle w:val="Compact"/>
              <w:jc w:val="center"/>
            </w:pPr>
            <w:r>
              <w:t xml:space="preserve">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tc>
      </w:tr>
    </w:tbl>
    <w:p>
      <w:pPr>
        <w:pStyle w:val="ImageCaption"/>
      </w:pPr>
      <w:r>
        <w:t xml:space="preserve">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67"/>
    <w:bookmarkEnd w:id="68"/>
    <w:bookmarkStart w:id="69"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w:t>
      </w:r>
      <w:r>
        <w:t xml:space="preserve"> </w:t>
      </w:r>
      <w:r>
        <w:t xml:space="preserve">(</w:t>
      </w:r>
      <w:r>
        <w:rPr>
          <w:b/>
          <w:bCs/>
        </w:rPr>
        <w:t xml:space="preserve">tbl:opt_results?</w:t>
      </w:r>
      <w:r>
        <w:t xml:space="preserve">)</w:t>
      </w:r>
      <w:r>
        <w:t xml:space="preserve">: 372</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69"/>
    <w:bookmarkEnd w:id="70"/>
    <w:bookmarkStart w:id="71"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71"/>
    <w:bookmarkStart w:id="72"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w:t>
      </w:r>
      <w:r>
        <w:t xml:space="preserve"> </w:t>
      </w:r>
      <w:r>
        <w:t xml:space="preserve">(</w:t>
      </w:r>
      <w:r>
        <w:rPr>
          <w:b/>
          <w:bCs/>
        </w:rPr>
        <w:t xml:space="preserve">sec:methodology?</w:t>
      </w:r>
      <w:r>
        <w:t xml:space="preserve">)</w:t>
      </w:r>
      <w:r>
        <w:t xml:space="preserve">. The monotonic relationship between step size and iteration count (</w:t>
      </w:r>
      <w:r>
        <w:t xml:space="preserve">(</w:t>
      </w:r>
      <w:r>
        <w:rPr>
          <w:b/>
          <w:bCs/>
        </w:rPr>
        <w:t xml:space="preserve">tbl:opt_results?</w:t>
      </w:r>
      <w:r>
        <w:t xml:space="preserve">)</w:t>
      </w:r>
      <w:r>
        <w:t xml:space="preserve">) aligns with the convergence factor analysis in</w:t>
      </w:r>
      <w:r>
        <w:t xml:space="preserve"> </w:t>
      </w:r>
      <w:r>
        <w:t xml:space="preserve">(</w:t>
      </w:r>
      <w:r>
        <w:rPr>
          <w:b/>
          <w:bCs/>
        </w:rPr>
        <w:t xml:space="preserve">eq:convergence_factor?</w:t>
      </w:r>
      <w:r>
        <w:t xml:space="preserve">)</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w:t>
      </w:r>
      <w:r>
        <w:rPr>
          <w:i/>
          <w:iCs/>
        </w:rPr>
        <w:t xml:space="preserve"> </w:t>
      </w:r>
      <w:r>
        <w:rPr>
          <w:i/>
          <w:iCs/>
        </w:rPr>
        <w:t xml:space="preserve">(</w:t>
      </w:r>
      <w:r>
        <w:rPr>
          <w:b/>
          <w:bCs/>
          <w:i/>
          <w:iCs/>
        </w:rPr>
        <w:t xml:space="preserve">fig:stability?</w:t>
      </w:r>
      <w:r>
        <w:rPr>
          <w:i/>
          <w:iCs/>
        </w:rPr>
        <w:t xml:space="preserve">)</w:t>
      </w:r>
      <w:r>
        <w:rPr>
          <w:i/>
          <w:iCs/>
        </w:rPr>
        <w:t xml:space="preserve">),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72"/>
    <w:bookmarkEnd w:id="73"/>
    <w:bookmarkStart w:id="82"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74"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74"/>
    <w:bookmarkStart w:id="77" w:name="technical-contributions"/>
    <w:p>
      <w:pPr>
        <w:pStyle w:val="Heading2"/>
      </w:pPr>
      <w:r>
        <w:t xml:space="preserve">Technical Contributions</w:t>
      </w:r>
    </w:p>
    <w:bookmarkStart w:id="75"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bookmarkEnd w:id="75"/>
    <w:bookmarkStart w:id="76" w:name="infrastructure-backed-capabilities"/>
    <w:p>
      <w:pPr>
        <w:pStyle w:val="Heading3"/>
      </w:pPr>
      <w:r>
        <w:t xml:space="preserve">Infrastructure-Backed Capabilities</w:t>
      </w:r>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bookmarkEnd w:id="76"/>
    <w:bookmarkEnd w:id="77"/>
    <w:bookmarkStart w:id="78"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bookmarkEnd w:id="78"/>
    <w:bookmarkStart w:id="79" w:name="key-insights"/>
    <w:p>
      <w:pPr>
        <w:pStyle w:val="Heading2"/>
      </w:pPr>
      <w:r>
        <w:t xml:space="preserve">Key Insights</w:t>
      </w:r>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bookmarkEnd w:id="79"/>
    <w:bookmarkStart w:id="80" w:name="future-extensions"/>
    <w:p>
      <w:pPr>
        <w:pStyle w:val="Heading2"/>
      </w:pPr>
      <w:r>
        <w:t xml:space="preserve">Future Extensions</w:t>
      </w:r>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80"/>
    <w:bookmarkStart w:id="81"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w:t>
      </w:r>
      <w:r>
        <w:t xml:space="preserve"> </w:t>
      </w:r>
      <w:r>
        <w:t xml:space="preserve">(</w:t>
      </w:r>
      <w:r>
        <w:rPr>
          <w:b/>
          <w:bCs/>
        </w:rPr>
        <w:t xml:space="preserve">sec:results?</w:t>
      </w:r>
      <w:r>
        <w:t xml:space="preserve">)</w:t>
      </w:r>
      <w:r>
        <w:t xml:space="preserve">,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81"/>
    <w:bookmarkEnd w:id="82"/>
    <w:bookmarkStart w:id="90"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83" w:name="problem-definition"/>
    <w:p>
      <w:pPr>
        <w:pStyle w:val="Heading2"/>
      </w:pPr>
      <w:r>
        <w:t xml:space="preserve">Problem Definition</w:t>
      </w:r>
    </w:p>
    <w:p>
      <w:pPr>
        <w:pStyle w:val="FirstParagraph"/>
      </w:pPr>
      <w:r>
        <w:t xml:space="preserve">The optimization target is the quadratic objective function defined in</w:t>
      </w:r>
      <w:r>
        <w:t xml:space="preserve"> </w:t>
      </w:r>
      <w:r>
        <w:t xml:space="preserve">(</w:t>
      </w:r>
      <w:r>
        <w:rPr>
          <w:b/>
          <w:bCs/>
        </w:rPr>
        <w:t xml:space="preserve">eq:quadratic_objective?</w:t>
      </w:r>
      <w:r>
        <w:t xml:space="preser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83"/>
    <w:bookmarkStart w:id="84"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84"/>
    <w:bookmarkStart w:id="85"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85"/>
    <w:bookmarkStart w:id="86"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Representative single-call execution time from the last benchmark run:</w:t>
      </w:r>
      <w:r>
        <w:t xml:space="preserve"> </w:t>
      </w:r>
      <w:r>
        <w:rPr>
          <w:b/>
          <w:bCs/>
        </w:rPr>
        <w:t xml:space="preserve">1.8 μs</w:t>
      </w:r>
      <w:r>
        <w:t xml:space="preserve"> </w:t>
      </w:r>
      <w:r>
        <w:t xml:space="preserve">(recorded in</w:t>
      </w:r>
      <w:r>
        <w:t xml:space="preserve"> </w:t>
      </w:r>
      <w:r>
        <w:rPr>
          <w:rStyle w:val="VerbatimChar"/>
        </w:rPr>
        <w:t xml:space="preserve">output/reports/performance_benchmark.json</w:t>
      </w:r>
      <w:r>
        <w:t xml:space="preserve">).</w:t>
      </w:r>
    </w:p>
    <w:bookmarkEnd w:id="86"/>
    <w:bookmarkStart w:id="87" w:name="computational-environment"/>
    <w:p>
      <w:pPr>
        <w:pStyle w:val="Heading2"/>
      </w:pPr>
      <w:r>
        <w:t xml:space="preserve">Computational Environment</w:t>
      </w:r>
    </w:p>
    <w:p>
      <w:pPr>
        <w:pStyle w:val="Compact"/>
        <w:numPr>
          <w:ilvl w:val="0"/>
          <w:numId w:val="1027"/>
        </w:numPr>
      </w:pPr>
      <w:r>
        <w:rPr>
          <w:b/>
          <w:bCs/>
        </w:rPr>
        <w:t xml:space="preserve">Python</w:t>
      </w:r>
      <w:r>
        <w:t xml:space="preserve">: 3.12.13</w:t>
      </w:r>
    </w:p>
    <w:p>
      <w:pPr>
        <w:pStyle w:val="Compact"/>
        <w:numPr>
          <w:ilvl w:val="0"/>
          <w:numId w:val="1027"/>
        </w:numPr>
      </w:pPr>
      <w:r>
        <w:rPr>
          <w:b/>
          <w:bCs/>
        </w:rPr>
        <w:t xml:space="preserve">NumPy</w:t>
      </w:r>
      <w:r>
        <w:t xml:space="preserve">: 2.4.1</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2026-06-07T04:20:32Z</w:t>
      </w:r>
    </w:p>
    <w:bookmarkEnd w:id="87"/>
    <w:bookmarkStart w:id="88"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scripts/02_run_analysis.py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88"/>
    <w:bookmarkStart w:id="89"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w:t>
            </w:r>
            <w:r>
              <w:t xml:space="preserve">(</w:t>
            </w:r>
            <w:r>
              <w:rPr>
                <w:b/>
                <w:bCs/>
              </w:rPr>
              <w:t xml:space="preserve">sec:results?</w:t>
            </w:r>
            <w:r>
              <w:t xml:space="preserve">)</w:t>
            </w:r>
            <w:r>
              <w:t xml:space="preserve">)</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89"/>
    <w:bookmarkEnd w:id="90"/>
    <w:bookmarkStart w:id="97"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91"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4b048fd838bc337c</w:t>
            </w:r>
          </w:p>
        </w:tc>
      </w:tr>
      <w:tr>
        <w:tc>
          <w:tcPr/>
          <w:p>
            <w:pPr>
              <w:pStyle w:val="Compact"/>
            </w:pPr>
            <w:r>
              <w:t xml:space="preserve">Paper version</w:t>
            </w:r>
          </w:p>
        </w:tc>
        <w:tc>
          <w:tcPr/>
          <w:p>
            <w:pPr>
              <w:pStyle w:val="Compact"/>
            </w:pPr>
            <w:r>
              <w:t xml:space="preserve">2.5.0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91"/>
    <w:bookmarkStart w:id="92"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5</w:t>
            </w:r>
          </w:p>
        </w:tc>
      </w:tr>
      <w:tr>
        <w:tc>
          <w:tcPr/>
          <w:p>
            <w:pPr>
              <w:pStyle w:val="Compact"/>
            </w:pPr>
            <w:r>
              <w:t xml:space="preserve">Analysis reports</w:t>
            </w:r>
          </w:p>
        </w:tc>
        <w:tc>
          <w:tcPr/>
          <w:p>
            <w:pPr>
              <w:pStyle w:val="Compact"/>
            </w:pPr>
            <w:r>
              <w:t xml:space="preserve">8</w:t>
            </w:r>
          </w:p>
        </w:tc>
      </w:tr>
      <w:tr>
        <w:tc>
          <w:tcPr/>
          <w:p>
            <w:pPr>
              <w:pStyle w:val="Compact"/>
            </w:pPr>
            <w:r>
              <w:rPr>
                <w:b/>
                <w:bCs/>
              </w:rPr>
              <w:t xml:space="preserve">Total artifacts</w:t>
            </w:r>
          </w:p>
        </w:tc>
        <w:tc>
          <w:tcPr/>
          <w:p>
            <w:pPr>
              <w:pStyle w:val="Compact"/>
            </w:pPr>
            <w:r>
              <w:rPr>
                <w:b/>
                <w:bCs/>
              </w:rPr>
              <w:t xml:space="preserve">20</w:t>
            </w:r>
          </w:p>
        </w:tc>
      </w:tr>
    </w:tbl>
    <w:bookmarkEnd w:id="92"/>
    <w:bookmarkStart w:id="95" w:name="numerical-validation-summary"/>
    <w:p>
      <w:pPr>
        <w:pStyle w:val="Heading2"/>
      </w:pPr>
      <w:r>
        <w:t xml:space="preserve">Numerical Validation Summary</w:t>
      </w:r>
    </w:p>
    <w:bookmarkStart w:id="93"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372</w:t>
      </w:r>
    </w:p>
    <w:bookmarkEnd w:id="93"/>
    <w:bookmarkStart w:id="94"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94"/>
    <w:bookmarkEnd w:id="95"/>
    <w:bookmarkStart w:id="96"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96"/>
    <w:bookmarkEnd w:id="97"/>
    <w:bookmarkStart w:id="102"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98"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w:t>
      </w:r>
      <w:r>
        <w:t xml:space="preserve">(</w:t>
      </w:r>
      <w:r>
        <w:rPr>
          <w:b/>
          <w:bCs/>
        </w:rPr>
        <w:t xml:space="preserve">sec:results?</w:t>
      </w:r>
      <w:r>
        <w:t xml:space="preserve">)</w:t>
      </w:r>
      <w:r>
        <w:t xml:space="preserve">,</w:t>
      </w:r>
      <w:r>
        <w:t xml:space="preserve"> </w:t>
      </w:r>
      <w:r>
        <w:t xml:space="preserve">(</w:t>
      </w:r>
      <w:r>
        <w:rPr>
          <w:b/>
          <w:bCs/>
        </w:rPr>
        <w:t xml:space="preserve">eq:scalar_linear_update?</w:t>
      </w:r>
      <w:r>
        <w:t xml:space="preserve">)</w:t>
      </w:r>
      <w:r>
        <w:t xml:space="preserve">).</w:t>
      </w:r>
    </w:p>
    <w:bookmarkEnd w:id="98"/>
    <w:bookmarkStart w:id="99"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99"/>
    <w:bookmarkStart w:id="100" w:name="X3bc48e80992a743b1055962b61fae9f317fec48"/>
    <w:p>
      <w:pPr>
        <w:pStyle w:val="Heading2"/>
      </w:pPr>
      <w:r>
        <w:t xml:space="preserve">What this project proves about the template</w:t>
      </w:r>
    </w:p>
    <w:p>
      <w:pPr>
        <w:pStyle w:val="FirstParagraph"/>
      </w:pPr>
      <w:r>
        <w:t xml:space="preserve">The scientific claims through</w:t>
      </w:r>
      <w:r>
        <w:t xml:space="preserve"> </w:t>
      </w:r>
      <w:r>
        <w:t xml:space="preserve">(</w:t>
      </w:r>
      <w:r>
        <w:rPr>
          <w:b/>
          <w:bCs/>
        </w:rPr>
        <w:t xml:space="preserve">sec:introduction?</w:t>
      </w:r>
      <w:r>
        <w:t xml:space="preserve">)</w:t>
      </w:r>
      <w:r>
        <w:t xml:space="preserve">,</w:t>
      </w:r>
      <w:r>
        <w:t xml:space="preserve"> </w:t>
      </w:r>
      <w:r>
        <w:t xml:space="preserve">(</w:t>
      </w:r>
      <w:r>
        <w:rPr>
          <w:b/>
          <w:bCs/>
        </w:rPr>
        <w:t xml:space="preserve">sec:methodology?</w:t>
      </w:r>
      <w:r>
        <w:t xml:space="preserve">)</w:t>
      </w:r>
      <w:r>
        <w:t xml:space="preserve">, and</w:t>
      </w:r>
      <w:r>
        <w:t xml:space="preserve"> </w:t>
      </w:r>
      <w:r>
        <w:t xml:space="preserve">(</w:t>
      </w:r>
      <w:r>
        <w:rPr>
          <w:b/>
          <w:bCs/>
        </w:rPr>
        <w:t xml:space="preserve">sec:results?</w:t>
      </w:r>
      <w:r>
        <w:t xml:space="preserve">)</w:t>
      </w:r>
      <w:r>
        <w:t xml:space="preserve"> </w:t>
      </w:r>
      <w:r>
        <w:t xml:space="preserve">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100"/>
    <w:bookmarkStart w:id="101" w:name="explicit-limitations"/>
    <w:p>
      <w:pPr>
        <w:pStyle w:val="Heading2"/>
      </w:pPr>
      <w:r>
        <w:t xml:space="preserve">Explicit limitations</w:t>
      </w:r>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01"/>
    <w:bookmarkEnd w:id="102"/>
    <w:bookmarkStart w:id="120" w:name="sec:references"/>
    <w:p>
      <w:pPr>
        <w:pStyle w:val="Heading1"/>
      </w:pPr>
      <w:r>
        <w:t xml:space="preserve">References</w:t>
      </w:r>
    </w:p>
    <w:p>
      <w:pPr>
        <w:pStyle w:val="FirstParagraph"/>
      </w:pPr>
      <w:r>
        <w:t xml:space="preserve">Bibliography lives in</w:t>
      </w:r>
      <w:r>
        <w:t xml:space="preserve"> </w:t>
      </w:r>
      <w:hyperlink r:id="rId103">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pPr>
        <w:pStyle w:val="FirstParagraph"/>
      </w:pPr>
      <w:r>
        <w:rPr>
          <w:b/>
          <w:bCs/>
        </w:rPr>
        <w:t xml:space="preserve">Release:</w:t>
      </w:r>
      <w:r>
        <w:t xml:space="preserve"> </w:t>
      </w:r>
      <w:r>
        <w:t xml:space="preserve">v2.5.0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tbl>
      <w:tblPr>
        <w:tblStyle w:val="FigureTable"/>
        <w:tblW w:type="auto" w:w="0"/>
        <w:jc w:val="center"/>
        <w:tblLook w:firstRow="0" w:lastRow="0" w:firstColumn="0" w:lastColumn="0"/>
      </w:tblPr>
      <w:tblGrid>
        <w:gridCol w:w="7920"/>
      </w:tblGrid>
      <w:tr>
        <w:tc>
          <w:tcPr/>
          <w:p>
            <w:pPr>
              <w:pStyle w:val="Compact"/>
              <w:jc w:val="center"/>
            </w:pPr>
            <w:r>
              <w:t xml:space="preserve">Integrity QR strip</w:t>
            </w:r>
          </w:p>
        </w:tc>
      </w:tr>
    </w:tbl>
    <w:p>
      <w:pPr>
        <w:pStyle w:val="ImageCaption"/>
      </w:pPr>
      <w:r>
        <w:t xml:space="preserve">Integrity QR strip</w:t>
      </w:r>
    </w:p>
    <w:p>
      <w:pPr>
        <w:pStyle w:val="BodyText"/>
      </w:pPr>
      <w:r>
        <w:rPr>
          <w:b/>
          <w:bCs/>
        </w:rPr>
        <w:t xml:space="preserve">Prior:</w:t>
      </w:r>
      <w:r>
        <w:t xml:space="preserve"> </w:t>
      </w:r>
      <w:r>
        <w:rPr>
          <w:i/>
          <w:iCs/>
        </w:rPr>
        <w:t xml:space="preserve">No prior releases.</w:t>
      </w:r>
    </w:p>
    <w:bookmarkStart w:id="119" w:name="refs"/>
    <w:bookmarkStart w:id="104"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04"/>
    <w:bookmarkStart w:id="106"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05">
        <w:r>
          <w:rPr>
            <w:rStyle w:val="Hyperlink"/>
          </w:rPr>
          <w:t xml:space="preserve">https://doi.org/10.1017/CBO9780511804441</w:t>
        </w:r>
      </w:hyperlink>
      <w:r>
        <w:t xml:space="preserve">.</w:t>
      </w:r>
    </w:p>
    <w:bookmarkEnd w:id="106"/>
    <w:bookmarkStart w:id="108"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07">
        <w:r>
          <w:rPr>
            <w:rStyle w:val="Hyperlink"/>
          </w:rPr>
          <w:t xml:space="preserve">https://gallica.bnf.fr/ark:/12148/bpt6k2982c/f540</w:t>
        </w:r>
      </w:hyperlink>
      <w:r>
        <w:t xml:space="preserve">.</w:t>
      </w:r>
    </w:p>
    <w:bookmarkEnd w:id="108"/>
    <w:bookmarkStart w:id="110"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09">
        <w:r>
          <w:rPr>
            <w:rStyle w:val="Hyperlink"/>
          </w:rPr>
          <w:t xml:space="preserve">https://doi.org/10.48550/arXiv.1412.6980</w:t>
        </w:r>
      </w:hyperlink>
      <w:r>
        <w:t xml:space="preserve">.</w:t>
      </w:r>
    </w:p>
    <w:bookmarkEnd w:id="110"/>
    <w:bookmarkStart w:id="112"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11">
        <w:r>
          <w:rPr>
            <w:rStyle w:val="Hyperlink"/>
          </w:rPr>
          <w:t xml:space="preserve">https://doi.org/10.1007/s10107-012-0629-5</w:t>
        </w:r>
      </w:hyperlink>
      <w:r>
        <w:t xml:space="preserve">.</w:t>
      </w:r>
    </w:p>
    <w:bookmarkEnd w:id="112"/>
    <w:bookmarkStart w:id="114"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13">
        <w:r>
          <w:rPr>
            <w:rStyle w:val="Hyperlink"/>
          </w:rPr>
          <w:t xml:space="preserve">https://doi.org/10.1007/978-0-387-40065-5</w:t>
        </w:r>
      </w:hyperlink>
      <w:r>
        <w:t xml:space="preserve">.</w:t>
      </w:r>
    </w:p>
    <w:bookmarkEnd w:id="114"/>
    <w:bookmarkStart w:id="116"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15">
        <w:r>
          <w:rPr>
            <w:rStyle w:val="Hyperlink"/>
          </w:rPr>
          <w:t xml:space="preserve">https://doi.org/10.1126/science.1213847</w:t>
        </w:r>
      </w:hyperlink>
      <w:r>
        <w:t xml:space="preserve">.</w:t>
      </w:r>
    </w:p>
    <w:bookmarkEnd w:id="116"/>
    <w:bookmarkStart w:id="118"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17">
        <w:r>
          <w:rPr>
            <w:rStyle w:val="Hyperlink"/>
          </w:rPr>
          <w:t xml:space="preserve">https://doi.org/10.1016/0041-5553(64)90137-5</w:t>
        </w:r>
      </w:hyperlink>
      <w:r>
        <w:t xml:space="preserve">.</w:t>
      </w:r>
    </w:p>
    <w:bookmarkEnd w:id="118"/>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docs/_generated/canonical_facts.md" TargetMode="External" /><Relationship Type="http://schemas.openxmlformats.org/officeDocument/2006/relationships/hyperlink" Id="rId34" Target="../tests/test_optimizer.py" TargetMode="External" /><Relationship Type="http://schemas.openxmlformats.org/officeDocument/2006/relationships/hyperlink" Id="rId113" Target="https://doi.org/10.1007/978-0-387-40065-5" TargetMode="External" /><Relationship Type="http://schemas.openxmlformats.org/officeDocument/2006/relationships/hyperlink" Id="rId111" Target="https://doi.org/10.1007/s10107-012-0629-5" TargetMode="External" /><Relationship Type="http://schemas.openxmlformats.org/officeDocument/2006/relationships/hyperlink" Id="rId117" Target="https://doi.org/10.1016/0041-5553(64)90137-5" TargetMode="External" /><Relationship Type="http://schemas.openxmlformats.org/officeDocument/2006/relationships/hyperlink" Id="rId105" Target="https://doi.org/10.1017/CBO9780511804441" TargetMode="External" /><Relationship Type="http://schemas.openxmlformats.org/officeDocument/2006/relationships/hyperlink" Id="rId115" Target="https://doi.org/10.1126/science.1213847" TargetMode="External" /><Relationship Type="http://schemas.openxmlformats.org/officeDocument/2006/relationships/hyperlink" Id="rId109" Target="https://doi.org/10.48550/arXiv.1412.6980" TargetMode="External" /><Relationship Type="http://schemas.openxmlformats.org/officeDocument/2006/relationships/hyperlink" Id="rId107" Target="https://gallica.bnf.fr/ark:/12148/bpt6k2982c/f540" TargetMode="External" /><Relationship Type="http://schemas.openxmlformats.org/officeDocument/2006/relationships/hyperlink" Id="rId10" Target="https://github.com/docxology/template" TargetMode="External" /><Relationship Type="http://schemas.openxmlformats.org/officeDocument/2006/relationships/hyperlink" Id="rId13" Target="https://github.com/docxology/template/blob/main/.github/workflows/ci.yml" TargetMode="External" /><Relationship Type="http://schemas.openxmlformats.org/officeDocument/2006/relationships/hyperlink" Id="rId40" Target="https://github.com/docxology/template/blob/main/infrastructure/core/progress.py" TargetMode="External" /><Relationship Type="http://schemas.openxmlformats.org/officeDocument/2006/relationships/hyperlink" Id="rId48" Target="https://github.com/docxology/template/blob/main/infrastructure/reporting/executive_reporter.py" TargetMode="External" /><Relationship Type="http://schemas.openxmlformats.org/officeDocument/2006/relationships/hyperlink" Id="rId29" Target="https://github.com/docxology/template/blob/main/infrastructure/scientific/benchmarking.py" TargetMode="External" /><Relationship Type="http://schemas.openxmlformats.org/officeDocument/2006/relationships/hyperlink" Id="rId49" Target="https://github.com/docxology/template/blob/main/projects/templates/template_code_project/output/data/optimization_results.csv" TargetMode="External" /><Relationship Type="http://schemas.openxmlformats.org/officeDocument/2006/relationships/hyperlink" Id="rId22" Target="https://github.com/docxology/template/blob/main/projects/templates/template_code_project/scripts/optimization_analysis.py" TargetMode="External" /><Relationship Type="http://schemas.openxmlformats.org/officeDocument/2006/relationships/hyperlink" Id="rId14" Target="https://github.com/docxology/template/blob/main/projects/templates/template_code_project/src/optimizer.py" TargetMode="External" /><Relationship Type="http://schemas.openxmlformats.org/officeDocument/2006/relationships/hyperlink" Id="rId24" Target="https://github.com/docxology/template/blob/main/projects/templates/template_code_project/src/optimizer.py#L87-L173" TargetMode="External" /><Relationship Type="http://schemas.openxmlformats.org/officeDocument/2006/relationships/hyperlink" Id="rId23" Target="https://github.com/docxology/template/blob/main/projects/templates/template_code_project/tests/conftest.py" TargetMode="External" /><Relationship Type="http://schemas.openxmlformats.org/officeDocument/2006/relationships/hyperlink" Id="rId11" Target="https://github.com/docxology/template/blob/main/projects/templates/template_code_project/tests/test_optimizer.py" TargetMode="External" /><Relationship Type="http://schemas.openxmlformats.org/officeDocument/2006/relationships/hyperlink" Id="rId27" Target="https://github.com/docxology/template/blob/main/scripts/02_run_analysis.py" TargetMode="External" /><Relationship Type="http://schemas.openxmlformats.org/officeDocument/2006/relationships/hyperlink" Id="rId9" Target="https://zenodo.org/records/20417136" TargetMode="External" /><Relationship Type="http://schemas.openxmlformats.org/officeDocument/2006/relationships/hyperlink" Id="rId103"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35" Target="../../../../docs/_generated/canonical_facts.md" TargetMode="External" /><Relationship Type="http://schemas.openxmlformats.org/officeDocument/2006/relationships/hyperlink" Id="rId34" Target="../tests/test_optimizer.py" TargetMode="External" /><Relationship Type="http://schemas.openxmlformats.org/officeDocument/2006/relationships/hyperlink" Id="rId113" Target="https://doi.org/10.1007/978-0-387-40065-5" TargetMode="External" /><Relationship Type="http://schemas.openxmlformats.org/officeDocument/2006/relationships/hyperlink" Id="rId111" Target="https://doi.org/10.1007/s10107-012-0629-5" TargetMode="External" /><Relationship Type="http://schemas.openxmlformats.org/officeDocument/2006/relationships/hyperlink" Id="rId117" Target="https://doi.org/10.1016/0041-5553(64)90137-5" TargetMode="External" /><Relationship Type="http://schemas.openxmlformats.org/officeDocument/2006/relationships/hyperlink" Id="rId105" Target="https://doi.org/10.1017/CBO9780511804441" TargetMode="External" /><Relationship Type="http://schemas.openxmlformats.org/officeDocument/2006/relationships/hyperlink" Id="rId115" Target="https://doi.org/10.1126/science.1213847" TargetMode="External" /><Relationship Type="http://schemas.openxmlformats.org/officeDocument/2006/relationships/hyperlink" Id="rId109" Target="https://doi.org/10.48550/arXiv.1412.6980" TargetMode="External" /><Relationship Type="http://schemas.openxmlformats.org/officeDocument/2006/relationships/hyperlink" Id="rId107" Target="https://gallica.bnf.fr/ark:/12148/bpt6k2982c/f540" TargetMode="External" /><Relationship Type="http://schemas.openxmlformats.org/officeDocument/2006/relationships/hyperlink" Id="rId10" Target="https://github.com/docxology/template" TargetMode="External" /><Relationship Type="http://schemas.openxmlformats.org/officeDocument/2006/relationships/hyperlink" Id="rId13" Target="https://github.com/docxology/template/blob/main/.github/workflows/ci.yml" TargetMode="External" /><Relationship Type="http://schemas.openxmlformats.org/officeDocument/2006/relationships/hyperlink" Id="rId40" Target="https://github.com/docxology/template/blob/main/infrastructure/core/progress.py" TargetMode="External" /><Relationship Type="http://schemas.openxmlformats.org/officeDocument/2006/relationships/hyperlink" Id="rId48" Target="https://github.com/docxology/template/blob/main/infrastructure/reporting/executive_reporter.py" TargetMode="External" /><Relationship Type="http://schemas.openxmlformats.org/officeDocument/2006/relationships/hyperlink" Id="rId29" Target="https://github.com/docxology/template/blob/main/infrastructure/scientific/benchmarking.py" TargetMode="External" /><Relationship Type="http://schemas.openxmlformats.org/officeDocument/2006/relationships/hyperlink" Id="rId49" Target="https://github.com/docxology/template/blob/main/projects/templates/template_code_project/output/data/optimization_results.csv" TargetMode="External" /><Relationship Type="http://schemas.openxmlformats.org/officeDocument/2006/relationships/hyperlink" Id="rId22" Target="https://github.com/docxology/template/blob/main/projects/templates/template_code_project/scripts/optimization_analysis.py" TargetMode="External" /><Relationship Type="http://schemas.openxmlformats.org/officeDocument/2006/relationships/hyperlink" Id="rId14" Target="https://github.com/docxology/template/blob/main/projects/templates/template_code_project/src/optimizer.py" TargetMode="External" /><Relationship Type="http://schemas.openxmlformats.org/officeDocument/2006/relationships/hyperlink" Id="rId24" Target="https://github.com/docxology/template/blob/main/projects/templates/template_code_project/src/optimizer.py#L87-L173" TargetMode="External" /><Relationship Type="http://schemas.openxmlformats.org/officeDocument/2006/relationships/hyperlink" Id="rId23" Target="https://github.com/docxology/template/blob/main/projects/templates/template_code_project/tests/conftest.py" TargetMode="External" /><Relationship Type="http://schemas.openxmlformats.org/officeDocument/2006/relationships/hyperlink" Id="rId11" Target="https://github.com/docxology/template/blob/main/projects/templates/template_code_project/tests/test_optimizer.py" TargetMode="External" /><Relationship Type="http://schemas.openxmlformats.org/officeDocument/2006/relationships/hyperlink" Id="rId27" Target="https://github.com/docxology/template/blob/main/scripts/02_run_analysis.py" TargetMode="External" /><Relationship Type="http://schemas.openxmlformats.org/officeDocument/2006/relationships/hyperlink" Id="rId9" Target="https://zenodo.org/records/20417136" TargetMode="External" /><Relationship Type="http://schemas.openxmlformats.org/officeDocument/2006/relationships/hyperlink" Id="rId103"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2026-06-07T04:21:11Z</dcterms:created>
  <dcterms:modified xsi:type="dcterms:W3CDTF">2026-06-07T04:21:11Z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/Users/4d/Documents/GitHub/template/projects/templates/template_code_project/output/manuscript/references.bib</vt:lpwstr>
  </property>
</Properties>
</file>