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B62D53">
      <w:pPr>
        <w:ind w:hanging="90"/>
      </w:pPr>
    </w:p>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Pr="00BA3284" w:rsidRDefault="00CE7A18" w:rsidP="00CE7A18">
      <w:pPr>
        <w:numPr>
          <w:ilvl w:val="0"/>
          <w:numId w:val="9"/>
        </w:numPr>
        <w:pBdr>
          <w:top w:val="nil"/>
          <w:left w:val="nil"/>
          <w:bottom w:val="nil"/>
          <w:right w:val="nil"/>
          <w:between w:val="nil"/>
        </w:pBdr>
        <w:ind w:hanging="450"/>
      </w:pPr>
      <w:r w:rsidRPr="00BA3284">
        <w:rPr>
          <w:color w:val="000000"/>
        </w:rPr>
        <w:t>Recommended North American Industry Classif</w:t>
      </w:r>
      <w:r w:rsidRPr="00BA3284">
        <w:t>ication System</w:t>
      </w:r>
      <w:r w:rsidRPr="00BA3284">
        <w:rPr>
          <w:color w:val="000000"/>
        </w:rPr>
        <w:t xml:space="preserve"> Code &amp; Produc</w:t>
      </w:r>
      <w:r w:rsidRPr="00BA3284">
        <w:t>t Service Code</w:t>
      </w:r>
      <w:r w:rsidRPr="00BA3284">
        <w:rPr>
          <w:color w:val="000000"/>
        </w:rPr>
        <w:t xml:space="preserve">: </w:t>
      </w:r>
      <w:r w:rsidRPr="00BA3284">
        <w:rPr>
          <w:rFonts w:eastAsia="Times"/>
        </w:rPr>
        <w:t>518210 – “Data Processing, Hosting, and Related Services”, DB10 – “IT and Telecom – Compute As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B62D53">
      <w:pPr>
        <w:pBdr>
          <w:top w:val="nil"/>
          <w:left w:val="nil"/>
          <w:bottom w:val="nil"/>
          <w:right w:val="nil"/>
          <w:between w:val="nil"/>
        </w:pBdr>
        <w:ind w:hanging="90"/>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B62D53">
      <w:pPr>
        <w:pBdr>
          <w:top w:val="nil"/>
          <w:left w:val="nil"/>
          <w:bottom w:val="nil"/>
          <w:right w:val="nil"/>
          <w:between w:val="nil"/>
        </w:pBdr>
        <w:ind w:hanging="90"/>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r w:rsidRPr="00453167">
              <w:rPr>
                <w:bCs/>
              </w:rPr>
              <w:t>researcher</w:t>
            </w:r>
            <w:r w:rsidRPr="00453167">
              <w:t>.title</w:t>
            </w:r>
            <w:proofErr w:type="spellEnd"/>
            <w:r w:rsidRPr="00453167">
              <w:t>}</w:t>
            </w:r>
          </w:p>
        </w:tc>
        <w:tc>
          <w:tcPr>
            <w:tcW w:w="3013" w:type="dxa"/>
          </w:tcPr>
          <w:p w14:paraId="616D8B20" w14:textId="1C249BB9"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.org}</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B62D53">
      <w:pPr>
        <w:pBdr>
          <w:top w:val="nil"/>
          <w:left w:val="nil"/>
          <w:bottom w:val="nil"/>
          <w:right w:val="nil"/>
          <w:between w:val="nil"/>
        </w:pBdr>
        <w:ind w:hanging="90"/>
        <w:rPr>
          <w:color w:val="000000"/>
        </w:rPr>
      </w:pPr>
    </w:p>
    <w:p w14:paraId="3F32803D" w14:textId="77777777" w:rsidR="00CE7A18" w:rsidRDefault="00CE7A18" w:rsidP="00B62D53">
      <w:pPr>
        <w:numPr>
          <w:ilvl w:val="0"/>
          <w:numId w:val="9"/>
        </w:numPr>
        <w:ind w:hanging="450"/>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Default="00CE7A18" w:rsidP="00CE7A18">
      <w:pPr>
        <w:pBdr>
          <w:top w:val="nil"/>
          <w:left w:val="nil"/>
          <w:bottom w:val="nil"/>
          <w:right w:val="nil"/>
          <w:between w:val="nil"/>
        </w:pBdr>
        <w:ind w:left="-90"/>
      </w:pPr>
    </w:p>
    <w:p w14:paraId="7DA2939B" w14:textId="79FC3BD9" w:rsidR="00F71E04" w:rsidRDefault="00F71E04" w:rsidP="00F71E04">
      <w:pPr>
        <w:pBdr>
          <w:top w:val="nil"/>
          <w:left w:val="nil"/>
          <w:bottom w:val="nil"/>
          <w:right w:val="nil"/>
          <w:between w:val="nil"/>
        </w:pBdr>
        <w:ind w:left="360"/>
        <w:rPr>
          <w:color w:val="000000" w:themeColor="text1"/>
        </w:rPr>
      </w:pPr>
      <w:r w:rsidRPr="00E17D60">
        <w:rPr>
          <w:color w:val="00B050"/>
        </w:rPr>
        <w:t xml:space="preserve">{IF </w:t>
      </w:r>
      <w:proofErr w:type="spellStart"/>
      <w:r>
        <w:rPr>
          <w:bCs/>
          <w:color w:val="00B050"/>
        </w:rPr>
        <w:t>techniquesUsed</w:t>
      </w:r>
      <w:r w:rsidRPr="00E17D60">
        <w:rPr>
          <w:color w:val="00B050"/>
        </w:rPr>
        <w:t>.length</w:t>
      </w:r>
      <w:proofErr w:type="spellEnd"/>
      <w:r w:rsidRPr="00E17D60">
        <w:rPr>
          <w:color w:val="00B050"/>
        </w:rPr>
        <w:t xml:space="preserve"> &gt; 0}</w:t>
      </w:r>
    </w:p>
    <w:p w14:paraId="610592F9" w14:textId="067A773C" w:rsidR="00F71E04" w:rsidRDefault="00F71E04" w:rsidP="00F71E04">
      <w:pPr>
        <w:pBdr>
          <w:top w:val="nil"/>
          <w:left w:val="nil"/>
          <w:bottom w:val="nil"/>
          <w:right w:val="nil"/>
          <w:between w:val="nil"/>
        </w:pBdr>
        <w:ind w:left="360"/>
        <w:rPr>
          <w:color w:val="000000" w:themeColor="text1"/>
        </w:r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3A0B15DF" w14:textId="31131A59" w:rsidR="006816AE" w:rsidRPr="00E30BF1" w:rsidRDefault="006816AE" w:rsidP="00E624F8">
      <w:pPr>
        <w:pStyle w:val="ListParagraph"/>
        <w:numPr>
          <w:ilvl w:val="0"/>
          <w:numId w:val="13"/>
        </w:numPr>
        <w:pBdr>
          <w:top w:val="nil"/>
          <w:left w:val="nil"/>
          <w:bottom w:val="nil"/>
          <w:right w:val="nil"/>
          <w:between w:val="nil"/>
        </w:pBdr>
        <w:ind w:left="720"/>
        <w:rPr>
          <w:color w:val="000000" w:themeColor="text1"/>
        </w:rPr>
      </w:pPr>
      <w:r w:rsidRPr="00ED7EE9">
        <w:rPr>
          <w:color w:val="000000" w:themeColor="text1"/>
        </w:rPr>
        <w:t xml:space="preserve">{IF </w:t>
      </w:r>
      <w:r>
        <w:rPr>
          <w:color w:val="000000" w:themeColor="text1"/>
        </w:rPr>
        <w:t>$</w:t>
      </w:r>
      <w:proofErr w:type="spellStart"/>
      <w:r>
        <w:rPr>
          <w:color w:val="000000" w:themeColor="text1"/>
        </w:rPr>
        <w:t>technique.technique_value</w:t>
      </w:r>
      <w:proofErr w:type="spellEnd"/>
      <w:r w:rsidRPr="00ED7EE9">
        <w:rPr>
          <w:color w:val="000000" w:themeColor="text1"/>
        </w:rPr>
        <w:t xml:space="preserve"> === `</w:t>
      </w:r>
      <w:r>
        <w:rPr>
          <w:color w:val="000000" w:themeColor="text1"/>
        </w:rPr>
        <w:t>OTHER</w:t>
      </w:r>
      <w:r w:rsidRPr="00ED7EE9">
        <w:rPr>
          <w:color w:val="000000" w:themeColor="text1"/>
        </w:rPr>
        <w:t>`}Other: {</w:t>
      </w:r>
      <w:proofErr w:type="spellStart"/>
      <w:r w:rsidRPr="00ED7EE9">
        <w:rPr>
          <w:color w:val="000000" w:themeColor="text1"/>
        </w:rPr>
        <w:t>techniqueOther</w:t>
      </w:r>
      <w:proofErr w:type="spellEnd"/>
      <w:r w:rsidRPr="00ED7EE9">
        <w:rPr>
          <w:color w:val="000000" w:themeColor="text1"/>
        </w:rPr>
        <w:t>}{END-IF}</w:t>
      </w:r>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`OTHER`}{$</w:t>
      </w:r>
      <w:proofErr w:type="spellStart"/>
      <w:r w:rsidRPr="00E30BF1">
        <w:rPr>
          <w:color w:val="000000" w:themeColor="text1"/>
        </w:rPr>
        <w:t>technique.technique_label</w:t>
      </w:r>
      <w:proofErr w:type="spellEnd"/>
      <w:r w:rsidRPr="00E30BF1">
        <w:rPr>
          <w:color w:val="000000" w:themeColor="text1"/>
        </w:rPr>
        <w:t>}{IF $</w:t>
      </w:r>
      <w:proofErr w:type="spellStart"/>
      <w:r w:rsidRPr="00E30BF1">
        <w:rPr>
          <w:color w:val="000000" w:themeColor="text1"/>
        </w:rPr>
        <w:t>technique.technique_value</w:t>
      </w:r>
      <w:proofErr w:type="spellEnd"/>
      <w:r w:rsidRPr="00E30BF1">
        <w:rPr>
          <w:color w:val="000000" w:themeColor="text1"/>
        </w:rPr>
        <w:t xml:space="preserve"> === `PERSONAL_KNOWLEDGE`} </w:t>
      </w:r>
      <w:r w:rsidRPr="00E30BF1">
        <w:rPr>
          <w:rFonts w:ascii="Arial" w:hAnsi="Arial" w:cs="Arial"/>
          <w:color w:val="0D405F"/>
          <w:shd w:val="clear" w:color="auto" w:fill="FFFFFF"/>
        </w:rPr>
        <w:t>—</w:t>
      </w:r>
      <w:r w:rsidRPr="00E30BF1">
        <w:rPr>
          <w:color w:val="000000" w:themeColor="text1"/>
        </w:rPr>
        <w:t xml:space="preserve"> Name/Position of Person Relied Upon: {</w:t>
      </w:r>
      <w:proofErr w:type="spellStart"/>
      <w:r w:rsidRPr="00E30BF1">
        <w:rPr>
          <w:color w:val="000000" w:themeColor="text1"/>
        </w:rPr>
        <w:t>researchPersonalKnowledgePersonOrPosition</w:t>
      </w:r>
      <w:proofErr w:type="spellEnd"/>
      <w:r w:rsidRPr="00E30BF1">
        <w:rPr>
          <w:color w:val="000000" w:themeColor="text1"/>
        </w:rPr>
        <w:t>}{END-IF}{END-IF}</w:t>
      </w:r>
    </w:p>
    <w:p w14:paraId="1A135F87" w14:textId="77777777" w:rsidR="00260330" w:rsidRPr="00B62354" w:rsidRDefault="00F71E04" w:rsidP="00F71E04">
      <w:pPr>
        <w:pBdr>
          <w:top w:val="nil"/>
          <w:left w:val="nil"/>
          <w:bottom w:val="nil"/>
          <w:right w:val="nil"/>
          <w:between w:val="nil"/>
        </w:pBdr>
        <w:ind w:left="360"/>
      </w:pPr>
      <w:r w:rsidRPr="00E17D60">
        <w:rPr>
          <w:color w:val="00B050"/>
        </w:rPr>
        <w:t xml:space="preserve">{END-FOR </w:t>
      </w:r>
      <w:r>
        <w:rPr>
          <w:bCs/>
          <w:color w:val="00B050"/>
        </w:rPr>
        <w:t>technique</w:t>
      </w:r>
      <w:r w:rsidRPr="00E17D60">
        <w:rPr>
          <w:color w:val="00B050"/>
        </w:rPr>
        <w:t>}</w:t>
      </w:r>
    </w:p>
    <w:p w14:paraId="61F18F39" w14:textId="65F5999F" w:rsidR="00F71E04" w:rsidRPr="004008DE" w:rsidRDefault="00F71E04" w:rsidP="00F71E04">
      <w:pPr>
        <w:pBdr>
          <w:top w:val="nil"/>
          <w:left w:val="nil"/>
          <w:bottom w:val="nil"/>
          <w:right w:val="nil"/>
          <w:between w:val="nil"/>
        </w:pBdr>
        <w:ind w:left="360"/>
        <w:rPr>
          <w:color w:val="000000" w:themeColor="text1"/>
        </w:rPr>
      </w:pPr>
      <w:r w:rsidRPr="00E17D60">
        <w:rPr>
          <w:color w:val="00B050"/>
        </w:rPr>
        <w:t>{END-IF}</w:t>
      </w:r>
    </w:p>
    <w:p w14:paraId="6FB7EA40" w14:textId="77777777" w:rsidR="00F71E04" w:rsidRPr="002F135C" w:rsidRDefault="00F71E04" w:rsidP="00CE7A18">
      <w:pPr>
        <w:pBdr>
          <w:top w:val="nil"/>
          <w:left w:val="nil"/>
          <w:bottom w:val="nil"/>
          <w:right w:val="nil"/>
          <w:between w:val="nil"/>
        </w:pBdr>
        <w:ind w:left="-90"/>
      </w:pPr>
    </w:p>
    <w:p w14:paraId="020847B2" w14:textId="209E688B"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008C6432">
        <w:rPr>
          <w:color w:val="000000"/>
        </w:rPr>
        <w:t>fairOpportunity.marketResearchDetails</w:t>
      </w:r>
      <w:proofErr w:type="spellEnd"/>
      <w:r w:rsidRPr="00915F95">
        <w:t>}</w:t>
      </w:r>
    </w:p>
    <w:p w14:paraId="12B32453" w14:textId="77777777" w:rsidR="00CE7A18" w:rsidRDefault="00CE7A18" w:rsidP="00CE7A18">
      <w:pPr>
        <w:ind w:left="-90"/>
      </w:pPr>
    </w:p>
    <w:p w14:paraId="7D854184" w14:textId="77777777" w:rsidR="00CE7A18" w:rsidRDefault="00CE7A18" w:rsidP="00B62D53">
      <w:pPr>
        <w:numPr>
          <w:ilvl w:val="0"/>
          <w:numId w:val="9"/>
        </w:numPr>
        <w:pBdr>
          <w:top w:val="nil"/>
          <w:left w:val="nil"/>
          <w:bottom w:val="nil"/>
          <w:right w:val="nil"/>
          <w:between w:val="nil"/>
        </w:pBdr>
        <w:ind w:hanging="450"/>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B62D53">
      <w:pPr>
        <w:pBdr>
          <w:top w:val="nil"/>
          <w:left w:val="nil"/>
          <w:bottom w:val="nil"/>
          <w:right w:val="nil"/>
          <w:between w:val="nil"/>
        </w:pBdr>
        <w:ind w:hanging="90"/>
        <w:rPr>
          <w:color w:val="000000"/>
        </w:rPr>
      </w:pPr>
    </w:p>
    <w:p w14:paraId="2862FD88" w14:textId="77777777" w:rsidR="00CE7A18" w:rsidRDefault="00CE7A18" w:rsidP="00B62D53">
      <w:pPr>
        <w:numPr>
          <w:ilvl w:val="0"/>
          <w:numId w:val="9"/>
        </w:numPr>
        <w:ind w:hanging="450"/>
      </w:pPr>
      <w:r>
        <w:t>Exception to Fair Opportunity:</w:t>
      </w:r>
    </w:p>
    <w:p w14:paraId="4218CC81" w14:textId="2D134299" w:rsidR="00EA58AB" w:rsidRDefault="00283E08" w:rsidP="00EA58AB">
      <w:pPr>
        <w:ind w:left="360"/>
      </w:pPr>
      <w:r>
        <w:t xml:space="preserve">{EXEC </w:t>
      </w:r>
      <w:proofErr w:type="spellStart"/>
      <w:r>
        <w:t>farRef</w:t>
      </w:r>
      <w:proofErr w:type="spellEnd"/>
      <w:r>
        <w:t xml:space="preserve"> = </w:t>
      </w:r>
      <w:proofErr w:type="spellStart"/>
      <w:r w:rsidRPr="00203ECE">
        <w:t>fairOpportunity.exceptionToFairOpportunity.substr</w:t>
      </w:r>
      <w:proofErr w:type="spellEnd"/>
      <w:r w:rsidRPr="00203ECE">
        <w:t>(-2,1)</w:t>
      </w:r>
      <w:r>
        <w:t>}</w:t>
      </w:r>
    </w:p>
    <w:p w14:paraId="1EC0B64B" w14:textId="20FA474F" w:rsidR="00283E08" w:rsidRDefault="00283E08" w:rsidP="00EA58AB">
      <w:pPr>
        <w:ind w:left="360"/>
      </w:pPr>
      <w:r>
        <w:t xml:space="preserve">{EXEC </w:t>
      </w:r>
      <w:proofErr w:type="spellStart"/>
      <w:r>
        <w:t>farAtext</w:t>
      </w:r>
      <w:proofErr w:type="spellEnd"/>
      <w:r>
        <w:t xml:space="preserve"> = </w:t>
      </w:r>
      <w:proofErr w:type="spellStart"/>
      <w:r>
        <w:t>farRef</w:t>
      </w:r>
      <w:proofErr w:type="spellEnd"/>
      <w:r>
        <w:t xml:space="preserve"> === </w:t>
      </w:r>
      <w:r w:rsidRPr="00203ECE">
        <w:t>`A`</w:t>
      </w:r>
      <w:r>
        <w:t xml:space="preserve"> ? </w:t>
      </w:r>
      <w:r w:rsidR="00447DAC" w:rsidRPr="00203ECE">
        <w:t>`</w:t>
      </w:r>
      <w:r w:rsidR="00BB27AC" w:rsidRPr="00BB27AC">
        <w:t>The agency's need for supplies or services is so urgent that providing a fair opportunity would result in unacceptable delays.</w:t>
      </w:r>
      <w:r w:rsidR="00447DAC" w:rsidRPr="00203ECE">
        <w:t>`</w:t>
      </w:r>
      <w:r w:rsidR="00447DAC">
        <w:t xml:space="preserve"> : </w:t>
      </w:r>
      <w:r w:rsidR="00447DAC" w:rsidRPr="00203ECE">
        <w:t>``</w:t>
      </w:r>
      <w:r>
        <w:t>}</w:t>
      </w:r>
    </w:p>
    <w:p w14:paraId="5B9D67A2" w14:textId="4201E9A0" w:rsidR="00447DAC" w:rsidRDefault="00447DAC" w:rsidP="00447DAC">
      <w:pPr>
        <w:ind w:left="360"/>
      </w:pPr>
      <w:r>
        <w:t xml:space="preserve">{EXEC </w:t>
      </w:r>
      <w:proofErr w:type="spellStart"/>
      <w:r>
        <w:t>farBtext</w:t>
      </w:r>
      <w:proofErr w:type="spellEnd"/>
      <w:r>
        <w:t xml:space="preserve"> = </w:t>
      </w:r>
      <w:proofErr w:type="spellStart"/>
      <w:r>
        <w:t>farRef</w:t>
      </w:r>
      <w:proofErr w:type="spellEnd"/>
      <w:r>
        <w:t xml:space="preserve"> === </w:t>
      </w:r>
      <w:r w:rsidRPr="00203ECE">
        <w:t>`</w:t>
      </w:r>
      <w:r>
        <w:t>B</w:t>
      </w:r>
      <w:r w:rsidRPr="00203ECE">
        <w:t>`</w:t>
      </w:r>
      <w:r>
        <w:t xml:space="preserve"> ? </w:t>
      </w:r>
      <w:r w:rsidRPr="00203ECE">
        <w:t>`</w:t>
      </w:r>
      <w:r w:rsidR="00BB27AC" w:rsidRPr="00BB27AC">
        <w:t>Only one awardee is capable of providing the supplies or services required at the level of quality required because the supplies or services ordered are unique or highly specialized.</w:t>
      </w:r>
      <w:r w:rsidRPr="00203ECE">
        <w:t>`</w:t>
      </w:r>
      <w:r>
        <w:t xml:space="preserve"> : </w:t>
      </w:r>
      <w:r w:rsidRPr="00203ECE">
        <w:t>``</w:t>
      </w:r>
      <w:r>
        <w:t>}</w:t>
      </w:r>
    </w:p>
    <w:p w14:paraId="133B1A18" w14:textId="0C4DBDCA" w:rsidR="00447DAC" w:rsidRDefault="00447DAC" w:rsidP="00447DAC">
      <w:pPr>
        <w:ind w:left="360"/>
      </w:pPr>
      <w:r>
        <w:t xml:space="preserve">{EXEC </w:t>
      </w:r>
      <w:proofErr w:type="spellStart"/>
      <w:r>
        <w:t>farCtext</w:t>
      </w:r>
      <w:proofErr w:type="spellEnd"/>
      <w:r>
        <w:t xml:space="preserve"> = </w:t>
      </w:r>
      <w:proofErr w:type="spellStart"/>
      <w:r>
        <w:t>farRef</w:t>
      </w:r>
      <w:proofErr w:type="spellEnd"/>
      <w:r>
        <w:t xml:space="preserve"> === </w:t>
      </w:r>
      <w:r w:rsidRPr="00203ECE">
        <w:t>`</w:t>
      </w:r>
      <w:r>
        <w:t>C</w:t>
      </w:r>
      <w:r w:rsidRPr="00203ECE">
        <w:t>`</w:t>
      </w:r>
      <w:r>
        <w:t xml:space="preserve"> ? </w:t>
      </w:r>
      <w:r w:rsidRPr="00203ECE">
        <w:t>`</w:t>
      </w:r>
      <w:r w:rsidR="00BB27AC" w:rsidRPr="00BB27AC">
        <w:t>The order must be issued on a sole-source basis in the interest of economy and efficiency because it is a logical follow-on to an order already issued under the contract, provided that all awardees were given a fair opportunity to be considered for the original order.</w:t>
      </w:r>
      <w:r w:rsidRPr="00203ECE">
        <w:t>`</w:t>
      </w:r>
      <w:r>
        <w:t xml:space="preserve"> : </w:t>
      </w:r>
      <w:r w:rsidRPr="00203ECE">
        <w:t>``</w:t>
      </w:r>
      <w:r>
        <w:t>}</w:t>
      </w:r>
    </w:p>
    <w:p w14:paraId="1CD968FD" w14:textId="77777777" w:rsidR="00447DAC" w:rsidRDefault="00447DAC" w:rsidP="00EA58AB">
      <w:pPr>
        <w:ind w:left="360"/>
      </w:pPr>
    </w:p>
    <w:p w14:paraId="0AE07676" w14:textId="69A5668F" w:rsidR="00EA58AB" w:rsidRDefault="00203ECE" w:rsidP="00EA58AB">
      <w:pPr>
        <w:ind w:left="360"/>
      </w:pPr>
      <w:r w:rsidRPr="00203ECE">
        <w:t>FAR {</w:t>
      </w:r>
      <w:proofErr w:type="spellStart"/>
      <w:r w:rsidRPr="00203ECE">
        <w:t>fairOpportunity.exceptionToFairOpportunity</w:t>
      </w:r>
      <w:proofErr w:type="spellEnd"/>
      <w:r w:rsidRPr="00203ECE">
        <w:t>}</w:t>
      </w:r>
      <w:r w:rsidR="00447DAC">
        <w:t xml:space="preserve"> - {</w:t>
      </w:r>
      <w:proofErr w:type="spellStart"/>
      <w:r w:rsidR="00447DAC">
        <w:t>farAtext</w:t>
      </w:r>
      <w:proofErr w:type="spellEnd"/>
      <w:r w:rsidR="00447DAC">
        <w:t>}{</w:t>
      </w:r>
      <w:proofErr w:type="spellStart"/>
      <w:r w:rsidR="00447DAC">
        <w:t>farBtext</w:t>
      </w:r>
      <w:proofErr w:type="spellEnd"/>
      <w:r w:rsidR="00447DAC">
        <w:t>}{</w:t>
      </w:r>
      <w:proofErr w:type="spellStart"/>
      <w:r w:rsidR="00447DAC">
        <w:t>farCtext</w:t>
      </w:r>
      <w:proofErr w:type="spellEnd"/>
      <w:r w:rsidR="00447DAC">
        <w:t>}</w:t>
      </w:r>
    </w:p>
    <w:p w14:paraId="70A05E3D" w14:textId="77777777" w:rsidR="00203ECE" w:rsidRDefault="00203ECE" w:rsidP="00EA58AB">
      <w:pPr>
        <w:ind w:left="360"/>
      </w:pPr>
    </w:p>
    <w:p w14:paraId="7F172F7F" w14:textId="77777777" w:rsidR="00CE7A18" w:rsidRPr="00106644" w:rsidRDefault="00CE7A18" w:rsidP="00B62D53">
      <w:pPr>
        <w:numPr>
          <w:ilvl w:val="0"/>
          <w:numId w:val="9"/>
        </w:numPr>
        <w:pBdr>
          <w:top w:val="nil"/>
          <w:left w:val="nil"/>
          <w:bottom w:val="nil"/>
          <w:right w:val="nil"/>
          <w:between w:val="nil"/>
        </w:pBdr>
        <w:ind w:hanging="450"/>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B62D53">
      <w:pPr>
        <w:pBdr>
          <w:top w:val="nil"/>
          <w:left w:val="nil"/>
          <w:bottom w:val="nil"/>
          <w:right w:val="nil"/>
          <w:between w:val="nil"/>
        </w:pBdr>
        <w:ind w:hanging="90"/>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B62D53">
      <w:pPr>
        <w:pBdr>
          <w:top w:val="nil"/>
          <w:left w:val="nil"/>
          <w:bottom w:val="nil"/>
          <w:right w:val="nil"/>
          <w:between w:val="nil"/>
        </w:pBdr>
        <w:ind w:hanging="90"/>
      </w:pPr>
    </w:p>
    <w:p w14:paraId="690AAE7E" w14:textId="1B14B050" w:rsidR="00CE7A18" w:rsidRDefault="00CE7A18" w:rsidP="00B62D53">
      <w:pPr>
        <w:numPr>
          <w:ilvl w:val="0"/>
          <w:numId w:val="9"/>
        </w:numPr>
        <w:pBdr>
          <w:top w:val="nil"/>
          <w:left w:val="nil"/>
          <w:bottom w:val="nil"/>
          <w:right w:val="nil"/>
          <w:between w:val="nil"/>
        </w:pBdr>
        <w:ind w:hanging="450"/>
      </w:pPr>
      <w:r w:rsidRPr="00F24A2C">
        <w:t xml:space="preserve">There will </w:t>
      </w:r>
      <w:r w:rsidRPr="00E17D60">
        <w:rPr>
          <w:bCs/>
          <w:color w:val="00B050"/>
        </w:rPr>
        <w:t>{</w:t>
      </w:r>
      <w:r w:rsidR="003F4ADF" w:rsidRPr="00E17D60">
        <w:rPr>
          <w:color w:val="00B050"/>
        </w:rPr>
        <w:t xml:space="preserve">IF </w:t>
      </w:r>
      <w:proofErr w:type="spellStart"/>
      <w:r w:rsidR="003F4ADF" w:rsidRPr="00E17D60">
        <w:rPr>
          <w:color w:val="00B050"/>
        </w:rPr>
        <w:t>procurementHistory.length</w:t>
      </w:r>
      <w:proofErr w:type="spellEnd"/>
      <w:r w:rsidR="003F4ADF" w:rsidRPr="00E17D60">
        <w:rPr>
          <w:color w:val="00B050"/>
        </w:rPr>
        <w:t xml:space="preserve"> == 0</w:t>
      </w:r>
      <w:r w:rsidRPr="00E17D60">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B62D53">
      <w:pPr>
        <w:pBdr>
          <w:top w:val="nil"/>
          <w:left w:val="nil"/>
          <w:bottom w:val="nil"/>
          <w:right w:val="nil"/>
          <w:between w:val="nil"/>
        </w:pBdr>
        <w:ind w:hanging="90"/>
      </w:pPr>
    </w:p>
    <w:p w14:paraId="2215D254" w14:textId="1560B453" w:rsidR="00C73A23" w:rsidRDefault="00C73A23" w:rsidP="00C73A23">
      <w:pPr>
        <w:pBdr>
          <w:top w:val="nil"/>
          <w:left w:val="nil"/>
          <w:bottom w:val="nil"/>
          <w:right w:val="nil"/>
          <w:between w:val="nil"/>
        </w:pBdr>
      </w:pPr>
      <w:r w:rsidRPr="00E17D60">
        <w:rPr>
          <w:bCs/>
          <w:color w:val="00B050"/>
        </w:rPr>
        <w:t>{</w:t>
      </w:r>
      <w:r w:rsidR="00E17D60" w:rsidRPr="00E17D60">
        <w:rPr>
          <w:color w:val="00B050"/>
        </w:rPr>
        <w:t xml:space="preserve">IF </w:t>
      </w:r>
      <w:proofErr w:type="spellStart"/>
      <w:r w:rsidR="00E17D60" w:rsidRPr="00E17D60">
        <w:rPr>
          <w:color w:val="00B050"/>
        </w:rPr>
        <w:t>procurementHistory.length</w:t>
      </w:r>
      <w:proofErr w:type="spellEnd"/>
      <w:r w:rsidR="00E17D60" w:rsidRPr="00E17D60">
        <w:rPr>
          <w:color w:val="00B050"/>
        </w:rPr>
        <w:t xml:space="preserve"> &gt; 0</w:t>
      </w:r>
      <w:r w:rsidRPr="00E17D60">
        <w:rPr>
          <w:bCs/>
          <w:color w:val="00B050"/>
        </w:rPr>
        <w:t>}</w:t>
      </w:r>
    </w:p>
    <w:p w14:paraId="2B3F254D" w14:textId="348FAAC1" w:rsidR="00C73A23" w:rsidRDefault="00052F27" w:rsidP="00B62D53">
      <w:pPr>
        <w:numPr>
          <w:ilvl w:val="0"/>
          <w:numId w:val="9"/>
        </w:numPr>
        <w:pBdr>
          <w:top w:val="nil"/>
          <w:left w:val="nil"/>
          <w:bottom w:val="nil"/>
          <w:right w:val="nil"/>
          <w:between w:val="nil"/>
        </w:pBdr>
        <w:ind w:hanging="450"/>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B62D53">
      <w:pPr>
        <w:pBdr>
          <w:top w:val="nil"/>
          <w:left w:val="nil"/>
          <w:bottom w:val="nil"/>
          <w:right w:val="nil"/>
          <w:between w:val="nil"/>
        </w:pBdr>
        <w:ind w:hanging="90"/>
      </w:pPr>
    </w:p>
    <w:p w14:paraId="7E14BD34" w14:textId="4596B1CB" w:rsidR="00854E83" w:rsidRDefault="00854E83" w:rsidP="00854E83">
      <w:pPr>
        <w:pBdr>
          <w:top w:val="nil"/>
          <w:left w:val="nil"/>
          <w:bottom w:val="nil"/>
          <w:right w:val="nil"/>
          <w:between w:val="nil"/>
        </w:pBdr>
      </w:pPr>
      <w:r w:rsidRPr="00854E83">
        <w:rPr>
          <w:bCs/>
          <w:color w:val="00B050"/>
        </w:rPr>
        <w:t>{END-IF}</w:t>
      </w:r>
    </w:p>
    <w:p w14:paraId="781771B8" w14:textId="044E0B4A" w:rsidR="00CE724C" w:rsidRPr="00E34AE2" w:rsidRDefault="00A240A0" w:rsidP="00B62D53">
      <w:pPr>
        <w:numPr>
          <w:ilvl w:val="0"/>
          <w:numId w:val="9"/>
        </w:numPr>
        <w:pBdr>
          <w:top w:val="nil"/>
          <w:left w:val="nil"/>
          <w:bottom w:val="nil"/>
          <w:right w:val="nil"/>
          <w:between w:val="nil"/>
        </w:pBdr>
        <w:ind w:hanging="450"/>
      </w:pPr>
      <w:r w:rsidRPr="003D35BE">
        <w:t>Identify prior procurement history:</w:t>
      </w:r>
      <w:r w:rsidR="00CE724C" w:rsidRPr="00E17D60">
        <w:rPr>
          <w:color w:val="00B050"/>
        </w:rPr>
        <w:t xml:space="preserve">{IF </w:t>
      </w:r>
      <w:proofErr w:type="spellStart"/>
      <w:r w:rsidR="00CE724C" w:rsidRPr="00E17D60">
        <w:rPr>
          <w:color w:val="00B050"/>
        </w:rPr>
        <w:t>procurementHistory.length</w:t>
      </w:r>
      <w:proofErr w:type="spellEnd"/>
      <w:r w:rsidR="00CE724C" w:rsidRPr="00E17D60">
        <w:rPr>
          <w:color w:val="00B050"/>
        </w:rPr>
        <w:t xml:space="preserve"> == 0}</w:t>
      </w:r>
      <w:r w:rsidR="002351AC" w:rsidRPr="002351AC">
        <w:t xml:space="preserve"> </w:t>
      </w:r>
      <w:r w:rsidR="00CE724C" w:rsidRPr="00E34AE2">
        <w:rPr>
          <w:color w:val="000000" w:themeColor="text1"/>
        </w:rPr>
        <w:t xml:space="preserve">Not </w:t>
      </w:r>
      <w:r w:rsidR="00E34AE2">
        <w:rPr>
          <w:color w:val="000000" w:themeColor="text1"/>
        </w:rPr>
        <w:t>a</w:t>
      </w:r>
      <w:r w:rsidR="00CE724C" w:rsidRPr="00E34AE2">
        <w:rPr>
          <w:color w:val="000000" w:themeColor="text1"/>
        </w:rPr>
        <w:t>pplicable</w:t>
      </w:r>
      <w:r w:rsidR="00E34AE2">
        <w:rPr>
          <w:color w:val="000000" w:themeColor="text1"/>
        </w:rPr>
        <w:t>.</w:t>
      </w:r>
      <w:r w:rsidR="00CE724C" w:rsidRPr="00E17D60">
        <w:rPr>
          <w:color w:val="00B050"/>
        </w:rPr>
        <w:t>{END-IF}</w:t>
      </w:r>
    </w:p>
    <w:p w14:paraId="3672A538"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{IF </w:t>
      </w:r>
      <w:proofErr w:type="spellStart"/>
      <w:r w:rsidRPr="00E17D60">
        <w:rPr>
          <w:color w:val="00B050"/>
        </w:rPr>
        <w:t>procurementHistory.length</w:t>
      </w:r>
      <w:proofErr w:type="spellEnd"/>
      <w:r w:rsidRPr="00E17D60">
        <w:rPr>
          <w:color w:val="00B050"/>
        </w:rPr>
        <w:t xml:space="preserve"> &gt; 0}</w:t>
      </w:r>
    </w:p>
    <w:p w14:paraId="6739151B" w14:textId="77777777" w:rsidR="00CE724C" w:rsidRDefault="00CE724C" w:rsidP="00B62D53">
      <w:pPr>
        <w:pBdr>
          <w:top w:val="nil"/>
          <w:left w:val="nil"/>
          <w:bottom w:val="nil"/>
          <w:right w:val="nil"/>
          <w:between w:val="nil"/>
        </w:pBdr>
        <w:ind w:left="360"/>
        <w:rPr>
          <w:color w:val="000000" w:themeColor="text1"/>
        </w:rPr>
      </w:pPr>
      <w:r w:rsidRPr="00E17D60">
        <w:rPr>
          <w:color w:val="00B050"/>
        </w:rPr>
        <w:t xml:space="preserve">{FOR contract IN </w:t>
      </w:r>
      <w:proofErr w:type="spellStart"/>
      <w:r w:rsidRPr="00E17D60">
        <w:rPr>
          <w:color w:val="00B050"/>
        </w:rPr>
        <w:t>procurementHistory</w:t>
      </w:r>
      <w:proofErr w:type="spellEnd"/>
      <w:r w:rsidRPr="00E17D60">
        <w:rPr>
          <w:color w:val="00B050"/>
        </w:rPr>
        <w:t>}</w:t>
      </w:r>
    </w:p>
    <w:p w14:paraId="51781876" w14:textId="77777777" w:rsidR="004D248F" w:rsidRPr="004008DE" w:rsidRDefault="004D248F" w:rsidP="00B62D53">
      <w:pPr>
        <w:pBdr>
          <w:top w:val="nil"/>
          <w:left w:val="nil"/>
          <w:bottom w:val="nil"/>
          <w:right w:val="nil"/>
          <w:between w:val="nil"/>
        </w:pBdr>
        <w:ind w:left="360"/>
        <w:rPr>
          <w:color w:val="000000" w:themeColor="text1"/>
        </w:rPr>
      </w:pPr>
    </w:p>
    <w:p w14:paraId="13EB9CC1"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Contract Number: {</w:t>
      </w:r>
      <w:r>
        <w:rPr>
          <w:color w:val="000000" w:themeColor="text1"/>
        </w:rPr>
        <w:t>$</w:t>
      </w:r>
      <w:proofErr w:type="spellStart"/>
      <w:r w:rsidRPr="004008DE">
        <w:rPr>
          <w:color w:val="000000" w:themeColor="text1"/>
        </w:rPr>
        <w:t>contract.contractNumber</w:t>
      </w:r>
      <w:proofErr w:type="spellEnd"/>
      <w:r w:rsidRPr="004008DE">
        <w:rPr>
          <w:color w:val="000000" w:themeColor="text1"/>
        </w:rPr>
        <w:t>}</w:t>
      </w:r>
    </w:p>
    <w:p w14:paraId="50E959D3"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Task Order Number (if applicable): {</w:t>
      </w:r>
      <w:r>
        <w:rPr>
          <w:color w:val="000000" w:themeColor="text1"/>
        </w:rPr>
        <w:t>$</w:t>
      </w:r>
      <w:proofErr w:type="spellStart"/>
      <w:r w:rsidRPr="004008DE">
        <w:rPr>
          <w:color w:val="000000" w:themeColor="text1"/>
        </w:rPr>
        <w:t>contract.taskDeliveryOrderNumber</w:t>
      </w:r>
      <w:proofErr w:type="spellEnd"/>
      <w:r w:rsidRPr="004008DE">
        <w:rPr>
          <w:color w:val="000000" w:themeColor="text1"/>
        </w:rPr>
        <w:t>}</w:t>
      </w:r>
    </w:p>
    <w:p w14:paraId="2327D8F5" w14:textId="28D14463"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Period of Performance: {</w:t>
      </w:r>
      <w:r>
        <w:rPr>
          <w:color w:val="000000" w:themeColor="text1"/>
        </w:rPr>
        <w:t>$</w:t>
      </w:r>
      <w:proofErr w:type="spellStart"/>
      <w:r w:rsidRPr="004008DE">
        <w:rPr>
          <w:color w:val="000000" w:themeColor="text1"/>
        </w:rPr>
        <w:t>contract.contractOrderStartDate</w:t>
      </w:r>
      <w:proofErr w:type="spellEnd"/>
      <w:r w:rsidRPr="004008DE">
        <w:rPr>
          <w:color w:val="000000" w:themeColor="text1"/>
        </w:rPr>
        <w:t>}</w:t>
      </w:r>
      <w:r>
        <w:rPr>
          <w:color w:val="000000" w:themeColor="text1"/>
        </w:rPr>
        <w:t xml:space="preserve"> -</w:t>
      </w:r>
      <w:r w:rsidR="00E34AE2">
        <w:rPr>
          <w:color w:val="000000" w:themeColor="text1"/>
        </w:rPr>
        <w:t xml:space="preserve"> </w:t>
      </w:r>
      <w:r w:rsidRPr="004008DE">
        <w:rPr>
          <w:color w:val="000000" w:themeColor="text1"/>
        </w:rPr>
        <w:t>{</w:t>
      </w:r>
      <w:r>
        <w:rPr>
          <w:color w:val="000000" w:themeColor="text1"/>
        </w:rPr>
        <w:t>$</w:t>
      </w:r>
      <w:proofErr w:type="spellStart"/>
      <w:r w:rsidRPr="004008DE">
        <w:rPr>
          <w:color w:val="000000" w:themeColor="text1"/>
        </w:rPr>
        <w:t>contract.contractOrderExpirationDate</w:t>
      </w:r>
      <w:proofErr w:type="spellEnd"/>
      <w:r w:rsidRPr="004008DE">
        <w:rPr>
          <w:color w:val="000000" w:themeColor="text1"/>
        </w:rPr>
        <w:t>}</w:t>
      </w:r>
    </w:p>
    <w:p w14:paraId="4ABAF8A8" w14:textId="77777777"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Competitive Status: {</w:t>
      </w:r>
      <w:r>
        <w:rPr>
          <w:color w:val="000000" w:themeColor="text1"/>
        </w:rPr>
        <w:t>$</w:t>
      </w:r>
      <w:proofErr w:type="spellStart"/>
      <w:r w:rsidRPr="004008DE">
        <w:rPr>
          <w:color w:val="000000" w:themeColor="text1"/>
        </w:rPr>
        <w:t>contract.competitiveStatus</w:t>
      </w:r>
      <w:proofErr w:type="spellEnd"/>
      <w:r w:rsidRPr="004008DE">
        <w:rPr>
          <w:color w:val="000000" w:themeColor="text1"/>
        </w:rPr>
        <w:t>}</w:t>
      </w:r>
    </w:p>
    <w:p w14:paraId="5DF49E15" w14:textId="09FDC646" w:rsidR="00CE724C" w:rsidRPr="004008DE" w:rsidRDefault="00CE724C" w:rsidP="00B62D53">
      <w:pPr>
        <w:pBdr>
          <w:top w:val="nil"/>
          <w:left w:val="nil"/>
          <w:bottom w:val="nil"/>
          <w:right w:val="nil"/>
          <w:between w:val="nil"/>
        </w:pBdr>
        <w:ind w:left="360"/>
        <w:rPr>
          <w:color w:val="000000" w:themeColor="text1"/>
        </w:rPr>
      </w:pPr>
      <w:r w:rsidRPr="004008DE">
        <w:rPr>
          <w:color w:val="000000" w:themeColor="text1"/>
        </w:rPr>
        <w:t>Business Size: {</w:t>
      </w:r>
      <w:r>
        <w:rPr>
          <w:color w:val="000000" w:themeColor="text1"/>
        </w:rPr>
        <w:t>$</w:t>
      </w:r>
      <w:proofErr w:type="spellStart"/>
      <w:r w:rsidRPr="004008DE">
        <w:rPr>
          <w:color w:val="000000" w:themeColor="text1"/>
        </w:rPr>
        <w:t>contract.businessSize</w:t>
      </w:r>
      <w:proofErr w:type="spellEnd"/>
      <w:r w:rsidRPr="004008DE">
        <w:rPr>
          <w:color w:val="000000" w:themeColor="text1"/>
        </w:rPr>
        <w:t>}</w:t>
      </w:r>
    </w:p>
    <w:p w14:paraId="12DFCE58" w14:textId="7F394B39" w:rsidR="00CE724C" w:rsidRPr="004008DE" w:rsidRDefault="00CE724C" w:rsidP="00B62D53">
      <w:pPr>
        <w:pBdr>
          <w:top w:val="nil"/>
          <w:left w:val="nil"/>
          <w:bottom w:val="nil"/>
          <w:right w:val="nil"/>
          <w:between w:val="nil"/>
        </w:pBdr>
        <w:ind w:left="360"/>
        <w:rPr>
          <w:color w:val="000000" w:themeColor="text1"/>
        </w:rPr>
      </w:pPr>
      <w:r w:rsidRPr="00E17D60">
        <w:rPr>
          <w:color w:val="00B050"/>
        </w:rPr>
        <w:t>{END-FOR contract}{END-IF}</w:t>
      </w:r>
    </w:p>
    <w:p w14:paraId="00000053" w14:textId="77777777" w:rsidR="0097505E" w:rsidRDefault="0097505E" w:rsidP="0061371A">
      <w:pPr>
        <w:pBdr>
          <w:top w:val="nil"/>
          <w:left w:val="nil"/>
          <w:bottom w:val="nil"/>
          <w:right w:val="nil"/>
          <w:between w:val="nil"/>
        </w:pBdr>
        <w:ind w:hanging="90"/>
      </w:pPr>
    </w:p>
    <w:p w14:paraId="7AC762CB" w14:textId="77777777" w:rsidR="00427901" w:rsidRPr="003D35BE" w:rsidRDefault="00427901" w:rsidP="0061371A">
      <w:pPr>
        <w:pBdr>
          <w:top w:val="nil"/>
          <w:left w:val="nil"/>
          <w:bottom w:val="nil"/>
          <w:right w:val="nil"/>
          <w:between w:val="nil"/>
        </w:pBdr>
        <w:ind w:hanging="90"/>
      </w:pPr>
    </w:p>
    <w:p w14:paraId="4C22C827" w14:textId="77777777" w:rsidR="00CE7A18" w:rsidRDefault="00CE7A18" w:rsidP="006E603C">
      <w:pPr>
        <w:ind w:hanging="90"/>
        <w:rPr>
          <w:b/>
        </w:rPr>
      </w:pPr>
      <w:r>
        <w:rPr>
          <w:b/>
        </w:rPr>
        <w:lastRenderedPageBreak/>
        <w:t>Signature:  ___________________________________</w:t>
      </w:r>
    </w:p>
    <w:p w14:paraId="6D6567A4" w14:textId="691172AF" w:rsidR="00CE7A18" w:rsidRDefault="00CE7A18" w:rsidP="00EC53F4">
      <w:pPr>
        <w:ind w:left="1170"/>
        <w:rPr>
          <w:bCs/>
          <w:i/>
        </w:rPr>
      </w:pP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61371A">
      <w:pPr>
        <w:ind w:hanging="90"/>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37220890" w:rsidR="00CE7A18" w:rsidRPr="00086F45" w:rsidRDefault="00086F45" w:rsidP="00EC53F4">
      <w:pPr>
        <w:widowControl w:val="0"/>
        <w:pBdr>
          <w:top w:val="nil"/>
          <w:left w:val="nil"/>
          <w:bottom w:val="nil"/>
          <w:right w:val="nil"/>
          <w:between w:val="nil"/>
        </w:pBdr>
        <w:ind w:left="810"/>
        <w:rPr>
          <w:color w:val="FF0000"/>
        </w:rPr>
      </w:pPr>
      <w:r w:rsidRPr="00086F45">
        <w:rPr>
          <w:color w:val="FF0000"/>
        </w:rPr>
        <w:t>Contracting Officer Name</w:t>
      </w:r>
    </w:p>
    <w:p w14:paraId="00000064" w14:textId="4E260BB8" w:rsidR="0097505E" w:rsidRPr="001252EF" w:rsidRDefault="00CE7A18" w:rsidP="00427901">
      <w:pPr>
        <w:widowControl w:val="0"/>
        <w:pBdr>
          <w:top w:val="nil"/>
          <w:left w:val="nil"/>
          <w:bottom w:val="nil"/>
          <w:right w:val="nil"/>
          <w:between w:val="nil"/>
        </w:pBdr>
        <w:ind w:left="810"/>
      </w:pPr>
      <w:r>
        <w:t>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E36A9" w14:textId="77777777" w:rsidR="008873D2" w:rsidRDefault="008873D2">
      <w:r>
        <w:separator/>
      </w:r>
    </w:p>
  </w:endnote>
  <w:endnote w:type="continuationSeparator" w:id="0">
    <w:p w14:paraId="38221C70" w14:textId="77777777" w:rsidR="008873D2" w:rsidRDefault="008873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33BCD" w14:textId="77777777" w:rsidR="008873D2" w:rsidRDefault="008873D2">
      <w:r>
        <w:separator/>
      </w:r>
    </w:p>
  </w:footnote>
  <w:footnote w:type="continuationSeparator" w:id="0">
    <w:p w14:paraId="3A2784B6" w14:textId="77777777" w:rsidR="008873D2" w:rsidRDefault="008873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F3F48"/>
    <w:multiLevelType w:val="hybridMultilevel"/>
    <w:tmpl w:val="E3BC5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8"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10"/>
  </w:num>
  <w:num w:numId="2" w16cid:durableId="1806502565">
    <w:abstractNumId w:val="0"/>
  </w:num>
  <w:num w:numId="3" w16cid:durableId="1175613835">
    <w:abstractNumId w:val="11"/>
  </w:num>
  <w:num w:numId="4" w16cid:durableId="1003360586">
    <w:abstractNumId w:val="9"/>
  </w:num>
  <w:num w:numId="5" w16cid:durableId="600991975">
    <w:abstractNumId w:val="2"/>
  </w:num>
  <w:num w:numId="6" w16cid:durableId="119302372">
    <w:abstractNumId w:val="6"/>
  </w:num>
  <w:num w:numId="7" w16cid:durableId="682130486">
    <w:abstractNumId w:val="3"/>
  </w:num>
  <w:num w:numId="8" w16cid:durableId="1119377674">
    <w:abstractNumId w:val="12"/>
  </w:num>
  <w:num w:numId="9" w16cid:durableId="1229993488">
    <w:abstractNumId w:val="8"/>
  </w:num>
  <w:num w:numId="10" w16cid:durableId="1160542478">
    <w:abstractNumId w:val="4"/>
  </w:num>
  <w:num w:numId="11" w16cid:durableId="185794966">
    <w:abstractNumId w:val="7"/>
  </w:num>
  <w:num w:numId="12" w16cid:durableId="372845811">
    <w:abstractNumId w:val="5"/>
  </w:num>
  <w:num w:numId="13" w16cid:durableId="7680451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1F81"/>
    <w:rsid w:val="000023B3"/>
    <w:rsid w:val="00005791"/>
    <w:rsid w:val="00014D5E"/>
    <w:rsid w:val="00052D27"/>
    <w:rsid w:val="00052F27"/>
    <w:rsid w:val="0006740A"/>
    <w:rsid w:val="000746BC"/>
    <w:rsid w:val="00084662"/>
    <w:rsid w:val="0008599E"/>
    <w:rsid w:val="00086F45"/>
    <w:rsid w:val="00096662"/>
    <w:rsid w:val="00097D25"/>
    <w:rsid w:val="000A27C8"/>
    <w:rsid w:val="000B50D8"/>
    <w:rsid w:val="000D49B8"/>
    <w:rsid w:val="000E008F"/>
    <w:rsid w:val="000E55CC"/>
    <w:rsid w:val="00101290"/>
    <w:rsid w:val="00106644"/>
    <w:rsid w:val="00116A14"/>
    <w:rsid w:val="001252EF"/>
    <w:rsid w:val="00126775"/>
    <w:rsid w:val="00131A87"/>
    <w:rsid w:val="001447A3"/>
    <w:rsid w:val="001461BF"/>
    <w:rsid w:val="00152014"/>
    <w:rsid w:val="00161BD9"/>
    <w:rsid w:val="00166CEF"/>
    <w:rsid w:val="00177A1F"/>
    <w:rsid w:val="001814AB"/>
    <w:rsid w:val="001A61A8"/>
    <w:rsid w:val="001E3D1E"/>
    <w:rsid w:val="002004F1"/>
    <w:rsid w:val="00203ECE"/>
    <w:rsid w:val="00224659"/>
    <w:rsid w:val="00231A84"/>
    <w:rsid w:val="002351AC"/>
    <w:rsid w:val="00237C3D"/>
    <w:rsid w:val="00253368"/>
    <w:rsid w:val="00257B64"/>
    <w:rsid w:val="00260330"/>
    <w:rsid w:val="00283E08"/>
    <w:rsid w:val="0028470F"/>
    <w:rsid w:val="002A5B10"/>
    <w:rsid w:val="002B16CA"/>
    <w:rsid w:val="002C6D71"/>
    <w:rsid w:val="002E1A8E"/>
    <w:rsid w:val="002E3C76"/>
    <w:rsid w:val="002E4FBB"/>
    <w:rsid w:val="003034AD"/>
    <w:rsid w:val="0032136B"/>
    <w:rsid w:val="003236DF"/>
    <w:rsid w:val="003259BE"/>
    <w:rsid w:val="003367D0"/>
    <w:rsid w:val="003657B8"/>
    <w:rsid w:val="003715F0"/>
    <w:rsid w:val="00387BD5"/>
    <w:rsid w:val="003A60D5"/>
    <w:rsid w:val="003C527C"/>
    <w:rsid w:val="003D35BE"/>
    <w:rsid w:val="003D392B"/>
    <w:rsid w:val="003D7ED7"/>
    <w:rsid w:val="003F2ED3"/>
    <w:rsid w:val="003F4ADF"/>
    <w:rsid w:val="00427901"/>
    <w:rsid w:val="00435FD4"/>
    <w:rsid w:val="004424A6"/>
    <w:rsid w:val="00445A0E"/>
    <w:rsid w:val="00447DAC"/>
    <w:rsid w:val="004C0A02"/>
    <w:rsid w:val="004C1322"/>
    <w:rsid w:val="004D248F"/>
    <w:rsid w:val="0050128C"/>
    <w:rsid w:val="00505E77"/>
    <w:rsid w:val="0054266A"/>
    <w:rsid w:val="00545E4F"/>
    <w:rsid w:val="005470F0"/>
    <w:rsid w:val="005542B2"/>
    <w:rsid w:val="00562BD3"/>
    <w:rsid w:val="00570923"/>
    <w:rsid w:val="005807AE"/>
    <w:rsid w:val="005A3E8D"/>
    <w:rsid w:val="005B03C0"/>
    <w:rsid w:val="005C2A04"/>
    <w:rsid w:val="005C4212"/>
    <w:rsid w:val="005D4F0E"/>
    <w:rsid w:val="005E7CA5"/>
    <w:rsid w:val="005F2179"/>
    <w:rsid w:val="0061371A"/>
    <w:rsid w:val="0062085F"/>
    <w:rsid w:val="00630CB3"/>
    <w:rsid w:val="006324C5"/>
    <w:rsid w:val="006647F0"/>
    <w:rsid w:val="006816AE"/>
    <w:rsid w:val="00685D41"/>
    <w:rsid w:val="00687CCA"/>
    <w:rsid w:val="00694D8C"/>
    <w:rsid w:val="006A2355"/>
    <w:rsid w:val="006B40A6"/>
    <w:rsid w:val="006C2AEC"/>
    <w:rsid w:val="006E489A"/>
    <w:rsid w:val="006E603C"/>
    <w:rsid w:val="006F6471"/>
    <w:rsid w:val="007407EE"/>
    <w:rsid w:val="0074695B"/>
    <w:rsid w:val="00754082"/>
    <w:rsid w:val="00762877"/>
    <w:rsid w:val="00775C4E"/>
    <w:rsid w:val="007820EA"/>
    <w:rsid w:val="007837FA"/>
    <w:rsid w:val="00786388"/>
    <w:rsid w:val="007A4842"/>
    <w:rsid w:val="007A574E"/>
    <w:rsid w:val="007A6201"/>
    <w:rsid w:val="007B43F9"/>
    <w:rsid w:val="007C48F0"/>
    <w:rsid w:val="007C7537"/>
    <w:rsid w:val="007E7922"/>
    <w:rsid w:val="008254AC"/>
    <w:rsid w:val="00840347"/>
    <w:rsid w:val="008404DB"/>
    <w:rsid w:val="00854E83"/>
    <w:rsid w:val="008809CC"/>
    <w:rsid w:val="008873D2"/>
    <w:rsid w:val="00896F10"/>
    <w:rsid w:val="008A0097"/>
    <w:rsid w:val="008A3BD7"/>
    <w:rsid w:val="008B1A2E"/>
    <w:rsid w:val="008C6432"/>
    <w:rsid w:val="008D6FB4"/>
    <w:rsid w:val="009128FF"/>
    <w:rsid w:val="0091671B"/>
    <w:rsid w:val="009219EA"/>
    <w:rsid w:val="00942BE3"/>
    <w:rsid w:val="00952946"/>
    <w:rsid w:val="009628A6"/>
    <w:rsid w:val="009705EB"/>
    <w:rsid w:val="0097505E"/>
    <w:rsid w:val="00993F56"/>
    <w:rsid w:val="009C405D"/>
    <w:rsid w:val="009D6DC1"/>
    <w:rsid w:val="009E6DB4"/>
    <w:rsid w:val="009F1520"/>
    <w:rsid w:val="00A1784C"/>
    <w:rsid w:val="00A23D4F"/>
    <w:rsid w:val="00A240A0"/>
    <w:rsid w:val="00A6617A"/>
    <w:rsid w:val="00A73BD1"/>
    <w:rsid w:val="00A92346"/>
    <w:rsid w:val="00A92E9E"/>
    <w:rsid w:val="00AA2E18"/>
    <w:rsid w:val="00AD2D33"/>
    <w:rsid w:val="00B1416E"/>
    <w:rsid w:val="00B237A4"/>
    <w:rsid w:val="00B3491F"/>
    <w:rsid w:val="00B62354"/>
    <w:rsid w:val="00B62D53"/>
    <w:rsid w:val="00B6507A"/>
    <w:rsid w:val="00B94714"/>
    <w:rsid w:val="00BA3284"/>
    <w:rsid w:val="00BA6100"/>
    <w:rsid w:val="00BB27AC"/>
    <w:rsid w:val="00BB2C8B"/>
    <w:rsid w:val="00C134D9"/>
    <w:rsid w:val="00C15B2E"/>
    <w:rsid w:val="00C21733"/>
    <w:rsid w:val="00C2439C"/>
    <w:rsid w:val="00C54D7B"/>
    <w:rsid w:val="00C72366"/>
    <w:rsid w:val="00C73A23"/>
    <w:rsid w:val="00C80BFC"/>
    <w:rsid w:val="00CE724C"/>
    <w:rsid w:val="00CE7A18"/>
    <w:rsid w:val="00D12DE0"/>
    <w:rsid w:val="00D241E8"/>
    <w:rsid w:val="00D3193A"/>
    <w:rsid w:val="00D408A4"/>
    <w:rsid w:val="00D546BE"/>
    <w:rsid w:val="00D971DA"/>
    <w:rsid w:val="00DB5C0D"/>
    <w:rsid w:val="00DC4D07"/>
    <w:rsid w:val="00DD0404"/>
    <w:rsid w:val="00DD5920"/>
    <w:rsid w:val="00DE0FC0"/>
    <w:rsid w:val="00DF21B4"/>
    <w:rsid w:val="00DF4C7F"/>
    <w:rsid w:val="00E04AA8"/>
    <w:rsid w:val="00E1164B"/>
    <w:rsid w:val="00E132EB"/>
    <w:rsid w:val="00E17D60"/>
    <w:rsid w:val="00E30BF1"/>
    <w:rsid w:val="00E34AE2"/>
    <w:rsid w:val="00E413FD"/>
    <w:rsid w:val="00E624F8"/>
    <w:rsid w:val="00E82A80"/>
    <w:rsid w:val="00E91482"/>
    <w:rsid w:val="00EA58AB"/>
    <w:rsid w:val="00EB52A5"/>
    <w:rsid w:val="00EC53F4"/>
    <w:rsid w:val="00EC7B2E"/>
    <w:rsid w:val="00ED0138"/>
    <w:rsid w:val="00ED7AA9"/>
    <w:rsid w:val="00ED7EE9"/>
    <w:rsid w:val="00EE3C1E"/>
    <w:rsid w:val="00EE56B5"/>
    <w:rsid w:val="00EE5B1A"/>
    <w:rsid w:val="00F00D1C"/>
    <w:rsid w:val="00F017A3"/>
    <w:rsid w:val="00F24A2C"/>
    <w:rsid w:val="00F30173"/>
    <w:rsid w:val="00F66936"/>
    <w:rsid w:val="00F71E04"/>
    <w:rsid w:val="00F9163F"/>
    <w:rsid w:val="00FA277F"/>
    <w:rsid w:val="00FA4FF1"/>
    <w:rsid w:val="00FA7AC3"/>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4056">
      <w:bodyDiv w:val="1"/>
      <w:marLeft w:val="0"/>
      <w:marRight w:val="0"/>
      <w:marTop w:val="0"/>
      <w:marBottom w:val="0"/>
      <w:divBdr>
        <w:top w:val="none" w:sz="0" w:space="0" w:color="auto"/>
        <w:left w:val="none" w:sz="0" w:space="0" w:color="auto"/>
        <w:bottom w:val="none" w:sz="0" w:space="0" w:color="auto"/>
        <w:right w:val="none" w:sz="0" w:space="0" w:color="auto"/>
      </w:divBdr>
      <w:divsChild>
        <w:div w:id="1452288902">
          <w:marLeft w:val="0"/>
          <w:marRight w:val="0"/>
          <w:marTop w:val="0"/>
          <w:marBottom w:val="0"/>
          <w:divBdr>
            <w:top w:val="none" w:sz="0" w:space="0" w:color="auto"/>
            <w:left w:val="none" w:sz="0" w:space="0" w:color="auto"/>
            <w:bottom w:val="none" w:sz="0" w:space="0" w:color="auto"/>
            <w:right w:val="none" w:sz="0" w:space="0" w:color="auto"/>
          </w:divBdr>
          <w:divsChild>
            <w:div w:id="103639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Props1.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9015</TotalTime>
  <Pages>3</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Hayes</cp:lastModifiedBy>
  <cp:revision>116</cp:revision>
  <dcterms:created xsi:type="dcterms:W3CDTF">2023-01-12T17:33:00Z</dcterms:created>
  <dcterms:modified xsi:type="dcterms:W3CDTF">2023-06-28T15:11:00Z</dcterms:modified>
</cp:coreProperties>
</file>