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aps/>
          <w:color w:val="666666"/>
          <w:sz w:val="24"/>
          <w:szCs w:val="24"/>
        </w:rPr>
        <w:t xml:space="preserve">Free Spirit Tours</w:t>
      </w:r>
    </w:p>
    <w:p>
      <w:pPr>
        <w:spacing w:after="160" w:before="200"/>
        <w:jc w:val="center"/>
      </w:pPr>
      <w:r>
        <w:rPr>
          <w:b/>
          <w:bCs/>
          <w:color w:val="1F3B57"/>
          <w:sz w:val="56"/>
          <w:szCs w:val="56"/>
        </w:rPr>
        <w:t xml:space="preserve">Evidencija</w:t>
      </w:r>
    </w:p>
    <w:p>
      <w:pPr>
        <w:spacing w:after="600"/>
        <w:jc w:val="center"/>
      </w:pPr>
      <w:r>
        <w:rPr>
          <w:i/>
          <w:iCs/>
          <w:color w:val="666666"/>
          <w:sz w:val="26"/>
          <w:szCs w:val="26"/>
        </w:rPr>
        <w:t xml:space="preserve">Guide Production Dashboard — Project Guide</w:t>
      </w:r>
    </w:p>
    <w:p>
      <w:pPr>
        <w:spacing w:after="60"/>
        <w:jc w:val="center"/>
      </w:pPr>
      <w:r>
        <w:rPr>
          <w:color w:val="666666"/>
          <w:sz w:val="20"/>
          <w:szCs w:val="20"/>
        </w:rPr>
        <w:t xml:space="preserve">Standalone technical overview for a new maintainer: architecture, data pipeline, all four tabs, deployment</w:t>
      </w:r>
    </w:p>
    <w:p>
      <w:pPr>
        <w:spacing w:after="60"/>
        <w:jc w:val="center"/>
      </w:pPr>
      <w:r>
        <w:rPr>
          <w:color w:val="666666"/>
          <w:sz w:val="20"/>
          <w:szCs w:val="20"/>
        </w:rPr>
        <w:t xml:space="preserve">Written to stand on its own — no other project files travel with this document</w:t>
      </w:r>
    </w:p>
    <w:p>
      <w:pPr>
        <w:spacing w:after="60"/>
        <w:jc w:val="center"/>
      </w:pPr>
      <w:r>
        <w:rPr>
          <w:color w:val="666666"/>
          <w:sz w:val="20"/>
          <w:szCs w:val="20"/>
        </w:rPr>
        <w:t xml:space="preserve">Croatian version: evidencija-project-guide-hr.docx</w:t>
      </w:r>
    </w:p>
    <w:p>
      <w:r>
        <w:br w:type="page"/>
      </w:r>
    </w:p>
    <w:p>
      <w:pPr>
        <w:pStyle w:val="Heading1"/>
        <w:pBdr>
          <w:bottom w:val="single" w:color="1F3B57" w:sz="6" w:space="4"/>
        </w:pBdr>
        <w:spacing w:after="160" w:before="360"/>
      </w:pPr>
      <w:r>
        <w:rPr>
          <w:b/>
          <w:bCs/>
          <w:color w:val="1F3B57"/>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B57" w:sz="6" w:space="4"/>
        </w:pBdr>
        <w:spacing w:after="160" w:before="360"/>
      </w:pPr>
      <w:r>
        <w:rPr>
          <w:b/>
          <w:bCs/>
          <w:color w:val="1F3B57"/>
          <w:sz w:val="32"/>
          <w:szCs w:val="32"/>
        </w:rPr>
        <w:t xml:space="preserve">What this is</w:t>
      </w:r>
    </w:p>
    <w:p>
      <w:pPr>
        <w:spacing w:after="120"/>
      </w:pPr>
      <w:r>
        <w:rPr>
          <w:sz w:val="21"/>
          <w:szCs w:val="21"/>
        </w:rPr>
        <w:t xml:space="preserve">Evidencija is an internal business-intelligence dashboard tracking tour-guide production for Free Spirit Tours: how many tours each guide ran, how many people they carried, how those tours performed financially. It's a static site — plain HTML, CSS and JavaScript, no backend and no live database. All the numbers are pre-computed into two generated JavaScript data files that the browser loads directly; there is nothing to query at view time beyond in-browser filtering and re-aggregation.</w:t>
      </w:r>
    </w:p>
    <w:p>
      <w:pPr>
        <w:spacing w:after="120"/>
      </w:pPr>
      <w:r>
        <w:rPr>
          <w:sz w:val="21"/>
          <w:szCs w:val="21"/>
        </w:rPr>
        <w:t xml:space="preserve">It's one of three related reports Free Spirit Tours runs (the others cover sales pipeline and monthly tour recap), sharing a small CSS/JS foundation for navigation, theming and KPI-card styling. Evidencija is the deepest and most actively developed of the three — it outgrew the shared foundation's rendering helpers and has its own module architecture (see Architecture below).</w:t>
      </w:r>
    </w:p>
    <w:p>
      <w:pPr>
        <w:spacing w:after="120"/>
      </w:pPr>
      <w:r>
        <w:rPr>
          <w:sz w:val="21"/>
          <w:szCs w:val="21"/>
        </w:rPr>
        <w:t xml:space="preserve">The primary user is a single director-level owner who checks it regularly — weekly or more — to answer questions like "how is this guide doing this year vs. last" or "what does this month's margin look like." The design deliberately favors density over hand-holding: an expert user who already knows the business, not a general audience.</w:t>
      </w:r>
    </w:p>
    <w:p>
      <w:pPr>
        <w:pStyle w:val="Heading1"/>
        <w:pBdr>
          <w:bottom w:val="single" w:color="1F3B57" w:sz="6" w:space="4"/>
        </w:pBdr>
        <w:spacing w:after="160" w:before="360"/>
      </w:pPr>
      <w:r>
        <w:rPr>
          <w:b/>
          <w:bCs/>
          <w:color w:val="1F3B57"/>
          <w:sz w:val="32"/>
          <w:szCs w:val="32"/>
        </w:rPr>
        <w:t xml:space="preserve">Architecture</w:t>
      </w:r>
    </w:p>
    <w:p>
      <w:pPr>
        <w:spacing w:after="120"/>
      </w:pPr>
      <w:r>
        <w:rPr>
          <w:sz w:val="21"/>
          <w:szCs w:val="21"/>
        </w:rPr>
        <w:t xml:space="preserve">No backend, no database, no server-side code. The whole thing is a static bundle of files that could be hosted from literally any static file host — currently GitHub Pages (see Deployment).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B57" w:val="clear"/>
            <w:tcMar>
              <w:top w:type="dxa" w:w="80"/>
              <w:left w:type="dxa" w:w="100"/>
              <w:bottom w:type="dxa" w:w="80"/>
              <w:right w:type="dxa" w:w="100"/>
            </w:tcMar>
          </w:tcPr>
          <w:p>
            <w:r>
              <w:rPr>
                <w:b/>
                <w:bCs/>
                <w:color w:val="FFFFFF"/>
                <w:sz w:val="18"/>
                <w:szCs w:val="18"/>
              </w:rPr>
              <w:t xml:space="preserve">Piece</w:t>
            </w:r>
          </w:p>
        </w:tc>
        <w:tc>
          <w:tcPr>
            <w:tcW w:type="dxa" w:w="6800"/>
            <w:shd w:fill="1F3B57" w:val="clear"/>
            <w:tcMar>
              <w:top w:type="dxa" w:w="80"/>
              <w:left w:type="dxa" w:w="100"/>
              <w:bottom w:type="dxa" w:w="80"/>
              <w:right w:type="dxa" w:w="100"/>
            </w:tcMar>
          </w:tcPr>
          <w:p>
            <w:r>
              <w:rPr>
                <w:b/>
                <w:bCs/>
                <w:color w:val="FFFFFF"/>
                <w:sz w:val="18"/>
                <w:szCs w:val="18"/>
              </w:rPr>
              <w:t xml:space="preserve">What it is</w:t>
            </w:r>
          </w:p>
        </w:tc>
      </w:tr>
      <w:tr>
        <w:tc>
          <w:tcPr>
            <w:tcW w:type="dxa" w:w="2600"/>
            <w:tcMar>
              <w:top w:type="dxa" w:w="60"/>
              <w:left w:type="dxa" w:w="100"/>
              <w:bottom w:type="dxa" w:w="60"/>
              <w:right w:type="dxa" w:w="100"/>
            </w:tcMar>
          </w:tcPr>
          <w:p>
            <w:r>
              <w:rPr>
                <w:sz w:val="17"/>
                <w:szCs w:val="17"/>
              </w:rPr>
              <w:t xml:space="preserve">JavaScript</w:t>
            </w:r>
          </w:p>
        </w:tc>
        <w:tc>
          <w:tcPr>
            <w:tcW w:type="dxa" w:w="6800"/>
            <w:tcMar>
              <w:top w:type="dxa" w:w="60"/>
              <w:left w:type="dxa" w:w="100"/>
              <w:bottom w:type="dxa" w:w="60"/>
              <w:right w:type="dxa" w:w="100"/>
            </w:tcMar>
          </w:tcPr>
          <w:p>
            <w:r>
              <w:rPr>
                <w:sz w:val="17"/>
                <w:szCs w:val="17"/>
              </w:rPr>
              <w:t xml:space="preserve">Plain ES modules, bundled with esbuild into a single IIFE file (dist/app.js, ~208kb). No framework (no React/Vue/etc.).</w:t>
            </w:r>
          </w:p>
        </w:tc>
      </w:tr>
      <w:tr>
        <w:tc>
          <w:tcPr>
            <w:tcW w:type="dxa" w:w="2600"/>
            <w:tcMar>
              <w:top w:type="dxa" w:w="60"/>
              <w:left w:type="dxa" w:w="100"/>
              <w:bottom w:type="dxa" w:w="60"/>
              <w:right w:type="dxa" w:w="100"/>
            </w:tcMar>
          </w:tcPr>
          <w:p>
            <w:r>
              <w:rPr>
                <w:sz w:val="17"/>
                <w:szCs w:val="17"/>
              </w:rPr>
              <w:t xml:space="preserve">Charts</w:t>
            </w:r>
          </w:p>
        </w:tc>
        <w:tc>
          <w:tcPr>
            <w:tcW w:type="dxa" w:w="6800"/>
            <w:tcMar>
              <w:top w:type="dxa" w:w="60"/>
              <w:left w:type="dxa" w:w="100"/>
              <w:bottom w:type="dxa" w:w="60"/>
              <w:right w:type="dxa" w:w="100"/>
            </w:tcMar>
          </w:tcPr>
          <w:p>
            <w:r>
              <w:rPr>
                <w:sz w:val="17"/>
                <w:szCs w:val="17"/>
              </w:rPr>
              <w:t xml:space="preserve">Chart.js 4.4.1, loaded from a CDN — not bundled.</w:t>
            </w:r>
          </w:p>
        </w:tc>
      </w:tr>
      <w:tr>
        <w:tc>
          <w:tcPr>
            <w:tcW w:type="dxa" w:w="2600"/>
            <w:tcMar>
              <w:top w:type="dxa" w:w="60"/>
              <w:left w:type="dxa" w:w="100"/>
              <w:bottom w:type="dxa" w:w="60"/>
              <w:right w:type="dxa" w:w="100"/>
            </w:tcMar>
          </w:tcPr>
          <w:p>
            <w:r>
              <w:rPr>
                <w:sz w:val="17"/>
                <w:szCs w:val="17"/>
              </w:rPr>
              <w:t xml:space="preserve">Data extraction</w:t>
            </w:r>
          </w:p>
        </w:tc>
        <w:tc>
          <w:tcPr>
            <w:tcW w:type="dxa" w:w="6800"/>
            <w:tcMar>
              <w:top w:type="dxa" w:w="60"/>
              <w:left w:type="dxa" w:w="100"/>
              <w:bottom w:type="dxa" w:w="60"/>
              <w:right w:type="dxa" w:w="100"/>
            </w:tcMar>
          </w:tcPr>
          <w:p>
            <w:r>
              <w:rPr>
                <w:sz w:val="17"/>
                <w:szCs w:val="17"/>
              </w:rPr>
              <w:t xml:space="preserve">Python 3 + openpyxl, run manually or via CI, reads the source Excel/Sheet and writes plain JS data files.</w:t>
            </w:r>
          </w:p>
        </w:tc>
      </w:tr>
      <w:tr>
        <w:tc>
          <w:tcPr>
            <w:tcW w:type="dxa" w:w="2600"/>
            <w:tcMar>
              <w:top w:type="dxa" w:w="60"/>
              <w:left w:type="dxa" w:w="100"/>
              <w:bottom w:type="dxa" w:w="60"/>
              <w:right w:type="dxa" w:w="100"/>
            </w:tcMar>
          </w:tcPr>
          <w:p>
            <w:r>
              <w:rPr>
                <w:sz w:val="17"/>
                <w:szCs w:val="17"/>
              </w:rPr>
              <w:t xml:space="preserve">Fonts</w:t>
            </w:r>
          </w:p>
        </w:tc>
        <w:tc>
          <w:tcPr>
            <w:tcW w:type="dxa" w:w="6800"/>
            <w:tcMar>
              <w:top w:type="dxa" w:w="60"/>
              <w:left w:type="dxa" w:w="100"/>
              <w:bottom w:type="dxa" w:w="60"/>
              <w:right w:type="dxa" w:w="100"/>
            </w:tcMar>
          </w:tcPr>
          <w:p>
            <w:r>
              <w:rPr>
                <w:sz w:val="17"/>
                <w:szCs w:val="17"/>
              </w:rPr>
              <w:t xml:space="preserve">Google Fonts — Playfair Display (display), Montserrat (UI), Inconsolata (data/numbers).</w:t>
            </w:r>
          </w:p>
        </w:tc>
      </w:tr>
      <w:tr>
        <w:tc>
          <w:tcPr>
            <w:tcW w:type="dxa" w:w="2600"/>
            <w:tcMar>
              <w:top w:type="dxa" w:w="60"/>
              <w:left w:type="dxa" w:w="100"/>
              <w:bottom w:type="dxa" w:w="60"/>
              <w:right w:type="dxa" w:w="100"/>
            </w:tcMar>
          </w:tcPr>
          <w:p>
            <w:r>
              <w:rPr>
                <w:sz w:val="17"/>
                <w:szCs w:val="17"/>
              </w:rPr>
              <w:t xml:space="preserve">Tests</w:t>
            </w:r>
          </w:p>
        </w:tc>
        <w:tc>
          <w:tcPr>
            <w:tcW w:type="dxa" w:w="6800"/>
            <w:tcMar>
              <w:top w:type="dxa" w:w="60"/>
              <w:left w:type="dxa" w:w="100"/>
              <w:bottom w:type="dxa" w:w="60"/>
              <w:right w:type="dxa" w:w="100"/>
            </w:tcMar>
          </w:tcPr>
          <w:p>
            <w:r>
              <w:rPr>
                <w:sz w:val="17"/>
                <w:szCs w:val="17"/>
              </w:rPr>
              <w:t xml:space="preserve">Vitest for the JS (filteredStats, date helpers, management helpers); pytest for the Python extractor.</w:t>
            </w:r>
          </w:p>
        </w:tc>
      </w:tr>
      <w:tr>
        <w:tc>
          <w:tcPr>
            <w:tcW w:type="dxa" w:w="2600"/>
            <w:tcMar>
              <w:top w:type="dxa" w:w="60"/>
              <w:left w:type="dxa" w:w="100"/>
              <w:bottom w:type="dxa" w:w="60"/>
              <w:right w:type="dxa" w:w="100"/>
            </w:tcMar>
          </w:tcPr>
          <w:p>
            <w:r>
              <w:rPr>
                <w:sz w:val="17"/>
                <w:szCs w:val="17"/>
              </w:rPr>
              <w:t xml:space="preserve">CI</w:t>
            </w:r>
          </w:p>
        </w:tc>
        <w:tc>
          <w:tcPr>
            <w:tcW w:type="dxa" w:w="6800"/>
            <w:tcMar>
              <w:top w:type="dxa" w:w="60"/>
              <w:left w:type="dxa" w:w="100"/>
              <w:bottom w:type="dxa" w:w="60"/>
              <w:right w:type="dxa" w:w="100"/>
            </w:tcMar>
          </w:tcPr>
          <w:p>
            <w:r>
              <w:rPr>
                <w:sz w:val="17"/>
                <w:szCs w:val="17"/>
              </w:rPr>
              <w:t xml:space="preserve">GitHub Actions runs both test suites on every push and pull request.</w:t>
            </w:r>
          </w:p>
        </w:tc>
      </w:tr>
    </w:tbl>
    <w:p>
      <w:pPr>
        <w:pStyle w:val="Heading2"/>
        <w:spacing w:after="120" w:before="280"/>
      </w:pPr>
      <w:r>
        <w:rPr>
          <w:b/>
          <w:bCs/>
          <w:color w:val="1F3B57"/>
          <w:sz w:val="26"/>
          <w:szCs w:val="26"/>
        </w:rPr>
        <w:t xml:space="preserve">File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1F3B57" w:val="clear"/>
            <w:tcMar>
              <w:top w:type="dxa" w:w="80"/>
              <w:left w:type="dxa" w:w="100"/>
              <w:bottom w:type="dxa" w:w="80"/>
              <w:right w:type="dxa" w:w="100"/>
            </w:tcMar>
          </w:tcPr>
          <w:p>
            <w:r>
              <w:rPr>
                <w:b/>
                <w:bCs/>
                <w:color w:val="FFFFFF"/>
                <w:sz w:val="18"/>
                <w:szCs w:val="18"/>
              </w:rPr>
              <w:t xml:space="preserve">File / folder</w:t>
            </w:r>
          </w:p>
        </w:tc>
        <w:tc>
          <w:tcPr>
            <w:tcW w:type="dxa" w:w="6600"/>
            <w:shd w:fill="1F3B57" w:val="clear"/>
            <w:tcMar>
              <w:top w:type="dxa" w:w="80"/>
              <w:left w:type="dxa" w:w="100"/>
              <w:bottom w:type="dxa" w:w="80"/>
              <w:right w:type="dxa" w:w="100"/>
            </w:tcMar>
          </w:tcPr>
          <w:p>
            <w:r>
              <w:rPr>
                <w:b/>
                <w:bCs/>
                <w:color w:val="FFFFFF"/>
                <w:sz w:val="18"/>
                <w:szCs w:val="18"/>
              </w:rPr>
              <w:t xml:space="preserve">Role</w:t>
            </w:r>
          </w:p>
        </w:tc>
      </w:tr>
      <w:tr>
        <w:tc>
          <w:tcPr>
            <w:tcW w:type="dxa" w:w="2800"/>
            <w:tcMar>
              <w:top w:type="dxa" w:w="60"/>
              <w:left w:type="dxa" w:w="100"/>
              <w:bottom w:type="dxa" w:w="60"/>
              <w:right w:type="dxa" w:w="100"/>
            </w:tcMar>
          </w:tcPr>
          <w:p>
            <w:r>
              <w:rPr>
                <w:sz w:val="17"/>
                <w:szCs w:val="17"/>
              </w:rPr>
              <w:t xml:space="preserve">index.html</w:t>
            </w:r>
          </w:p>
        </w:tc>
        <w:tc>
          <w:tcPr>
            <w:tcW w:type="dxa" w:w="6600"/>
            <w:tcMar>
              <w:top w:type="dxa" w:w="60"/>
              <w:left w:type="dxa" w:w="100"/>
              <w:bottom w:type="dxa" w:w="60"/>
              <w:right w:type="dxa" w:w="100"/>
            </w:tcMar>
          </w:tcPr>
          <w:p>
            <w:r>
              <w:rPr>
                <w:sz w:val="17"/>
                <w:szCs w:val="17"/>
              </w:rPr>
              <w:t xml:space="preserve">The page shell — four empty tab containers plus the Management sub-nav HTML. Never edited for a data update.</w:t>
            </w:r>
          </w:p>
        </w:tc>
      </w:tr>
      <w:tr>
        <w:tc>
          <w:tcPr>
            <w:tcW w:type="dxa" w:w="2800"/>
            <w:tcMar>
              <w:top w:type="dxa" w:w="60"/>
              <w:left w:type="dxa" w:w="100"/>
              <w:bottom w:type="dxa" w:w="60"/>
              <w:right w:type="dxa" w:w="100"/>
            </w:tcMar>
          </w:tcPr>
          <w:p>
            <w:r>
              <w:rPr>
                <w:sz w:val="17"/>
                <w:szCs w:val="17"/>
              </w:rPr>
              <w:t xml:space="preserve">guides.css</w:t>
            </w:r>
          </w:p>
        </w:tc>
        <w:tc>
          <w:tcPr>
            <w:tcW w:type="dxa" w:w="6600"/>
            <w:tcMar>
              <w:top w:type="dxa" w:w="60"/>
              <w:left w:type="dxa" w:w="100"/>
              <w:bottom w:type="dxa" w:w="60"/>
              <w:right w:type="dxa" w:w="100"/>
            </w:tcMar>
          </w:tcPr>
          <w:p>
            <w:r>
              <w:rPr>
                <w:sz w:val="17"/>
                <w:szCs w:val="17"/>
              </w:rPr>
              <w:t xml:space="preserve">All evidencija-specific styling: layout, filter bar, date picker, guide cards, management dashboard, colors.</w:t>
            </w:r>
          </w:p>
        </w:tc>
      </w:tr>
      <w:tr>
        <w:tc>
          <w:tcPr>
            <w:tcW w:type="dxa" w:w="2800"/>
            <w:tcMar>
              <w:top w:type="dxa" w:w="60"/>
              <w:left w:type="dxa" w:w="100"/>
              <w:bottom w:type="dxa" w:w="60"/>
              <w:right w:type="dxa" w:w="100"/>
            </w:tcMar>
          </w:tcPr>
          <w:p>
            <w:r>
              <w:rPr>
                <w:sz w:val="17"/>
                <w:szCs w:val="17"/>
              </w:rPr>
              <w:t xml:space="preserve">data-2025.js / data-2026.js</w:t>
            </w:r>
          </w:p>
        </w:tc>
        <w:tc>
          <w:tcPr>
            <w:tcW w:type="dxa" w:w="6600"/>
            <w:tcMar>
              <w:top w:type="dxa" w:w="60"/>
              <w:left w:type="dxa" w:w="100"/>
              <w:bottom w:type="dxa" w:w="60"/>
              <w:right w:type="dxa" w:w="100"/>
            </w:tcMar>
          </w:tcPr>
          <w:p>
            <w:r>
              <w:rPr>
                <w:sz w:val="17"/>
                <w:szCs w:val="17"/>
              </w:rPr>
              <w:t xml:space="preserve">Generated data files — not hand-edited. Loaded as separate &lt;script&gt; tags, not bundled into dist/app.js, so a data-only update needs no rebuild.</w:t>
            </w:r>
          </w:p>
        </w:tc>
      </w:tr>
      <w:tr>
        <w:tc>
          <w:tcPr>
            <w:tcW w:type="dxa" w:w="2800"/>
            <w:tcMar>
              <w:top w:type="dxa" w:w="60"/>
              <w:left w:type="dxa" w:w="100"/>
              <w:bottom w:type="dxa" w:w="60"/>
              <w:right w:type="dxa" w:w="100"/>
            </w:tcMar>
          </w:tcPr>
          <w:p>
            <w:r>
              <w:rPr>
                <w:sz w:val="17"/>
                <w:szCs w:val="17"/>
              </w:rPr>
              <w:t xml:space="preserve">src/main.js</w:t>
            </w:r>
          </w:p>
        </w:tc>
        <w:tc>
          <w:tcPr>
            <w:tcW w:type="dxa" w:w="6600"/>
            <w:tcMar>
              <w:top w:type="dxa" w:w="60"/>
              <w:left w:type="dxa" w:w="100"/>
              <w:bottom w:type="dxa" w:w="60"/>
              <w:right w:type="dxa" w:w="100"/>
            </w:tcMar>
          </w:tcPr>
          <w:p>
            <w:r>
              <w:rPr>
                <w:sz w:val="17"/>
                <w:szCs w:val="17"/>
              </w:rPr>
              <w:t xml:space="preserve">Entry point — boots theme/language, exposes page objects as window globals, wires keyboard shortcuts and tab navigation.</w:t>
            </w:r>
          </w:p>
        </w:tc>
      </w:tr>
      <w:tr>
        <w:tc>
          <w:tcPr>
            <w:tcW w:type="dxa" w:w="2800"/>
            <w:tcMar>
              <w:top w:type="dxa" w:w="60"/>
              <w:left w:type="dxa" w:w="100"/>
              <w:bottom w:type="dxa" w:w="60"/>
              <w:right w:type="dxa" w:w="100"/>
            </w:tcMar>
          </w:tcPr>
          <w:p>
            <w:r>
              <w:rPr>
                <w:sz w:val="17"/>
                <w:szCs w:val="17"/>
              </w:rPr>
              <w:t xml:space="preserve">src/shared.js</w:t>
            </w:r>
          </w:p>
        </w:tc>
        <w:tc>
          <w:tcPr>
            <w:tcW w:type="dxa" w:w="6600"/>
            <w:tcMar>
              <w:top w:type="dxa" w:w="60"/>
              <w:left w:type="dxa" w:w="100"/>
              <w:bottom w:type="dxa" w:w="60"/>
              <w:right w:type="dxa" w:w="100"/>
            </w:tcMar>
          </w:tcPr>
          <w:p>
            <w:r>
              <w:rPr>
                <w:sz w:val="17"/>
                <w:szCs w:val="17"/>
              </w:rPr>
              <w:t xml:space="preserve">Shared constants (CITIES, PAGES registry), filteredStats() (the central date-cutoff filtering logic), showPage(), updateDateAsOf().</w:t>
            </w:r>
          </w:p>
        </w:tc>
      </w:tr>
      <w:tr>
        <w:tc>
          <w:tcPr>
            <w:tcW w:type="dxa" w:w="2800"/>
            <w:tcMar>
              <w:top w:type="dxa" w:w="60"/>
              <w:left w:type="dxa" w:w="100"/>
              <w:bottom w:type="dxa" w:w="60"/>
              <w:right w:type="dxa" w:w="100"/>
            </w:tcMar>
          </w:tcPr>
          <w:p>
            <w:r>
              <w:rPr>
                <w:sz w:val="17"/>
                <w:szCs w:val="17"/>
              </w:rPr>
              <w:t xml:space="preserve">src/i18n.js</w:t>
            </w:r>
          </w:p>
        </w:tc>
        <w:tc>
          <w:tcPr>
            <w:tcW w:type="dxa" w:w="6600"/>
            <w:tcMar>
              <w:top w:type="dxa" w:w="60"/>
              <w:left w:type="dxa" w:w="100"/>
              <w:bottom w:type="dxa" w:w="60"/>
              <w:right w:type="dxa" w:w="100"/>
            </w:tcMar>
          </w:tcPr>
          <w:p>
            <w:r>
              <w:rPr>
                <w:sz w:val="17"/>
                <w:szCs w:val="17"/>
              </w:rPr>
              <w:t xml:space="preserve">Croatian/English UI string translations and the t() helper.</w:t>
            </w:r>
          </w:p>
        </w:tc>
      </w:tr>
      <w:tr>
        <w:tc>
          <w:tcPr>
            <w:tcW w:type="dxa" w:w="2800"/>
            <w:tcMar>
              <w:top w:type="dxa" w:w="60"/>
              <w:left w:type="dxa" w:w="100"/>
              <w:bottom w:type="dxa" w:w="60"/>
              <w:right w:type="dxa" w:w="100"/>
            </w:tcMar>
          </w:tcPr>
          <w:p>
            <w:r>
              <w:rPr>
                <w:sz w:val="17"/>
                <w:szCs w:val="17"/>
              </w:rPr>
              <w:t xml:space="preserve">src/theme.js</w:t>
            </w:r>
          </w:p>
        </w:tc>
        <w:tc>
          <w:tcPr>
            <w:tcW w:type="dxa" w:w="6600"/>
            <w:tcMar>
              <w:top w:type="dxa" w:w="60"/>
              <w:left w:type="dxa" w:w="100"/>
              <w:bottom w:type="dxa" w:w="60"/>
              <w:right w:type="dxa" w:w="100"/>
            </w:tcMar>
          </w:tcPr>
          <w:p>
            <w:r>
              <w:rPr>
                <w:sz w:val="17"/>
                <w:szCs w:val="17"/>
              </w:rPr>
              <w:t xml:space="preserve">Dark/light theme toggle, persisted to localStorage.</w:t>
            </w:r>
          </w:p>
        </w:tc>
      </w:tr>
      <w:tr>
        <w:tc>
          <w:tcPr>
            <w:tcW w:type="dxa" w:w="2800"/>
            <w:tcMar>
              <w:top w:type="dxa" w:w="60"/>
              <w:left w:type="dxa" w:w="100"/>
              <w:bottom w:type="dxa" w:w="60"/>
              <w:right w:type="dxa" w:w="100"/>
            </w:tcMar>
          </w:tcPr>
          <w:p>
            <w:r>
              <w:rPr>
                <w:sz w:val="17"/>
                <w:szCs w:val="17"/>
              </w:rPr>
              <w:t xml:space="preserve">src/pages/page-2025.js, page-2026.js</w:t>
            </w:r>
          </w:p>
        </w:tc>
        <w:tc>
          <w:tcPr>
            <w:tcW w:type="dxa" w:w="6600"/>
            <w:tcMar>
              <w:top w:type="dxa" w:w="60"/>
              <w:left w:type="dxa" w:w="100"/>
              <w:bottom w:type="dxa" w:w="60"/>
              <w:right w:type="dxa" w:w="100"/>
            </w:tcMar>
          </w:tcPr>
          <w:p>
            <w:r>
              <w:rPr>
                <w:sz w:val="17"/>
                <w:szCs w:val="17"/>
              </w:rPr>
              <w:t xml:space="preserve">Render logic for the two single-year tabs.</w:t>
            </w:r>
          </w:p>
        </w:tc>
      </w:tr>
      <w:tr>
        <w:tc>
          <w:tcPr>
            <w:tcW w:type="dxa" w:w="2800"/>
            <w:tcMar>
              <w:top w:type="dxa" w:w="60"/>
              <w:left w:type="dxa" w:w="100"/>
              <w:bottom w:type="dxa" w:w="60"/>
              <w:right w:type="dxa" w:w="100"/>
            </w:tcMar>
          </w:tcPr>
          <w:p>
            <w:r>
              <w:rPr>
                <w:sz w:val="17"/>
                <w:szCs w:val="17"/>
              </w:rPr>
              <w:t xml:space="preserve">src/pages/page-cmp/index.js</w:t>
            </w:r>
          </w:p>
        </w:tc>
        <w:tc>
          <w:tcPr>
            <w:tcW w:type="dxa" w:w="6600"/>
            <w:tcMar>
              <w:top w:type="dxa" w:w="60"/>
              <w:left w:type="dxa" w:w="100"/>
              <w:bottom w:type="dxa" w:w="60"/>
              <w:right w:type="dxa" w:w="100"/>
            </w:tcMar>
          </w:tcPr>
          <w:p>
            <w:r>
              <w:rPr>
                <w:sz w:val="17"/>
                <w:szCs w:val="17"/>
              </w:rPr>
              <w:t xml:space="preserve">Render logic and Chart.js instances for the year-over-year Comparison tab.</w:t>
            </w:r>
          </w:p>
        </w:tc>
      </w:tr>
      <w:tr>
        <w:tc>
          <w:tcPr>
            <w:tcW w:type="dxa" w:w="2800"/>
            <w:tcMar>
              <w:top w:type="dxa" w:w="60"/>
              <w:left w:type="dxa" w:w="100"/>
              <w:bottom w:type="dxa" w:w="60"/>
              <w:right w:type="dxa" w:w="100"/>
            </w:tcMar>
          </w:tcPr>
          <w:p>
            <w:r>
              <w:rPr>
                <w:sz w:val="17"/>
                <w:szCs w:val="17"/>
              </w:rPr>
              <w:t xml:space="preserve">src/pages/management/index.js</w:t>
            </w:r>
          </w:p>
        </w:tc>
        <w:tc>
          <w:tcPr>
            <w:tcW w:type="dxa" w:w="6600"/>
            <w:tcMar>
              <w:top w:type="dxa" w:w="60"/>
              <w:left w:type="dxa" w:w="100"/>
              <w:bottom w:type="dxa" w:w="60"/>
              <w:right w:type="dxa" w:w="100"/>
            </w:tcMar>
          </w:tcPr>
          <w:p>
            <w:r>
              <w:rPr>
                <w:sz w:val="17"/>
                <w:szCs w:val="17"/>
              </w:rPr>
              <w:t xml:space="preserve">All 5 Management sub-tabs — by far the largest module.</w:t>
            </w:r>
          </w:p>
        </w:tc>
      </w:tr>
      <w:tr>
        <w:tc>
          <w:tcPr>
            <w:tcW w:type="dxa" w:w="2800"/>
            <w:tcMar>
              <w:top w:type="dxa" w:w="60"/>
              <w:left w:type="dxa" w:w="100"/>
              <w:bottom w:type="dxa" w:w="60"/>
              <w:right w:type="dxa" w:w="100"/>
            </w:tcMar>
          </w:tcPr>
          <w:p>
            <w:r>
              <w:rPr>
                <w:sz w:val="17"/>
                <w:szCs w:val="17"/>
              </w:rPr>
              <w:t xml:space="preserve">scripts/extract_guides.py</w:t>
            </w:r>
          </w:p>
        </w:tc>
        <w:tc>
          <w:tcPr>
            <w:tcW w:type="dxa" w:w="6600"/>
            <w:tcMar>
              <w:top w:type="dxa" w:w="60"/>
              <w:left w:type="dxa" w:w="100"/>
              <w:bottom w:type="dxa" w:w="60"/>
              <w:right w:type="dxa" w:w="100"/>
            </w:tcMar>
          </w:tcPr>
          <w:p>
            <w:r>
              <w:rPr>
                <w:sz w:val="17"/>
                <w:szCs w:val="17"/>
              </w:rPr>
              <w:t xml:space="preserve">Reads the Excel workbook (or a Google Sheets CSV export, see Deployment), writes data-2025.js / data-2026.js.</w:t>
            </w:r>
          </w:p>
        </w:tc>
      </w:tr>
      <w:tr>
        <w:tc>
          <w:tcPr>
            <w:tcW w:type="dxa" w:w="2800"/>
            <w:tcMar>
              <w:top w:type="dxa" w:w="60"/>
              <w:left w:type="dxa" w:w="100"/>
              <w:bottom w:type="dxa" w:w="60"/>
              <w:right w:type="dxa" w:w="100"/>
            </w:tcMar>
          </w:tcPr>
          <w:p>
            <w:r>
              <w:rPr>
                <w:sz w:val="17"/>
                <w:szCs w:val="17"/>
              </w:rPr>
              <w:t xml:space="preserve">dist/app.js</w:t>
            </w:r>
          </w:p>
        </w:tc>
        <w:tc>
          <w:tcPr>
            <w:tcW w:type="dxa" w:w="6600"/>
            <w:tcMar>
              <w:top w:type="dxa" w:w="60"/>
              <w:left w:type="dxa" w:w="100"/>
              <w:bottom w:type="dxa" w:w="60"/>
              <w:right w:type="dxa" w:w="100"/>
            </w:tcMar>
          </w:tcPr>
          <w:p>
            <w:r>
              <w:rPr>
                <w:sz w:val="17"/>
                <w:szCs w:val="17"/>
              </w:rPr>
              <w:t xml:space="preserve">The built bundle actually loaded by index.html. Built with npm run build; only needs rebuilding after a src/ change, never for a data-only update.</w:t>
            </w:r>
          </w:p>
        </w:tc>
      </w:tr>
    </w:tbl>
    <w:p>
      <w:pPr>
        <w:pStyle w:val="Heading2"/>
        <w:spacing w:after="120" w:before="280"/>
      </w:pPr>
      <w:r>
        <w:rPr>
          <w:b/>
          <w:bCs/>
          <w:color w:val="1F3B57"/>
          <w:sz w:val="26"/>
          <w:szCs w:val="26"/>
        </w:rPr>
        <w:t xml:space="preserve">The page-module pattern</w:t>
      </w:r>
    </w:p>
    <w:p>
      <w:pPr>
        <w:spacing w:after="120"/>
      </w:pPr>
      <w:r>
        <w:rPr>
          <w:sz w:val="21"/>
          <w:szCs w:val="21"/>
        </w:rPr>
        <w:t xml:space="preserve">Each tab is a plain JS object with a lazy-init pattern: it does nothing until the user actually visits that tab, then initializes once and re-renders on every subsequent filter or date change.</w:t>
      </w:r>
    </w:p>
    <w:p>
      <w:pPr>
        <w:pStyle w:val="Heading2"/>
        <w:spacing w:after="120" w:before="280"/>
      </w:pPr>
      <w:r>
        <w:rPr>
          <w:b/>
          <w:bCs/>
          <w:color w:val="1F3B57"/>
          <w:sz w:val="26"/>
          <w:szCs w:val="26"/>
        </w:rPr>
        <w:t xml:space="preserve">Data shape</w:t>
      </w:r>
    </w:p>
    <w:p>
      <w:pPr>
        <w:spacing w:after="120"/>
      </w:pPr>
      <w:r>
        <w:rPr>
          <w:sz w:val="21"/>
          <w:szCs w:val="21"/>
        </w:rPr>
        <w:t xml:space="preserve">Every guide's data — in both data-2025.js and data-2026.js — follows this shape:</w:t>
      </w:r>
    </w:p>
    <w:p>
      <w:pPr>
        <w:pBdr>
          <w:top w:val="single" w:color="CCCCCC" w:sz="4"/>
          <w:bottom w:val="single" w:color="CCCCCC" w:sz="4"/>
          <w:left w:val="single" w:color="CCCCCC" w:sz="4"/>
          <w:right w:val="single" w:color="CCCCCC" w:sz="4"/>
        </w:pBdr>
        <w:shd w:fill="F2F2F2" w:val="clear"/>
        <w:spacing w:after="160"/>
      </w:pPr>
      <w:r>
        <w:rPr>
          <w:rFonts w:ascii="Courier New" w:cs="Courier New" w:eastAsia="Courier New" w:hAnsi="Courier New"/>
          <w:sz w:val="16"/>
          <w:szCs w:val="16"/>
        </w:rPr>
        <w:t xml:space="preserve">{</w:t>
      </w:r>
      <w:r>
        <w:rPr>
          <w:rFonts w:ascii="Courier New" w:cs="Courier New" w:eastAsia="Courier New" w:hAnsi="Courier New"/>
          <w:sz w:val="16"/>
          <w:szCs w:val="16"/>
        </w:rPr>
        <w:br/>
        <w:t xml:space="preserve">  name: "Guide Name",</w:t>
      </w:r>
      <w:r>
        <w:rPr>
          <w:rFonts w:ascii="Courier New" w:cs="Courier New" w:eastAsia="Courier New" w:hAnsi="Courier New"/>
          <w:sz w:val="16"/>
          <w:szCs w:val="16"/>
        </w:rPr>
        <w:br/>
        <w:t xml:space="preserve">  city: "Zagreb",            // Zagreb | Dubrovnik | Split | Zadar | Unknown</w:t>
      </w:r>
      <w:r>
        <w:rPr>
          <w:rFonts w:ascii="Courier New" w:cs="Courier New" w:eastAsia="Courier New" w:hAnsi="Courier New"/>
          <w:sz w:val="16"/>
          <w:szCs w:val="16"/>
        </w:rPr>
        <w:br/>
        <w:t xml:space="preserve">  stats: {</w:t>
      </w:r>
      <w:r>
        <w:rPr>
          <w:rFonts w:ascii="Courier New" w:cs="Courier New" w:eastAsia="Courier New" w:hAnsi="Courier New"/>
          <w:sz w:val="16"/>
          <w:szCs w:val="16"/>
        </w:rPr>
        <w:br/>
        <w:t xml:space="preserve">    eng: {</w:t>
      </w:r>
      <w:r>
        <w:rPr>
          <w:rFonts w:ascii="Courier New" w:cs="Courier New" w:eastAsia="Courier New" w:hAnsi="Courier New"/>
          <w:sz w:val="16"/>
          <w:szCs w:val="16"/>
        </w:rPr>
        <w:br/>
        <w:t xml:space="preserve">      free: { tours, pax },</w:t>
      </w:r>
      <w:r>
        <w:rPr>
          <w:rFonts w:ascii="Courier New" w:cs="Courier New" w:eastAsia="Courier New" w:hAnsi="Courier New"/>
          <w:sz w:val="16"/>
          <w:szCs w:val="16"/>
        </w:rPr>
        <w:br/>
        <w:t xml:space="preserve">      paid: { tours, pax },</w:t>
      </w:r>
      <w:r>
        <w:rPr>
          <w:rFonts w:ascii="Courier New" w:cs="Courier New" w:eastAsia="Courier New" w:hAnsi="Courier New"/>
          <w:sz w:val="16"/>
          <w:szCs w:val="16"/>
        </w:rPr>
        <w:br/>
        <w:t xml:space="preserve">      byType: { [typeName]: { tours, pax } },</w:t>
      </w:r>
      <w:r>
        <w:rPr>
          <w:rFonts w:ascii="Courier New" w:cs="Courier New" w:eastAsia="Courier New" w:hAnsi="Courier New"/>
          <w:sz w:val="16"/>
          <w:szCs w:val="16"/>
        </w:rPr>
        <w:br/>
        <w:t xml:space="preserve">      byMonth: { [1..12]: { name, free: {tours,pax}, paid: {tours,pax} } },</w:t>
      </w:r>
      <w:r>
        <w:rPr>
          <w:rFonts w:ascii="Courier New" w:cs="Courier New" w:eastAsia="Courier New" w:hAnsi="Courier New"/>
          <w:sz w:val="16"/>
          <w:szCs w:val="16"/>
        </w:rPr>
        <w:br/>
        <w:t xml:space="preserve">      byDay:   { ["m-d"]: { free, paid } }   // 2026 only — enables partial-month cutoff</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esp: { /* same shape */ },</w:t>
      </w:r>
      <w:r>
        <w:rPr>
          <w:rFonts w:ascii="Courier New" w:cs="Courier New" w:eastAsia="Courier New" w:hAnsi="Courier New"/>
          <w:sz w:val="16"/>
          <w:szCs w:val="16"/>
        </w:rPr>
        <w:br/>
        <w:t xml:space="preserve">    fra: { /* same shape */ },</w:t>
      </w:r>
      <w:r>
        <w:rPr>
          <w:rFonts w:ascii="Courier New" w:cs="Courier New" w:eastAsia="Courier New" w:hAnsi="Courier New"/>
          <w:sz w:val="16"/>
          <w:szCs w:val="16"/>
        </w:rPr>
        <w:br/>
        <w:t xml:space="preserve">    all: { /* aggregate across languages */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mgmt: { /* revenue, vendorCost, grossMargin, byDay, bySource, ... */ }</w:t>
      </w:r>
      <w:r>
        <w:rPr>
          <w:rFonts w:ascii="Courier New" w:cs="Courier New" w:eastAsia="Courier New" w:hAnsi="Courier New"/>
          <w:sz w:val="16"/>
          <w:szCs w:val="16"/>
        </w:rPr>
        <w:br/>
        <w:t xml:space="preserve">}</w:t>
      </w:r>
    </w:p>
    <w:p>
      <w:pPr>
        <w:pStyle w:val="Heading1"/>
        <w:pBdr>
          <w:bottom w:val="single" w:color="1F3B57" w:sz="6" w:space="4"/>
        </w:pBdr>
        <w:spacing w:after="160" w:before="360"/>
      </w:pPr>
      <w:r>
        <w:rPr>
          <w:b/>
          <w:bCs/>
          <w:color w:val="1F3B57"/>
          <w:sz w:val="32"/>
          <w:szCs w:val="32"/>
        </w:rPr>
        <w:t xml:space="preserve">The data pipeline — from Excel to the page</w:t>
      </w:r>
    </w:p>
    <w:p>
      <w:pPr>
        <w:spacing w:after="120"/>
      </w:pPr>
      <w:r>
        <w:rPr>
          <w:sz w:val="21"/>
          <w:szCs w:val="21"/>
        </w:rPr>
        <w:t xml:space="preserve">The source of truth is a local Excel workbook, “1.1 Evidencija prodaje 26.xlsx”, kept outside the repository entirely — whoever maintains the data holds this file locally, not in git or Drive. Each row is one tour booking; columns include guide name, city, language, tour type, month, pax count, and (for the Management tab) the full set of financial fields (charged amount, commission, vendor cost, gross margin, etc.).</w:t>
      </w:r>
    </w:p>
    <w:p>
      <w:pPr>
        <w:spacing w:after="120"/>
      </w:pPr>
      <w:r>
        <w:rPr>
          <w:sz w:val="21"/>
          <w:szCs w:val="21"/>
        </w:rPr>
        <w:t xml:space="preserve">scripts/extract_guides.py reads the “Evidencija” sheet (2026, the live year) or “Evidencija_25” sheet (2025, closed/historical), auto-detecting each column's position from its header text rather than a fixed column order — so reordering columns in the sheet doesn't break extraction, only renaming a header does. It prints a ready-to-use JavaScript file to stdout, which is redirected straight into data-2026.js or data-2025.js.</w:t>
      </w:r>
    </w:p>
    <w:p>
      <w:pPr>
        <w:spacing w:after="120"/>
      </w:pPr>
      <w:r>
        <w:rPr>
          <w:sz w:val="21"/>
          <w:szCs w:val="21"/>
        </w:rPr>
        <w:t xml:space="preserve">This is a manual, on-demand step today, not a live sync — the dashboard only knows what was in the workbook the last time someone ran the script. See “Updating the monthly data” below for the exact process, and “Deployment” for a documented-but-not-yet-active plan to automate this.</w:t>
      </w:r>
    </w:p>
    <w:p>
      <w:pPr>
        <w:pStyle w:val="Heading1"/>
        <w:pBdr>
          <w:bottom w:val="single" w:color="1F3B57" w:sz="6" w:space="4"/>
        </w:pBdr>
        <w:spacing w:after="160" w:before="360"/>
      </w:pPr>
      <w:r>
        <w:rPr>
          <w:b/>
          <w:bCs/>
          <w:color w:val="1F3B57"/>
          <w:sz w:val="32"/>
          <w:szCs w:val="32"/>
        </w:rPr>
        <w:t xml:space="preserve">Updating the monthly data</w:t>
      </w:r>
    </w:p>
    <w:p>
      <w:pPr>
        <w:spacing w:after="120"/>
      </w:pPr>
      <w:r>
        <w:rPr>
          <w:sz w:val="21"/>
          <w:szCs w:val="21"/>
        </w:rPr>
        <w:t xml:space="preserve">This is the recurring maintenance task: get a new month's bookings from the Excel workbook into the live dashboard.</w:t>
      </w:r>
    </w:p>
    <w:p>
      <w:pPr>
        <w:spacing w:after="80"/>
        <w:ind w:left="260" w:hanging="260"/>
      </w:pPr>
      <w:r>
        <w:rPr>
          <w:b/>
          <w:bCs/>
          <w:sz w:val="21"/>
          <w:szCs w:val="21"/>
        </w:rPr>
        <w:t xml:space="preserve">1.  </w:t>
      </w:r>
      <w:r>
        <w:rPr>
          <w:sz w:val="21"/>
          <w:szCs w:val="21"/>
        </w:rPr>
        <w:t xml:space="preserve">Open “1.1 Evidencija prodaje 26.xlsx” and add the new month's tour rows to the “Evidencija” sheet.</w:t>
      </w:r>
    </w:p>
    <w:p>
      <w:pPr>
        <w:spacing w:after="80"/>
        <w:ind w:left="260" w:hanging="260"/>
      </w:pPr>
      <w:r>
        <w:rPr>
          <w:b/>
          <w:bCs/>
          <w:sz w:val="21"/>
          <w:szCs w:val="21"/>
        </w:rPr>
        <w:t xml:space="preserve">2.  </w:t>
      </w:r>
      <w:r>
        <w:rPr>
          <w:sz w:val="21"/>
          <w:szCs w:val="21"/>
        </w:rPr>
        <w:t xml:space="preserve">From the evidencija/ directory: activate the Python virtual environment (source venv/bin/activate) and run python3 scripts/extract_guides.py --year 2026 &gt; data-2026.js. This overwrites data-2026.js with fresh guideStats26/kpiTotals26 built from the sheet as it now stands.</w:t>
      </w:r>
    </w:p>
    <w:p>
      <w:pPr>
        <w:spacing w:after="80"/>
        <w:ind w:left="260" w:hanging="260"/>
      </w:pPr>
      <w:r>
        <w:rPr>
          <w:b/>
          <w:bCs/>
          <w:sz w:val="21"/>
          <w:szCs w:val="21"/>
        </w:rPr>
        <w:t xml:space="preserve">3.  </w:t>
      </w:r>
      <w:r>
        <w:rPr>
          <w:sz w:val="21"/>
          <w:szCs w:val="21"/>
        </w:rPr>
        <w:t xml:space="preserve">Open index.html in a browser and verify: the new month's numbers show up in a guide's monthly breakdown, the KPI totals on the 2026 tab look right, and the Usporedba (Comparison) tab reflects the update.</w:t>
      </w:r>
    </w:p>
    <w:p>
      <w:pPr>
        <w:spacing w:after="80"/>
        <w:ind w:left="260" w:hanging="260"/>
      </w:pPr>
      <w:r>
        <w:rPr>
          <w:b/>
          <w:bCs/>
          <w:sz w:val="21"/>
          <w:szCs w:val="21"/>
        </w:rPr>
        <w:t xml:space="preserve">4.  </w:t>
      </w:r>
      <w:r>
        <w:rPr>
          <w:sz w:val="21"/>
          <w:szCs w:val="21"/>
        </w:rPr>
        <w:t xml:space="preserve">Commit and push: git add data-2026.js, git commit, git push. The live site (currently GitHub Pages) redeploys automatically.</w:t>
      </w:r>
    </w:p>
    <w:p>
      <w:pPr>
        <w:pBdr>
          <w:left w:val="single" w:color="CCCCCC" w:sz="12" w:space="8"/>
        </w:pBdr>
        <w:spacing w:after="160"/>
        <w:ind w:left="260"/>
      </w:pPr>
      <w:r>
        <w:rPr>
          <w:i/>
          <w:iCs/>
          <w:color w:val="666666"/>
          <w:sz w:val="20"/>
          <w:szCs w:val="20"/>
        </w:rPr>
        <w:t xml:space="preserve">The Usporedba tab's displayed date range (“Jan–Jun”, “Jan–Aug”, etc.) and its month dropdown recompute themselves automatically from the current date on every page load — there is nothing to edit in the code as new months land.</w:t>
      </w:r>
    </w:p>
    <w:p>
      <w:pPr>
        <w:pBdr>
          <w:left w:val="single" w:color="CCCCCC" w:sz="12" w:space="8"/>
        </w:pBdr>
        <w:spacing w:after="160"/>
        <w:ind w:left="260"/>
      </w:pPr>
      <w:r>
        <w:rPr>
          <w:i/>
          <w:iCs/>
          <w:color w:val="666666"/>
          <w:sz w:val="20"/>
          <w:szCs w:val="20"/>
        </w:rPr>
        <w:t xml:space="preserve">A guide with no prior entry gets one automatically the first time their tours appear in the sheet — nothing to hand-edit in the data file. They'll show up in Usporedba as a new guide with no 2025 comparison row.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shd w:fill="1F3B57" w:val="clear"/>
            <w:tcMar>
              <w:top w:type="dxa" w:w="80"/>
              <w:left w:type="dxa" w:w="100"/>
              <w:bottom w:type="dxa" w:w="80"/>
              <w:right w:type="dxa" w:w="100"/>
            </w:tcMar>
          </w:tcPr>
          <w:p>
            <w:r>
              <w:rPr>
                <w:b/>
                <w:bCs/>
                <w:color w:val="FFFFFF"/>
                <w:sz w:val="18"/>
                <w:szCs w:val="18"/>
              </w:rPr>
              <w:t xml:space="preserve">Symptom</w:t>
            </w:r>
          </w:p>
        </w:tc>
        <w:tc>
          <w:tcPr>
            <w:tcW w:type="dxa" w:w="6000"/>
            <w:shd w:fill="1F3B57" w:val="clear"/>
            <w:tcMar>
              <w:top w:type="dxa" w:w="80"/>
              <w:left w:type="dxa" w:w="100"/>
              <w:bottom w:type="dxa" w:w="80"/>
              <w:right w:type="dxa" w:w="100"/>
            </w:tcMar>
          </w:tcPr>
          <w:p>
            <w:r>
              <w:rPr>
                <w:b/>
                <w:bCs/>
                <w:color w:val="FFFFFF"/>
                <w:sz w:val="18"/>
                <w:szCs w:val="18"/>
              </w:rPr>
              <w:t xml:space="preserve">Likely cause / fix</w:t>
            </w:r>
          </w:p>
        </w:tc>
      </w:tr>
      <w:tr>
        <w:tc>
          <w:tcPr>
            <w:tcW w:type="dxa" w:w="3400"/>
            <w:tcMar>
              <w:top w:type="dxa" w:w="60"/>
              <w:left w:type="dxa" w:w="100"/>
              <w:bottom w:type="dxa" w:w="60"/>
              <w:right w:type="dxa" w:w="100"/>
            </w:tcMar>
          </w:tcPr>
          <w:p>
            <w:r>
              <w:rPr>
                <w:sz w:val="17"/>
                <w:szCs w:val="17"/>
              </w:rPr>
              <w:t xml:space="preserve">Column "X" not found</w:t>
            </w:r>
          </w:p>
        </w:tc>
        <w:tc>
          <w:tcPr>
            <w:tcW w:type="dxa" w:w="6000"/>
            <w:tcMar>
              <w:top w:type="dxa" w:w="60"/>
              <w:left w:type="dxa" w:w="100"/>
              <w:bottom w:type="dxa" w:w="60"/>
              <w:right w:type="dxa" w:w="100"/>
            </w:tcMar>
          </w:tcPr>
          <w:p>
            <w:r>
              <w:rPr>
                <w:sz w:val="17"/>
                <w:szCs w:val="17"/>
              </w:rPr>
              <w:t xml:space="preserve">A header in the Excel sheet was renamed — check the sheet's header row against what the error message lists.</w:t>
            </w:r>
          </w:p>
        </w:tc>
      </w:tr>
      <w:tr>
        <w:tc>
          <w:tcPr>
            <w:tcW w:type="dxa" w:w="3400"/>
            <w:tcMar>
              <w:top w:type="dxa" w:w="60"/>
              <w:left w:type="dxa" w:w="100"/>
              <w:bottom w:type="dxa" w:w="60"/>
              <w:right w:type="dxa" w:w="100"/>
            </w:tcMar>
          </w:tcPr>
          <w:p>
            <w:r>
              <w:rPr>
                <w:sz w:val="17"/>
                <w:szCs w:val="17"/>
              </w:rPr>
              <w:t xml:space="preserve">A guide is missing from the output</w:t>
            </w:r>
          </w:p>
        </w:tc>
        <w:tc>
          <w:tcPr>
            <w:tcW w:type="dxa" w:w="6000"/>
            <w:tcMar>
              <w:top w:type="dxa" w:w="60"/>
              <w:left w:type="dxa" w:w="100"/>
              <w:bottom w:type="dxa" w:w="60"/>
              <w:right w:type="dxa" w:w="100"/>
            </w:tcMar>
          </w:tcPr>
          <w:p>
            <w:r>
              <w:rPr>
                <w:sz w:val="17"/>
                <w:szCs w:val="17"/>
              </w:rPr>
              <w:t xml:space="preserve">A typo or extra space in that guide's name in the Excel sheet — names must match exactly, row to row.</w:t>
            </w:r>
          </w:p>
        </w:tc>
      </w:tr>
      <w:tr>
        <w:tc>
          <w:tcPr>
            <w:tcW w:type="dxa" w:w="3400"/>
            <w:tcMar>
              <w:top w:type="dxa" w:w="60"/>
              <w:left w:type="dxa" w:w="100"/>
              <w:bottom w:type="dxa" w:w="60"/>
              <w:right w:type="dxa" w:w="100"/>
            </w:tcMar>
          </w:tcPr>
          <w:p>
            <w:r>
              <w:rPr>
                <w:sz w:val="17"/>
                <w:szCs w:val="17"/>
              </w:rPr>
              <w:t xml:space="preserve">ModuleNotFoundError: openpyxl</w:t>
            </w:r>
          </w:p>
        </w:tc>
        <w:tc>
          <w:tcPr>
            <w:tcW w:type="dxa" w:w="6000"/>
            <w:tcMar>
              <w:top w:type="dxa" w:w="60"/>
              <w:left w:type="dxa" w:w="100"/>
              <w:bottom w:type="dxa" w:w="60"/>
              <w:right w:type="dxa" w:w="100"/>
            </w:tcMar>
          </w:tcPr>
          <w:p>
            <w:r>
              <w:rPr>
                <w:sz w:val="17"/>
                <w:szCs w:val="17"/>
              </w:rPr>
              <w:t xml:space="preserve">The virtual environment isn't active — run source venv/bin/activate first.</w:t>
            </w:r>
          </w:p>
        </w:tc>
      </w:tr>
      <w:tr>
        <w:tc>
          <w:tcPr>
            <w:tcW w:type="dxa" w:w="3400"/>
            <w:tcMar>
              <w:top w:type="dxa" w:w="60"/>
              <w:left w:type="dxa" w:w="100"/>
              <w:bottom w:type="dxa" w:w="60"/>
              <w:right w:type="dxa" w:w="100"/>
            </w:tcMar>
          </w:tcPr>
          <w:p>
            <w:r>
              <w:rPr>
                <w:sz w:val="17"/>
                <w:szCs w:val="17"/>
              </w:rPr>
              <w:t xml:space="preserve">Site is blank after a code (not data) change</w:t>
            </w:r>
          </w:p>
        </w:tc>
        <w:tc>
          <w:tcPr>
            <w:tcW w:type="dxa" w:w="6000"/>
            <w:tcMar>
              <w:top w:type="dxa" w:w="60"/>
              <w:left w:type="dxa" w:w="100"/>
              <w:bottom w:type="dxa" w:w="60"/>
              <w:right w:type="dxa" w:w="100"/>
            </w:tcMar>
          </w:tcPr>
          <w:p>
            <w:r>
              <w:rPr>
                <w:sz w:val="17"/>
                <w:szCs w:val="17"/>
              </w:rPr>
              <w:t xml:space="preserve">dist/app.js wasn't rebuilt. Run npm run build, then commit dist/app.js too — a src/ change needs a rebuild; a data-only update does not.</w:t>
            </w:r>
          </w:p>
        </w:tc>
      </w:tr>
    </w:tbl>
    <w:p>
      <w:pPr>
        <w:pStyle w:val="Heading1"/>
        <w:pBdr>
          <w:bottom w:val="single" w:color="1F3B57" w:sz="6" w:space="4"/>
        </w:pBdr>
        <w:spacing w:after="160" w:before="360"/>
      </w:pPr>
      <w:r>
        <w:rPr>
          <w:b/>
          <w:bCs/>
          <w:color w:val="1F3B57"/>
          <w:sz w:val="32"/>
          <w:szCs w:val="32"/>
        </w:rPr>
        <w:t xml:space="preserve">The four tabs</w:t>
      </w:r>
    </w:p>
    <w:p>
      <w:pPr>
        <w:spacing w:after="120"/>
      </w:pPr>
      <w:r>
        <w:rPr>
          <w:sz w:val="21"/>
          <w:szCs w:val="21"/>
        </w:rPr>
        <w:t xml:space="preserve">City (Zagreb, Dubrovnik, Split, Zadar) and language (ENG, ESP, FRA) filters are available on the production tabs; each tab's filters are independent of the others. A date picker in the top navigation controls the “as-of” cutoff used everywhere — complete months are summed as whole months, the current partial month is summed day-by-day up to the chosen cutoff date.</w:t>
      </w:r>
    </w:p>
    <w:p>
      <w:pPr>
        <w:pStyle w:val="Heading2"/>
        <w:spacing w:after="120" w:before="280"/>
      </w:pPr>
      <w:r>
        <w:rPr>
          <w:b/>
          <w:bCs/>
          <w:color w:val="1F3B57"/>
          <w:sz w:val="26"/>
          <w:szCs w:val="26"/>
        </w:rPr>
        <w:t xml:space="preserve">Vodiči 2025</w:t>
      </w:r>
    </w:p>
    <w:p>
      <w:pPr>
        <w:spacing w:after="120"/>
      </w:pPr>
      <w:r>
        <w:rPr>
          <w:sz w:val="21"/>
          <w:szCs w:val="21"/>
        </w:rPr>
        <w:t xml:space="preserve">Full-year 2025 production per guide: free tours, paid tours, pax counts, and a per-guide monthly breakdown (expand “Mjesečno” on any guide's card). 2025 is a closed year — this tab's underlying data only changes if historical data needs correcting.</w:t>
      </w:r>
    </w:p>
    <w:p>
      <w:pPr>
        <w:pStyle w:val="Heading2"/>
        <w:spacing w:after="120" w:before="280"/>
      </w:pPr>
      <w:r>
        <w:rPr>
          <w:b/>
          <w:bCs/>
          <w:color w:val="1F3B57"/>
          <w:sz w:val="26"/>
          <w:szCs w:val="26"/>
        </w:rPr>
        <w:t xml:space="preserve">Vodiči 2026</w:t>
      </w:r>
    </w:p>
    <w:p>
      <w:pPr>
        <w:spacing w:after="120"/>
      </w:pPr>
      <w:r>
        <w:rPr>
          <w:sz w:val="21"/>
          <w:szCs w:val="21"/>
        </w:rPr>
        <w:t xml:space="preserve">The same shape as the 2025 tab, but for the current year, updated monthly via the process above. This is the tab that actually changes month to month.</w:t>
      </w:r>
    </w:p>
    <w:p>
      <w:pPr>
        <w:pStyle w:val="Heading2"/>
        <w:spacing w:after="120" w:before="280"/>
      </w:pPr>
      <w:r>
        <w:rPr>
          <w:b/>
          <w:bCs/>
          <w:color w:val="1F3B57"/>
          <w:sz w:val="26"/>
          <w:szCs w:val="26"/>
        </w:rPr>
        <w:t xml:space="preserve">Usporedba (Comparison)</w:t>
      </w:r>
    </w:p>
    <w:p>
      <w:pPr>
        <w:spacing w:after="120"/>
      </w:pPr>
      <w:r>
        <w:rPr>
          <w:sz w:val="21"/>
          <w:szCs w:val="21"/>
        </w:rPr>
        <w:t xml:space="preserve">Side-by-side 2025-vs-2026 charts and tables — cumulative free pax, paid tours, average pax per tour, all filterable by city and (on the Paid Tours section) by tour type via one sticky filter that drives all three of that section's charts at once. The date range shown always matches however much of the current year has data, computed automatically.</w:t>
      </w:r>
    </w:p>
    <w:p>
      <w:pPr>
        <w:pStyle w:val="Heading2"/>
        <w:spacing w:after="120" w:before="280"/>
      </w:pPr>
      <w:r>
        <w:rPr>
          <w:b/>
          <w:bCs/>
          <w:color w:val="1F3B57"/>
          <w:sz w:val="26"/>
          <w:szCs w:val="26"/>
        </w:rPr>
        <w:t xml:space="preserve">Management</w:t>
      </w:r>
    </w:p>
    <w:p>
      <w:pPr>
        <w:spacing w:after="120"/>
      </w:pPr>
      <w:r>
        <w:rPr>
          <w:sz w:val="21"/>
          <w:szCs w:val="21"/>
        </w:rPr>
        <w:t xml:space="preserve">A financial and operational view, organized into 5 sub-tabs, all reading from the same mgmt object inside each guide's data entry.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c>
          <w:tcPr>
            <w:tcW w:type="dxa" w:w="1800"/>
            <w:shd w:fill="1F3B57" w:val="clear"/>
            <w:tcMar>
              <w:top w:type="dxa" w:w="80"/>
              <w:left w:type="dxa" w:w="100"/>
              <w:bottom w:type="dxa" w:w="80"/>
              <w:right w:type="dxa" w:w="100"/>
            </w:tcMar>
          </w:tcPr>
          <w:p>
            <w:r>
              <w:rPr>
                <w:b/>
                <w:bCs/>
                <w:color w:val="FFFFFF"/>
                <w:sz w:val="18"/>
                <w:szCs w:val="18"/>
              </w:rPr>
              <w:t xml:space="preserve">Sub-tab</w:t>
            </w:r>
          </w:p>
        </w:tc>
        <w:tc>
          <w:tcPr>
            <w:tcW w:type="dxa" w:w="7600"/>
            <w:shd w:fill="1F3B57" w:val="clear"/>
            <w:tcMar>
              <w:top w:type="dxa" w:w="80"/>
              <w:left w:type="dxa" w:w="100"/>
              <w:bottom w:type="dxa" w:w="80"/>
              <w:right w:type="dxa" w:w="100"/>
            </w:tcMar>
          </w:tcPr>
          <w:p>
            <w:r>
              <w:rPr>
                <w:b/>
                <w:bCs/>
                <w:color w:val="FFFFFF"/>
                <w:sz w:val="18"/>
                <w:szCs w:val="18"/>
              </w:rPr>
              <w:t xml:space="preserve">What it covers</w:t>
            </w:r>
          </w:p>
        </w:tc>
      </w:tr>
      <w:tr>
        <w:tc>
          <w:tcPr>
            <w:tcW w:type="dxa" w:w="1800"/>
            <w:tcMar>
              <w:top w:type="dxa" w:w="60"/>
              <w:left w:type="dxa" w:w="100"/>
              <w:bottom w:type="dxa" w:w="60"/>
              <w:right w:type="dxa" w:w="100"/>
            </w:tcMar>
          </w:tcPr>
          <w:p>
            <w:r>
              <w:rPr>
                <w:sz w:val="17"/>
                <w:szCs w:val="17"/>
              </w:rPr>
              <w:t xml:space="preserve">P&amp;L</w:t>
            </w:r>
          </w:p>
        </w:tc>
        <w:tc>
          <w:tcPr>
            <w:tcW w:type="dxa" w:w="7600"/>
            <w:tcMar>
              <w:top w:type="dxa" w:w="60"/>
              <w:left w:type="dxa" w:w="100"/>
              <w:bottom w:type="dxa" w:w="60"/>
              <w:right w:type="dxa" w:w="100"/>
            </w:tcMar>
          </w:tcPr>
          <w:p>
            <w:r>
              <w:rPr>
                <w:sz w:val="17"/>
                <w:szCs w:val="17"/>
              </w:rPr>
              <w:t xml:space="preserve">Revenue, commission, vendor cost, gross margin — KPI cards with 2025 comparison, a waterfall chart breaking revenue down into costs and margin, a monthly revenue/margin trend, and a direct-booking-vs-OTA billing comparison.</w:t>
            </w:r>
          </w:p>
        </w:tc>
      </w:tr>
      <w:tr>
        <w:tc>
          <w:tcPr>
            <w:tcW w:type="dxa" w:w="1800"/>
            <w:tcMar>
              <w:top w:type="dxa" w:w="60"/>
              <w:left w:type="dxa" w:w="100"/>
              <w:bottom w:type="dxa" w:w="60"/>
              <w:right w:type="dxa" w:w="100"/>
            </w:tcMar>
          </w:tcPr>
          <w:p>
            <w:r>
              <w:rPr>
                <w:sz w:val="17"/>
                <w:szCs w:val="17"/>
              </w:rPr>
              <w:t xml:space="preserve">Guides</w:t>
            </w:r>
          </w:p>
        </w:tc>
        <w:tc>
          <w:tcPr>
            <w:tcW w:type="dxa" w:w="7600"/>
            <w:tcMar>
              <w:top w:type="dxa" w:w="60"/>
              <w:left w:type="dxa" w:w="100"/>
              <w:bottom w:type="dxa" w:w="60"/>
              <w:right w:type="dxa" w:w="100"/>
            </w:tcMar>
          </w:tcPr>
          <w:p>
            <w:r>
              <w:rPr>
                <w:sz w:val="17"/>
                <w:szCs w:val="17"/>
              </w:rPr>
              <w:t xml:space="preserve">A sortable per-guide financial table — tours, revenue, commission, cost, gross margin (€ and %), with 2025-vs-2026 deltas on the key columns.</w:t>
            </w:r>
          </w:p>
        </w:tc>
      </w:tr>
      <w:tr>
        <w:tc>
          <w:tcPr>
            <w:tcW w:type="dxa" w:w="1800"/>
            <w:tcMar>
              <w:top w:type="dxa" w:w="60"/>
              <w:left w:type="dxa" w:w="100"/>
              <w:bottom w:type="dxa" w:w="60"/>
              <w:right w:type="dxa" w:w="100"/>
            </w:tcMar>
          </w:tcPr>
          <w:p>
            <w:r>
              <w:rPr>
                <w:sz w:val="17"/>
                <w:szCs w:val="17"/>
              </w:rPr>
              <w:t xml:space="preserve">Channels</w:t>
            </w:r>
          </w:p>
        </w:tc>
        <w:tc>
          <w:tcPr>
            <w:tcW w:type="dxa" w:w="7600"/>
            <w:tcMar>
              <w:top w:type="dxa" w:w="60"/>
              <w:left w:type="dxa" w:w="100"/>
              <w:bottom w:type="dxa" w:w="60"/>
              <w:right w:type="dxa" w:w="100"/>
            </w:tcMar>
          </w:tcPr>
          <w:p>
            <w:r>
              <w:rPr>
                <w:sz w:val="17"/>
                <w:szCs w:val="17"/>
              </w:rPr>
              <w:t xml:space="preserve">Where revenue comes from and what it costs to get it: a commission waterfall by OTA source, a direct-vs-OTA revenue trend over time, a detailed OTA source table, and a tour-type financial breakdown.</w:t>
            </w:r>
          </w:p>
        </w:tc>
      </w:tr>
      <w:tr>
        <w:tc>
          <w:tcPr>
            <w:tcW w:type="dxa" w:w="1800"/>
            <w:tcMar>
              <w:top w:type="dxa" w:w="60"/>
              <w:left w:type="dxa" w:w="100"/>
              <w:bottom w:type="dxa" w:w="60"/>
              <w:right w:type="dxa" w:w="100"/>
            </w:tcMar>
          </w:tcPr>
          <w:p>
            <w:r>
              <w:rPr>
                <w:sz w:val="17"/>
                <w:szCs w:val="17"/>
              </w:rPr>
              <w:t xml:space="preserve">Operational</w:t>
            </w:r>
          </w:p>
        </w:tc>
        <w:tc>
          <w:tcPr>
            <w:tcW w:type="dxa" w:w="7600"/>
            <w:tcMar>
              <w:top w:type="dxa" w:w="60"/>
              <w:left w:type="dxa" w:w="100"/>
              <w:bottom w:type="dxa" w:w="60"/>
              <w:right w:type="dxa" w:w="100"/>
            </w:tcMar>
          </w:tcPr>
          <w:p>
            <w:r>
              <w:rPr>
                <w:sz w:val="17"/>
                <w:szCs w:val="17"/>
              </w:rPr>
              <w:t xml:space="preserve">Non-financial operating patterns that still drive profitability — group size (guide pax band) vs. margin, tours by day-of-week/time-slot/season, a week-by-week trend, and revenue by payment method.</w:t>
            </w:r>
          </w:p>
        </w:tc>
      </w:tr>
      <w:tr>
        <w:tc>
          <w:tcPr>
            <w:tcW w:type="dxa" w:w="1800"/>
            <w:tcMar>
              <w:top w:type="dxa" w:w="60"/>
              <w:left w:type="dxa" w:w="100"/>
              <w:bottom w:type="dxa" w:w="60"/>
              <w:right w:type="dxa" w:w="100"/>
            </w:tcMar>
          </w:tcPr>
          <w:p>
            <w:r>
              <w:rPr>
                <w:sz w:val="17"/>
                <w:szCs w:val="17"/>
              </w:rPr>
              <w:t xml:space="preserve">Cities</w:t>
            </w:r>
          </w:p>
        </w:tc>
        <w:tc>
          <w:tcPr>
            <w:tcW w:type="dxa" w:w="7600"/>
            <w:tcMar>
              <w:top w:type="dxa" w:w="60"/>
              <w:left w:type="dxa" w:w="100"/>
              <w:bottom w:type="dxa" w:w="60"/>
              <w:right w:type="dxa" w:w="100"/>
            </w:tcMar>
          </w:tcPr>
          <w:p>
            <w:r>
              <w:rPr>
                <w:sz w:val="17"/>
                <w:szCs w:val="17"/>
              </w:rPr>
              <w:t xml:space="preserve">How Zagreb, Dubrovnik, Split and Zadar compare — per-city KPI cards, a tour-type-by-city margin heatmap, booking-source distribution by city, and a language mix per city.</w:t>
            </w:r>
          </w:p>
        </w:tc>
      </w:tr>
    </w:tbl>
    <w:p>
      <w:pPr>
        <w:pBdr>
          <w:left w:val="single" w:color="CCCCCC" w:sz="12" w:space="8"/>
        </w:pBdr>
        <w:spacing w:after="160"/>
        <w:ind w:left="260"/>
      </w:pPr>
      <w:r>
        <w:rPr>
          <w:i/>
          <w:iCs/>
          <w:color w:val="666666"/>
          <w:sz w:val="20"/>
          <w:szCs w:val="20"/>
        </w:rPr>
        <w:t xml:space="preserve">Every number on every Management sub-tab traces back to the same handful of Excel columns (charged amount, commission cost, vendor cost, gross margin, tour cost, VAT amount) attached to each tour row in the source workbook — there's no separate financial data source to keep in sync.</w:t>
      </w:r>
    </w:p>
    <w:p>
      <w:pPr>
        <w:pStyle w:val="Heading1"/>
        <w:pBdr>
          <w:bottom w:val="single" w:color="1F3B57" w:sz="6" w:space="4"/>
        </w:pBdr>
        <w:spacing w:after="160" w:before="360"/>
      </w:pPr>
      <w:r>
        <w:rPr>
          <w:b/>
          <w:bCs/>
          <w:color w:val="1F3B57"/>
          <w:sz w:val="32"/>
          <w:szCs w:val="32"/>
        </w:rPr>
        <w:t xml:space="preserve">Filters, navigation and shortcuts</w:t>
      </w:r>
    </w:p>
    <w:p>
      <w:pPr>
        <w:spacing w:after="120"/>
      </w:pPr>
      <w:r>
        <w:rPr>
          <w:sz w:val="21"/>
          <w:szCs w:val="21"/>
        </w:rPr>
        <w:t xml:space="preserve">City and language filters apply independently per tab — changing the city filter on Guides doesn't affect Channels or Operational. The date-as-of picker in the nav re-renders every tab that's already been visited, including Management. Dark mode persists across visits via the browser's localStorage.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shd w:fill="1F3B57" w:val="clear"/>
            <w:tcMar>
              <w:top w:type="dxa" w:w="80"/>
              <w:left w:type="dxa" w:w="100"/>
              <w:bottom w:type="dxa" w:w="80"/>
              <w:right w:type="dxa" w:w="100"/>
            </w:tcMar>
          </w:tcPr>
          <w:p>
            <w:r>
              <w:rPr>
                <w:b/>
                <w:bCs/>
                <w:color w:val="FFFFFF"/>
                <w:sz w:val="18"/>
                <w:szCs w:val="18"/>
              </w:rPr>
              <w:t xml:space="preserve">Key</w:t>
            </w:r>
          </w:p>
        </w:tc>
        <w:tc>
          <w:tcPr>
            <w:tcW w:type="dxa" w:w="6000"/>
            <w:shd w:fill="1F3B57" w:val="clear"/>
            <w:tcMar>
              <w:top w:type="dxa" w:w="80"/>
              <w:left w:type="dxa" w:w="100"/>
              <w:bottom w:type="dxa" w:w="80"/>
              <w:right w:type="dxa" w:w="100"/>
            </w:tcMar>
          </w:tcPr>
          <w:p>
            <w:r>
              <w:rPr>
                <w:b/>
                <w:bCs/>
                <w:color w:val="FFFFFF"/>
                <w:sz w:val="18"/>
                <w:szCs w:val="18"/>
              </w:rPr>
              <w:t xml:space="preserve">Action</w:t>
            </w:r>
          </w:p>
        </w:tc>
      </w:tr>
      <w:tr>
        <w:tc>
          <w:tcPr>
            <w:tcW w:type="dxa" w:w="3400"/>
            <w:tcMar>
              <w:top w:type="dxa" w:w="60"/>
              <w:left w:type="dxa" w:w="100"/>
              <w:bottom w:type="dxa" w:w="60"/>
              <w:right w:type="dxa" w:w="100"/>
            </w:tcMar>
          </w:tcPr>
          <w:p>
            <w:r>
              <w:rPr>
                <w:sz w:val="17"/>
                <w:szCs w:val="17"/>
              </w:rPr>
              <w:t xml:space="preserve">1 / 2 / 3 / 4</w:t>
            </w:r>
          </w:p>
        </w:tc>
        <w:tc>
          <w:tcPr>
            <w:tcW w:type="dxa" w:w="6000"/>
            <w:tcMar>
              <w:top w:type="dxa" w:w="60"/>
              <w:left w:type="dxa" w:w="100"/>
              <w:bottom w:type="dxa" w:w="60"/>
              <w:right w:type="dxa" w:w="100"/>
            </w:tcMar>
          </w:tcPr>
          <w:p>
            <w:r>
              <w:rPr>
                <w:sz w:val="17"/>
                <w:szCs w:val="17"/>
              </w:rPr>
              <w:t xml:space="preserve">Jump to the 2025 / 2026 / Comparison / Management tab</w:t>
            </w:r>
          </w:p>
        </w:tc>
      </w:tr>
      <w:tr>
        <w:tc>
          <w:tcPr>
            <w:tcW w:type="dxa" w:w="3400"/>
            <w:tcMar>
              <w:top w:type="dxa" w:w="60"/>
              <w:left w:type="dxa" w:w="100"/>
              <w:bottom w:type="dxa" w:w="60"/>
              <w:right w:type="dxa" w:w="100"/>
            </w:tcMar>
          </w:tcPr>
          <w:p>
            <w:r>
              <w:rPr>
                <w:sz w:val="17"/>
                <w:szCs w:val="17"/>
              </w:rPr>
              <w:t xml:space="preserve">T</w:t>
            </w:r>
          </w:p>
        </w:tc>
        <w:tc>
          <w:tcPr>
            <w:tcW w:type="dxa" w:w="6000"/>
            <w:tcMar>
              <w:top w:type="dxa" w:w="60"/>
              <w:left w:type="dxa" w:w="100"/>
              <w:bottom w:type="dxa" w:w="60"/>
              <w:right w:type="dxa" w:w="100"/>
            </w:tcMar>
          </w:tcPr>
          <w:p>
            <w:r>
              <w:rPr>
                <w:sz w:val="17"/>
                <w:szCs w:val="17"/>
              </w:rPr>
              <w:t xml:space="preserve">Toggle dark/light theme</w:t>
            </w:r>
          </w:p>
        </w:tc>
      </w:tr>
      <w:tr>
        <w:tc>
          <w:tcPr>
            <w:tcW w:type="dxa" w:w="3400"/>
            <w:tcMar>
              <w:top w:type="dxa" w:w="60"/>
              <w:left w:type="dxa" w:w="100"/>
              <w:bottom w:type="dxa" w:w="60"/>
              <w:right w:type="dxa" w:w="100"/>
            </w:tcMar>
          </w:tcPr>
          <w:p>
            <w:r>
              <w:rPr>
                <w:sz w:val="17"/>
                <w:szCs w:val="17"/>
              </w:rPr>
              <w:t xml:space="preserve">D</w:t>
            </w:r>
          </w:p>
        </w:tc>
        <w:tc>
          <w:tcPr>
            <w:tcW w:type="dxa" w:w="6000"/>
            <w:tcMar>
              <w:top w:type="dxa" w:w="60"/>
              <w:left w:type="dxa" w:w="100"/>
              <w:bottom w:type="dxa" w:w="60"/>
              <w:right w:type="dxa" w:w="100"/>
            </w:tcMar>
          </w:tcPr>
          <w:p>
            <w:r>
              <w:rPr>
                <w:sz w:val="17"/>
                <w:szCs w:val="17"/>
              </w:rPr>
              <w:t xml:space="preserve">Focus the date-as-of picker</w:t>
            </w:r>
          </w:p>
        </w:tc>
      </w:tr>
      <w:tr>
        <w:tc>
          <w:tcPr>
            <w:tcW w:type="dxa" w:w="3400"/>
            <w:tcMar>
              <w:top w:type="dxa" w:w="60"/>
              <w:left w:type="dxa" w:w="100"/>
              <w:bottom w:type="dxa" w:w="60"/>
              <w:right w:type="dxa" w:w="100"/>
            </w:tcMar>
          </w:tcPr>
          <w:p>
            <w:r>
              <w:rPr>
                <w:sz w:val="17"/>
                <w:szCs w:val="17"/>
              </w:rPr>
              <w:t xml:space="preserve">?</w:t>
            </w:r>
          </w:p>
        </w:tc>
        <w:tc>
          <w:tcPr>
            <w:tcW w:type="dxa" w:w="6000"/>
            <w:tcMar>
              <w:top w:type="dxa" w:w="60"/>
              <w:left w:type="dxa" w:w="100"/>
              <w:bottom w:type="dxa" w:w="60"/>
              <w:right w:type="dxa" w:w="100"/>
            </w:tcMar>
          </w:tcPr>
          <w:p>
            <w:r>
              <w:rPr>
                <w:sz w:val="17"/>
                <w:szCs w:val="17"/>
              </w:rPr>
              <w:t xml:space="preserve">Show the shortcuts overlay</w:t>
            </w:r>
          </w:p>
        </w:tc>
      </w:tr>
      <w:tr>
        <w:tc>
          <w:tcPr>
            <w:tcW w:type="dxa" w:w="3400"/>
            <w:tcMar>
              <w:top w:type="dxa" w:w="60"/>
              <w:left w:type="dxa" w:w="100"/>
              <w:bottom w:type="dxa" w:w="60"/>
              <w:right w:type="dxa" w:w="100"/>
            </w:tcMar>
          </w:tcPr>
          <w:p>
            <w:r>
              <w:rPr>
                <w:sz w:val="17"/>
                <w:szCs w:val="17"/>
              </w:rPr>
              <w:t xml:space="preserve">Esc</w:t>
            </w:r>
          </w:p>
        </w:tc>
        <w:tc>
          <w:tcPr>
            <w:tcW w:type="dxa" w:w="6000"/>
            <w:tcMar>
              <w:top w:type="dxa" w:w="60"/>
              <w:left w:type="dxa" w:w="100"/>
              <w:bottom w:type="dxa" w:w="60"/>
              <w:right w:type="dxa" w:w="100"/>
            </w:tcMar>
          </w:tcPr>
          <w:p>
            <w:r>
              <w:rPr>
                <w:sz w:val="17"/>
                <w:szCs w:val="17"/>
              </w:rPr>
              <w:t xml:space="preserve">Close the shortcuts overlay</w:t>
            </w:r>
          </w:p>
        </w:tc>
      </w:tr>
      <w:tr>
        <w:tc>
          <w:tcPr>
            <w:tcW w:type="dxa" w:w="3400"/>
            <w:tcMar>
              <w:top w:type="dxa" w:w="60"/>
              <w:left w:type="dxa" w:w="100"/>
              <w:bottom w:type="dxa" w:w="60"/>
              <w:right w:type="dxa" w:w="100"/>
            </w:tcMar>
          </w:tcPr>
          <w:p>
            <w:r>
              <w:rPr>
                <w:sz w:val="17"/>
                <w:szCs w:val="17"/>
              </w:rPr>
              <w:t xml:space="preserve">Arrow keys / Home / End (while a tab is focused)</w:t>
            </w:r>
          </w:p>
        </w:tc>
        <w:tc>
          <w:tcPr>
            <w:tcW w:type="dxa" w:w="6000"/>
            <w:tcMar>
              <w:top w:type="dxa" w:w="60"/>
              <w:left w:type="dxa" w:w="100"/>
              <w:bottom w:type="dxa" w:w="60"/>
              <w:right w:type="dxa" w:w="100"/>
            </w:tcMar>
          </w:tcPr>
          <w:p>
            <w:r>
              <w:rPr>
                <w:sz w:val="17"/>
                <w:szCs w:val="17"/>
              </w:rPr>
              <w:t xml:space="preserve">Move focus between the main tabs, or between Management's sub-tabs</w:t>
            </w:r>
          </w:p>
        </w:tc>
      </w:tr>
    </w:tbl>
    <w:p>
      <w:pPr>
        <w:pBdr>
          <w:left w:val="single" w:color="CCCCCC" w:sz="12" w:space="8"/>
        </w:pBdr>
        <w:spacing w:after="160"/>
        <w:ind w:left="260"/>
      </w:pPr>
      <w:r>
        <w:rPr>
          <w:i/>
          <w:iCs/>
          <w:color w:val="666666"/>
          <w:sz w:val="20"/>
          <w:szCs w:val="20"/>
        </w:rPr>
        <w:t xml:space="preserve">None of this works while typing in a text field, or with Ctrl/Cmd/Alt held down — the shortcuts only fire on a bare keypress outside an input.</w:t>
      </w:r>
    </w:p>
    <w:p>
      <w:pPr>
        <w:pStyle w:val="Heading1"/>
        <w:pBdr>
          <w:bottom w:val="single" w:color="1F3B57" w:sz="6" w:space="4"/>
        </w:pBdr>
        <w:spacing w:after="160" w:before="360"/>
      </w:pPr>
      <w:r>
        <w:rPr>
          <w:b/>
          <w:bCs/>
          <w:color w:val="1F3B57"/>
          <w:sz w:val="32"/>
          <w:szCs w:val="32"/>
        </w:rPr>
        <w:t xml:space="preserve">A key data-integrity rule: city totals</w:t>
      </w:r>
    </w:p>
    <w:p>
      <w:pPr>
        <w:spacing w:after="120"/>
      </w:pPr>
      <w:r>
        <w:rPr>
          <w:sz w:val="21"/>
          <w:szCs w:val="21"/>
        </w:rPr>
        <w:t xml:space="preserve">Every guide has a home city — the one their card is grouped under in the guide list — but a guide can actually run a tour in a different city than the one they're assigned to. An early version of this dashboard summed city-level charts by grouping guides by their home city, which silently mis-attributed or dropped pax from any tour run outside a guide's home city.</w:t>
      </w:r>
    </w:p>
    <w:p>
      <w:pPr>
        <w:spacing w:after="120"/>
      </w:pPr>
      <w:r>
        <w:rPr>
          <w:sz w:val="21"/>
          <w:szCs w:val="21"/>
        </w:rPr>
        <w:t xml:space="preserve">The fix: a separate cityStats structure, built directly from each row's own City column in the source data, independent of which guide ran the tour. Every city-scoped total — KPI cards, city charts, city filters — reads from cityStats, never from guideStats grouped by a guide's home-city field. This report's scope is strictly the 4 tracked cities; any row whose city maps to something else (e.g. Pula, Rovinj) is consistently excluded from every city-scoped total, so a headline “all cities” number always equals the sum of the city breakdown.</w:t>
      </w:r>
    </w:p>
    <w:p>
      <w:pPr>
        <w:pStyle w:val="Heading1"/>
        <w:pBdr>
          <w:bottom w:val="single" w:color="1F3B57" w:sz="6" w:space="4"/>
        </w:pBdr>
        <w:spacing w:after="160" w:before="360"/>
      </w:pPr>
      <w:r>
        <w:rPr>
          <w:b/>
          <w:bCs/>
          <w:color w:val="1F3B57"/>
          <w:sz w:val="32"/>
          <w:szCs w:val="32"/>
        </w:rPr>
        <w:t xml:space="preserve">Deployment</w:t>
      </w:r>
    </w:p>
    <w:p>
      <w:pPr>
        <w:spacing w:after="120"/>
      </w:pPr>
      <w:r>
        <w:rPr>
          <w:sz w:val="21"/>
          <w:szCs w:val="21"/>
        </w:rPr>
        <w:t xml:space="preserve">As of this writing, the live site is hosted on GitHub Pages, deployed from a public GitHub repository. A push to the main branch (including a data-only update) redeploys automatically, typically within a couple of minutes. GitHub Actions runs the JS and Python test suites on every push and pull request.</w:t>
      </w:r>
    </w:p>
    <w:p>
      <w:pPr>
        <w:pStyle w:val="Heading2"/>
        <w:spacing w:after="120" w:before="280"/>
      </w:pPr>
      <w:r>
        <w:rPr>
          <w:b/>
          <w:bCs/>
          <w:color w:val="1F3B57"/>
          <w:sz w:val="26"/>
          <w:szCs w:val="26"/>
        </w:rPr>
        <w:t xml:space="preserve">Planned, not yet active: private repo + Vercel + automated sync</w:t>
      </w:r>
    </w:p>
    <w:p>
      <w:pPr>
        <w:spacing w:after="120"/>
      </w:pPr>
      <w:r>
        <w:rPr>
          <w:sz w:val="21"/>
          <w:szCs w:val="21"/>
        </w:rPr>
        <w:t xml:space="preserve">There's a documented migration plan to move the site to a privately-hosted GitHub repo deployed via Vercel, paired with a GitHub Actions workflow (already present in the repo, “Update guide data”) that would regenerate the data file automatically by reading the source spreadsheet from a Google Sheets CSV export URL, instead of a locally-held Excel file.</w:t>
      </w:r>
    </w:p>
    <w:p>
      <w:pPr>
        <w:pBdr>
          <w:left w:val="single" w:color="CCCCCC" w:sz="12" w:space="8"/>
        </w:pBdr>
        <w:spacing w:after="160"/>
        <w:ind w:left="260"/>
      </w:pPr>
      <w:r>
        <w:rPr>
          <w:i/>
          <w:iCs/>
          <w:color w:val="666666"/>
          <w:sz w:val="20"/>
          <w:szCs w:val="20"/>
        </w:rPr>
        <w:t xml:space="preserve">This is a plan, not the current state. Confirmed directly: the repository is still public, no SHEET_URL secret is configured for that workflow, and the workflow itself only supports a manual trigger from the GitHub UI — it has no scheduled/automatic run built into it today. Triggering it as-is would fail for lack of a data source. The manual process in “Updating the monthly data” above is what actually runs the dashboard right now.</w:t>
      </w:r>
    </w:p>
    <w:p>
      <w:pPr>
        <w:pStyle w:val="Heading1"/>
        <w:pBdr>
          <w:bottom w:val="single" w:color="1F3B57" w:sz="6" w:space="4"/>
        </w:pBdr>
        <w:spacing w:after="160" w:before="360"/>
      </w:pPr>
      <w:r>
        <w:rPr>
          <w:b/>
          <w:bCs/>
          <w:color w:val="1F3B57"/>
          <w:sz w:val="32"/>
          <w:szCs w:val="32"/>
        </w:rPr>
        <w:t xml:space="preserve">Glossary — Croatian dashboard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shd w:fill="1F3B57" w:val="clear"/>
            <w:tcMar>
              <w:top w:type="dxa" w:w="80"/>
              <w:left w:type="dxa" w:w="100"/>
              <w:bottom w:type="dxa" w:w="80"/>
              <w:right w:type="dxa" w:w="100"/>
            </w:tcMar>
          </w:tcPr>
          <w:p>
            <w:r>
              <w:rPr>
                <w:b/>
                <w:bCs/>
                <w:color w:val="FFFFFF"/>
                <w:sz w:val="18"/>
                <w:szCs w:val="18"/>
              </w:rPr>
              <w:t xml:space="preserve">Term (as shown in the UI)</w:t>
            </w:r>
          </w:p>
        </w:tc>
        <w:tc>
          <w:tcPr>
            <w:tcW w:type="dxa" w:w="6000"/>
            <w:shd w:fill="1F3B57" w:val="clear"/>
            <w:tcMar>
              <w:top w:type="dxa" w:w="80"/>
              <w:left w:type="dxa" w:w="100"/>
              <w:bottom w:type="dxa" w:w="80"/>
              <w:right w:type="dxa" w:w="100"/>
            </w:tcMar>
          </w:tcPr>
          <w:p>
            <w:r>
              <w:rPr>
                <w:b/>
                <w:bCs/>
                <w:color w:val="FFFFFF"/>
                <w:sz w:val="18"/>
                <w:szCs w:val="18"/>
              </w:rPr>
              <w:t xml:space="preserve">Meaning</w:t>
            </w:r>
          </w:p>
        </w:tc>
      </w:tr>
      <w:tr>
        <w:tc>
          <w:tcPr>
            <w:tcW w:type="dxa" w:w="3400"/>
            <w:tcMar>
              <w:top w:type="dxa" w:w="60"/>
              <w:left w:type="dxa" w:w="100"/>
              <w:bottom w:type="dxa" w:w="60"/>
              <w:right w:type="dxa" w:w="100"/>
            </w:tcMar>
          </w:tcPr>
          <w:p>
            <w:r>
              <w:rPr>
                <w:sz w:val="17"/>
                <w:szCs w:val="17"/>
              </w:rPr>
              <w:t xml:space="preserve">Vodiči</w:t>
            </w:r>
          </w:p>
        </w:tc>
        <w:tc>
          <w:tcPr>
            <w:tcW w:type="dxa" w:w="6000"/>
            <w:tcMar>
              <w:top w:type="dxa" w:w="60"/>
              <w:left w:type="dxa" w:w="100"/>
              <w:bottom w:type="dxa" w:w="60"/>
              <w:right w:type="dxa" w:w="100"/>
            </w:tcMar>
          </w:tcPr>
          <w:p>
            <w:r>
              <w:rPr>
                <w:sz w:val="17"/>
                <w:szCs w:val="17"/>
              </w:rPr>
              <w:t xml:space="preserve">Guides</w:t>
            </w:r>
          </w:p>
        </w:tc>
      </w:tr>
      <w:tr>
        <w:tc>
          <w:tcPr>
            <w:tcW w:type="dxa" w:w="3400"/>
            <w:tcMar>
              <w:top w:type="dxa" w:w="60"/>
              <w:left w:type="dxa" w:w="100"/>
              <w:bottom w:type="dxa" w:w="60"/>
              <w:right w:type="dxa" w:w="100"/>
            </w:tcMar>
          </w:tcPr>
          <w:p>
            <w:r>
              <w:rPr>
                <w:sz w:val="17"/>
                <w:szCs w:val="17"/>
              </w:rPr>
              <w:t xml:space="preserve">Usporedba</w:t>
            </w:r>
          </w:p>
        </w:tc>
        <w:tc>
          <w:tcPr>
            <w:tcW w:type="dxa" w:w="6000"/>
            <w:tcMar>
              <w:top w:type="dxa" w:w="60"/>
              <w:left w:type="dxa" w:w="100"/>
              <w:bottom w:type="dxa" w:w="60"/>
              <w:right w:type="dxa" w:w="100"/>
            </w:tcMar>
          </w:tcPr>
          <w:p>
            <w:r>
              <w:rPr>
                <w:sz w:val="17"/>
                <w:szCs w:val="17"/>
              </w:rPr>
              <w:t xml:space="preserve">Comparison</w:t>
            </w:r>
          </w:p>
        </w:tc>
      </w:tr>
      <w:tr>
        <w:tc>
          <w:tcPr>
            <w:tcW w:type="dxa" w:w="3400"/>
            <w:tcMar>
              <w:top w:type="dxa" w:w="60"/>
              <w:left w:type="dxa" w:w="100"/>
              <w:bottom w:type="dxa" w:w="60"/>
              <w:right w:type="dxa" w:w="100"/>
            </w:tcMar>
          </w:tcPr>
          <w:p>
            <w:r>
              <w:rPr>
                <w:sz w:val="17"/>
                <w:szCs w:val="17"/>
              </w:rPr>
              <w:t xml:space="preserve">Mjesečno</w:t>
            </w:r>
          </w:p>
        </w:tc>
        <w:tc>
          <w:tcPr>
            <w:tcW w:type="dxa" w:w="6000"/>
            <w:tcMar>
              <w:top w:type="dxa" w:w="60"/>
              <w:left w:type="dxa" w:w="100"/>
              <w:bottom w:type="dxa" w:w="60"/>
              <w:right w:type="dxa" w:w="100"/>
            </w:tcMar>
          </w:tcPr>
          <w:p>
            <w:r>
              <w:rPr>
                <w:sz w:val="17"/>
                <w:szCs w:val="17"/>
              </w:rPr>
              <w:t xml:space="preserve">Monthly (the expandable per-guide breakdown)</w:t>
            </w:r>
          </w:p>
        </w:tc>
      </w:tr>
      <w:tr>
        <w:tc>
          <w:tcPr>
            <w:tcW w:type="dxa" w:w="3400"/>
            <w:tcMar>
              <w:top w:type="dxa" w:w="60"/>
              <w:left w:type="dxa" w:w="100"/>
              <w:bottom w:type="dxa" w:w="60"/>
              <w:right w:type="dxa" w:w="100"/>
            </w:tcMar>
          </w:tcPr>
          <w:p>
            <w:r>
              <w:rPr>
                <w:sz w:val="17"/>
                <w:szCs w:val="17"/>
              </w:rPr>
              <w:t xml:space="preserve">Prihodak &amp; Gubici (P&amp;L)</w:t>
            </w:r>
          </w:p>
        </w:tc>
        <w:tc>
          <w:tcPr>
            <w:tcW w:type="dxa" w:w="6000"/>
            <w:tcMar>
              <w:top w:type="dxa" w:w="60"/>
              <w:left w:type="dxa" w:w="100"/>
              <w:bottom w:type="dxa" w:w="60"/>
              <w:right w:type="dxa" w:w="100"/>
            </w:tcMar>
          </w:tcPr>
          <w:p>
            <w:r>
              <w:rPr>
                <w:sz w:val="17"/>
                <w:szCs w:val="17"/>
              </w:rPr>
              <w:t xml:space="preserve">Profit &amp; Loss</w:t>
            </w:r>
          </w:p>
        </w:tc>
      </w:tr>
      <w:tr>
        <w:tc>
          <w:tcPr>
            <w:tcW w:type="dxa" w:w="3400"/>
            <w:tcMar>
              <w:top w:type="dxa" w:w="60"/>
              <w:left w:type="dxa" w:w="100"/>
              <w:bottom w:type="dxa" w:w="60"/>
              <w:right w:type="dxa" w:w="100"/>
            </w:tcMar>
          </w:tcPr>
          <w:p>
            <w:r>
              <w:rPr>
                <w:sz w:val="17"/>
                <w:szCs w:val="17"/>
              </w:rPr>
              <w:t xml:space="preserve">Učinkovitost Vodiča</w:t>
            </w:r>
          </w:p>
        </w:tc>
        <w:tc>
          <w:tcPr>
            <w:tcW w:type="dxa" w:w="6000"/>
            <w:tcMar>
              <w:top w:type="dxa" w:w="60"/>
              <w:left w:type="dxa" w:w="100"/>
              <w:bottom w:type="dxa" w:w="60"/>
              <w:right w:type="dxa" w:w="100"/>
            </w:tcMar>
          </w:tcPr>
          <w:p>
            <w:r>
              <w:rPr>
                <w:sz w:val="17"/>
                <w:szCs w:val="17"/>
              </w:rPr>
              <w:t xml:space="preserve">Guide Performance</w:t>
            </w:r>
          </w:p>
        </w:tc>
      </w:tr>
      <w:tr>
        <w:tc>
          <w:tcPr>
            <w:tcW w:type="dxa" w:w="3400"/>
            <w:tcMar>
              <w:top w:type="dxa" w:w="60"/>
              <w:left w:type="dxa" w:w="100"/>
              <w:bottom w:type="dxa" w:w="60"/>
              <w:right w:type="dxa" w:w="100"/>
            </w:tcMar>
          </w:tcPr>
          <w:p>
            <w:r>
              <w:rPr>
                <w:sz w:val="17"/>
                <w:szCs w:val="17"/>
              </w:rPr>
              <w:t xml:space="preserve">Kanali &amp; Prihod</w:t>
            </w:r>
          </w:p>
        </w:tc>
        <w:tc>
          <w:tcPr>
            <w:tcW w:type="dxa" w:w="6000"/>
            <w:tcMar>
              <w:top w:type="dxa" w:w="60"/>
              <w:left w:type="dxa" w:w="100"/>
              <w:bottom w:type="dxa" w:w="60"/>
              <w:right w:type="dxa" w:w="100"/>
            </w:tcMar>
          </w:tcPr>
          <w:p>
            <w:r>
              <w:rPr>
                <w:sz w:val="17"/>
                <w:szCs w:val="17"/>
              </w:rPr>
              <w:t xml:space="preserve">Channels &amp; Revenue</w:t>
            </w:r>
          </w:p>
        </w:tc>
      </w:tr>
      <w:tr>
        <w:tc>
          <w:tcPr>
            <w:tcW w:type="dxa" w:w="3400"/>
            <w:tcMar>
              <w:top w:type="dxa" w:w="60"/>
              <w:left w:type="dxa" w:w="100"/>
              <w:bottom w:type="dxa" w:w="60"/>
              <w:right w:type="dxa" w:w="100"/>
            </w:tcMar>
          </w:tcPr>
          <w:p>
            <w:r>
              <w:rPr>
                <w:sz w:val="17"/>
                <w:szCs w:val="17"/>
              </w:rPr>
              <w:t xml:space="preserve">Operativni Uvidi</w:t>
            </w:r>
          </w:p>
        </w:tc>
        <w:tc>
          <w:tcPr>
            <w:tcW w:type="dxa" w:w="6000"/>
            <w:tcMar>
              <w:top w:type="dxa" w:w="60"/>
              <w:left w:type="dxa" w:w="100"/>
              <w:bottom w:type="dxa" w:w="60"/>
              <w:right w:type="dxa" w:w="100"/>
            </w:tcMar>
          </w:tcPr>
          <w:p>
            <w:r>
              <w:rPr>
                <w:sz w:val="17"/>
                <w:szCs w:val="17"/>
              </w:rPr>
              <w:t xml:space="preserve">Operational Insights</w:t>
            </w:r>
          </w:p>
        </w:tc>
      </w:tr>
      <w:tr>
        <w:tc>
          <w:tcPr>
            <w:tcW w:type="dxa" w:w="3400"/>
            <w:tcMar>
              <w:top w:type="dxa" w:w="60"/>
              <w:left w:type="dxa" w:w="100"/>
              <w:bottom w:type="dxa" w:w="60"/>
              <w:right w:type="dxa" w:w="100"/>
            </w:tcMar>
          </w:tcPr>
          <w:p>
            <w:r>
              <w:rPr>
                <w:sz w:val="17"/>
                <w:szCs w:val="17"/>
              </w:rPr>
              <w:t xml:space="preserve">Gradovi</w:t>
            </w:r>
          </w:p>
        </w:tc>
        <w:tc>
          <w:tcPr>
            <w:tcW w:type="dxa" w:w="6000"/>
            <w:tcMar>
              <w:top w:type="dxa" w:w="60"/>
              <w:left w:type="dxa" w:w="100"/>
              <w:bottom w:type="dxa" w:w="60"/>
              <w:right w:type="dxa" w:w="100"/>
            </w:tcMar>
          </w:tcPr>
          <w:p>
            <w:r>
              <w:rPr>
                <w:sz w:val="17"/>
                <w:szCs w:val="17"/>
              </w:rPr>
              <w:t xml:space="preserve">Cities</w:t>
            </w:r>
          </w:p>
        </w:tc>
      </w:tr>
      <w:tr>
        <w:tc>
          <w:tcPr>
            <w:tcW w:type="dxa" w:w="3400"/>
            <w:tcMar>
              <w:top w:type="dxa" w:w="60"/>
              <w:left w:type="dxa" w:w="100"/>
              <w:bottom w:type="dxa" w:w="60"/>
              <w:right w:type="dxa" w:w="100"/>
            </w:tcMar>
          </w:tcPr>
          <w:p>
            <w:r>
              <w:rPr>
                <w:sz w:val="17"/>
                <w:szCs w:val="17"/>
              </w:rPr>
              <w:t xml:space="preserve">Free / Paid ture</w:t>
            </w:r>
          </w:p>
        </w:tc>
        <w:tc>
          <w:tcPr>
            <w:tcW w:type="dxa" w:w="6000"/>
            <w:tcMar>
              <w:top w:type="dxa" w:w="60"/>
              <w:left w:type="dxa" w:w="100"/>
              <w:bottom w:type="dxa" w:w="60"/>
              <w:right w:type="dxa" w:w="100"/>
            </w:tcMar>
          </w:tcPr>
          <w:p>
            <w:r>
              <w:rPr>
                <w:sz w:val="17"/>
                <w:szCs w:val="17"/>
              </w:rPr>
              <w:t xml:space="preserve">Free (walking) tours vs. paid tours</w:t>
            </w:r>
          </w:p>
        </w:tc>
      </w:tr>
      <w:tr>
        <w:tc>
          <w:tcPr>
            <w:tcW w:type="dxa" w:w="3400"/>
            <w:tcMar>
              <w:top w:type="dxa" w:w="60"/>
              <w:left w:type="dxa" w:w="100"/>
              <w:bottom w:type="dxa" w:w="60"/>
              <w:right w:type="dxa" w:w="100"/>
            </w:tcMar>
          </w:tcPr>
          <w:p>
            <w:r>
              <w:rPr>
                <w:sz w:val="17"/>
                <w:szCs w:val="17"/>
              </w:rPr>
              <w:t xml:space="preserve">Pax</w:t>
            </w:r>
          </w:p>
        </w:tc>
        <w:tc>
          <w:tcPr>
            <w:tcW w:type="dxa" w:w="6000"/>
            <w:tcMar>
              <w:top w:type="dxa" w:w="60"/>
              <w:left w:type="dxa" w:w="100"/>
              <w:bottom w:type="dxa" w:w="60"/>
              <w:right w:type="dxa" w:w="100"/>
            </w:tcMar>
          </w:tcPr>
          <w:p>
            <w:r>
              <w:rPr>
                <w:sz w:val="17"/>
                <w:szCs w:val="17"/>
              </w:rPr>
              <w:t xml:space="preserve">Number of people/participants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2026-08-20T14:31:23.825Z</dcterms:created>
  <dcterms:modified xsi:type="dcterms:W3CDTF">2026-08-20T14:31:23.826Z</dcterms:modified>
</cp:coreProperties>
</file>

<file path=docProps/custom.xml><?xml version="1.0" encoding="utf-8"?>
<Properties xmlns="http://schemas.openxmlformats.org/officeDocument/2006/custom-properties" xmlns:vt="http://schemas.openxmlformats.org/officeDocument/2006/docPropsVTypes"/>
</file>