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aps/>
          <w:color w:val="666666"/>
          <w:sz w:val="24"/>
          <w:szCs w:val="24"/>
        </w:rPr>
        <w:t xml:space="preserve">Free Spirit Tours</w:t>
      </w:r>
    </w:p>
    <w:p>
      <w:pPr>
        <w:spacing w:after="160" w:before="200"/>
        <w:jc w:val="center"/>
      </w:pPr>
      <w:r>
        <w:rPr>
          <w:b/>
          <w:bCs/>
          <w:color w:val="1F3B57"/>
          <w:sz w:val="56"/>
          <w:szCs w:val="56"/>
        </w:rPr>
        <w:t xml:space="preserve">Evidencija</w:t>
      </w:r>
    </w:p>
    <w:p>
      <w:pPr>
        <w:spacing w:after="600"/>
        <w:jc w:val="center"/>
      </w:pPr>
      <w:r>
        <w:rPr>
          <w:i/>
          <w:iCs/>
          <w:color w:val="666666"/>
          <w:sz w:val="26"/>
          <w:szCs w:val="26"/>
        </w:rPr>
        <w:t xml:space="preserve">Dashboard produkcije vodiča — vodič kroz projekt</w:t>
      </w:r>
    </w:p>
    <w:p>
      <w:pPr>
        <w:spacing w:after="60"/>
        <w:jc w:val="center"/>
      </w:pPr>
      <w:r>
        <w:rPr>
          <w:color w:val="666666"/>
          <w:sz w:val="20"/>
          <w:szCs w:val="20"/>
        </w:rPr>
        <w:t xml:space="preserve">Samostalan tehnički pregled za novog održavatelja: arhitektura, data pipeline, sva četiri taba, deployment</w:t>
      </w:r>
    </w:p>
    <w:p>
      <w:pPr>
        <w:spacing w:after="60"/>
        <w:jc w:val="center"/>
      </w:pPr>
      <w:r>
        <w:rPr>
          <w:color w:val="666666"/>
          <w:sz w:val="20"/>
          <w:szCs w:val="20"/>
        </w:rPr>
        <w:t xml:space="preserve">Napisano da stoji samostalno — nijedna druga datoteka projekta ne putuje uz ovaj dokument</w:t>
      </w:r>
    </w:p>
    <w:p>
      <w:pPr>
        <w:spacing w:after="60"/>
        <w:jc w:val="center"/>
      </w:pPr>
      <w:r>
        <w:rPr>
          <w:color w:val="666666"/>
          <w:sz w:val="20"/>
          <w:szCs w:val="20"/>
        </w:rPr>
        <w:t xml:space="preserve">Engleska verzija: evidencija-project-guide-en.docx</w:t>
      </w:r>
    </w:p>
    <w:p>
      <w:r>
        <w:br w:type="page"/>
      </w:r>
    </w:p>
    <w:p>
      <w:pPr>
        <w:pStyle w:val="Heading1"/>
        <w:pBdr>
          <w:bottom w:val="single" w:color="1F3B57" w:sz="6" w:space="4"/>
        </w:pBdr>
        <w:spacing w:after="160" w:before="360"/>
      </w:pPr>
      <w:r>
        <w:rPr>
          <w:b/>
          <w:bCs/>
          <w:color w:val="1F3B57"/>
          <w:sz w:val="32"/>
          <w:szCs w:val="32"/>
        </w:rPr>
        <w:t xml:space="preserve">Sadržaj</w:t>
      </w:r>
    </w:p>
    <w:sdt>
      <w:sdtPr>
        <w:alias w:val="Sadržaj"/>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B57" w:sz="6" w:space="4"/>
        </w:pBdr>
        <w:spacing w:after="160" w:before="360"/>
      </w:pPr>
      <w:r>
        <w:rPr>
          <w:b/>
          <w:bCs/>
          <w:color w:val="1F3B57"/>
          <w:sz w:val="32"/>
          <w:szCs w:val="32"/>
        </w:rPr>
        <w:t xml:space="preserve">Što je ovo</w:t>
      </w:r>
    </w:p>
    <w:p>
      <w:pPr>
        <w:spacing w:after="120"/>
      </w:pPr>
      <w:r>
        <w:rPr>
          <w:sz w:val="21"/>
          <w:szCs w:val="21"/>
        </w:rPr>
        <w:t xml:space="preserve">Evidencija je interni business-intelligence dashboard koji prati produkciju turističkih vodiča za Free Spirit Tours: koliko je tura svaki vodič odradio, koliko je ljudi vodio, kako su te ture prošle financijski. Ovo je statični site — obični HTML, CSS i JavaScript, bez backenda i bez žive baze podataka. Svi brojevi unaprijed su izračunati u dvije generirane JavaScript data datoteke koje preglednik izravno učitava; nema ničega za upit u trenutku gledanja osim filtriranja i ponovnog zbrajanja u pregledniku.</w:t>
      </w:r>
    </w:p>
    <w:p>
      <w:pPr>
        <w:spacing w:after="120"/>
      </w:pPr>
      <w:r>
        <w:rPr>
          <w:sz w:val="21"/>
          <w:szCs w:val="21"/>
        </w:rPr>
        <w:t xml:space="preserve">Ovo je jedan od tri povezana izvještaja koje Free Spirit Tours vodi (ostala dva pokrivaju prodajni pipeline i mjesečni recap tura), koji dijele mali CSS/JS temelj za navigaciju, temu i stil KPI kartica. Evidencija je najdublji i najaktivnije razvijan od sva tri — prerastao je pomoćne funkcije dijeljenog temelja i ima vlastitu modularnu arhitekturu (vidi Arhitektura ispod).</w:t>
      </w:r>
    </w:p>
    <w:p>
      <w:pPr>
        <w:spacing w:after="120"/>
      </w:pPr>
      <w:r>
        <w:rPr>
          <w:sz w:val="21"/>
          <w:szCs w:val="21"/>
        </w:rPr>
        <w:t xml:space="preserve">Primarni korisnik je jedan vlasnik/direktor koji ga redovito provjerava — tjedno ili češće — kako bi odgovorio na pitanja poput "kako ovaj vodič stoji ove godine u odnosu na prošlu" ili "kako izgleda marža ovog mjeseca". Dizajn namjerno favorizira gustoću informacija nad vođenjem za ruku: pretpostavljen je stručan korisnik koji već poznaje posao, ne opća publika.</w:t>
      </w:r>
    </w:p>
    <w:p>
      <w:pPr>
        <w:pStyle w:val="Heading1"/>
        <w:pBdr>
          <w:bottom w:val="single" w:color="1F3B57" w:sz="6" w:space="4"/>
        </w:pBdr>
        <w:spacing w:after="160" w:before="360"/>
      </w:pPr>
      <w:r>
        <w:rPr>
          <w:b/>
          <w:bCs/>
          <w:color w:val="1F3B57"/>
          <w:sz w:val="32"/>
          <w:szCs w:val="32"/>
        </w:rPr>
        <w:t xml:space="preserve">Arhitektura</w:t>
      </w:r>
    </w:p>
    <w:p>
      <w:pPr>
        <w:spacing w:after="120"/>
      </w:pPr>
      <w:r>
        <w:rPr>
          <w:sz w:val="21"/>
          <w:szCs w:val="21"/>
        </w:rPr>
        <w:t xml:space="preserve">Nema backenda, nema baze podataka, nema server-side koda. Cijela stvar je statični paket datoteka koji bi se doslovno mogao hostati na bilo kojem statičkom file hostu — trenutno GitHub Pages (vidi Deployment).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B57" w:val="clear"/>
            <w:tcMar>
              <w:top w:type="dxa" w:w="80"/>
              <w:left w:type="dxa" w:w="100"/>
              <w:bottom w:type="dxa" w:w="80"/>
              <w:right w:type="dxa" w:w="100"/>
            </w:tcMar>
          </w:tcPr>
          <w:p>
            <w:r>
              <w:rPr>
                <w:b/>
                <w:bCs/>
                <w:color w:val="FFFFFF"/>
                <w:sz w:val="18"/>
                <w:szCs w:val="18"/>
              </w:rPr>
              <w:t xml:space="preserve">Dio</w:t>
            </w:r>
          </w:p>
        </w:tc>
        <w:tc>
          <w:tcPr>
            <w:tcW w:type="dxa" w:w="6800"/>
            <w:shd w:fill="1F3B57" w:val="clear"/>
            <w:tcMar>
              <w:top w:type="dxa" w:w="80"/>
              <w:left w:type="dxa" w:w="100"/>
              <w:bottom w:type="dxa" w:w="80"/>
              <w:right w:type="dxa" w:w="100"/>
            </w:tcMar>
          </w:tcPr>
          <w:p>
            <w:r>
              <w:rPr>
                <w:b/>
                <w:bCs/>
                <w:color w:val="FFFFFF"/>
                <w:sz w:val="18"/>
                <w:szCs w:val="18"/>
              </w:rPr>
              <w:t xml:space="preserve">Što je to</w:t>
            </w:r>
          </w:p>
        </w:tc>
      </w:tr>
      <w:tr>
        <w:tc>
          <w:tcPr>
            <w:tcW w:type="dxa" w:w="2600"/>
            <w:tcMar>
              <w:top w:type="dxa" w:w="60"/>
              <w:left w:type="dxa" w:w="100"/>
              <w:bottom w:type="dxa" w:w="60"/>
              <w:right w:type="dxa" w:w="100"/>
            </w:tcMar>
          </w:tcPr>
          <w:p>
            <w:r>
              <w:rPr>
                <w:sz w:val="17"/>
                <w:szCs w:val="17"/>
              </w:rPr>
              <w:t xml:space="preserve">JavaScript</w:t>
            </w:r>
          </w:p>
        </w:tc>
        <w:tc>
          <w:tcPr>
            <w:tcW w:type="dxa" w:w="6800"/>
            <w:tcMar>
              <w:top w:type="dxa" w:w="60"/>
              <w:left w:type="dxa" w:w="100"/>
              <w:bottom w:type="dxa" w:w="60"/>
              <w:right w:type="dxa" w:w="100"/>
            </w:tcMar>
          </w:tcPr>
          <w:p>
            <w:r>
              <w:rPr>
                <w:sz w:val="17"/>
                <w:szCs w:val="17"/>
              </w:rPr>
              <w:t xml:space="preserve">Obični ES moduli, spojeni esbuildom u jednu IIFE datoteku (dist/app.js, ~208kb). Bez frameworka (bez React/Vue/itd.).</w:t>
            </w:r>
          </w:p>
        </w:tc>
      </w:tr>
      <w:tr>
        <w:tc>
          <w:tcPr>
            <w:tcW w:type="dxa" w:w="2600"/>
            <w:tcMar>
              <w:top w:type="dxa" w:w="60"/>
              <w:left w:type="dxa" w:w="100"/>
              <w:bottom w:type="dxa" w:w="60"/>
              <w:right w:type="dxa" w:w="100"/>
            </w:tcMar>
          </w:tcPr>
          <w:p>
            <w:r>
              <w:rPr>
                <w:sz w:val="17"/>
                <w:szCs w:val="17"/>
              </w:rPr>
              <w:t xml:space="preserve">Grafovi</w:t>
            </w:r>
          </w:p>
        </w:tc>
        <w:tc>
          <w:tcPr>
            <w:tcW w:type="dxa" w:w="6800"/>
            <w:tcMar>
              <w:top w:type="dxa" w:w="60"/>
              <w:left w:type="dxa" w:w="100"/>
              <w:bottom w:type="dxa" w:w="60"/>
              <w:right w:type="dxa" w:w="100"/>
            </w:tcMar>
          </w:tcPr>
          <w:p>
            <w:r>
              <w:rPr>
                <w:sz w:val="17"/>
                <w:szCs w:val="17"/>
              </w:rPr>
              <w:t xml:space="preserve">Chart.js 4.4.1, učitan s CDN-a — nije bundlean.</w:t>
            </w:r>
          </w:p>
        </w:tc>
      </w:tr>
      <w:tr>
        <w:tc>
          <w:tcPr>
            <w:tcW w:type="dxa" w:w="2600"/>
            <w:tcMar>
              <w:top w:type="dxa" w:w="60"/>
              <w:left w:type="dxa" w:w="100"/>
              <w:bottom w:type="dxa" w:w="60"/>
              <w:right w:type="dxa" w:w="100"/>
            </w:tcMar>
          </w:tcPr>
          <w:p>
            <w:r>
              <w:rPr>
                <w:sz w:val="17"/>
                <w:szCs w:val="17"/>
              </w:rPr>
              <w:t xml:space="preserve">Ekstrakcija podataka</w:t>
            </w:r>
          </w:p>
        </w:tc>
        <w:tc>
          <w:tcPr>
            <w:tcW w:type="dxa" w:w="6800"/>
            <w:tcMar>
              <w:top w:type="dxa" w:w="60"/>
              <w:left w:type="dxa" w:w="100"/>
              <w:bottom w:type="dxa" w:w="60"/>
              <w:right w:type="dxa" w:w="100"/>
            </w:tcMar>
          </w:tcPr>
          <w:p>
            <w:r>
              <w:rPr>
                <w:sz w:val="17"/>
                <w:szCs w:val="17"/>
              </w:rPr>
              <w:t xml:space="preserve">Python 3 + openpyxl, pokreće se ručno ili preko CI-ja, čita izvorni Excel/Sheet i piše obične JS data datoteke.</w:t>
            </w:r>
          </w:p>
        </w:tc>
      </w:tr>
      <w:tr>
        <w:tc>
          <w:tcPr>
            <w:tcW w:type="dxa" w:w="2600"/>
            <w:tcMar>
              <w:top w:type="dxa" w:w="60"/>
              <w:left w:type="dxa" w:w="100"/>
              <w:bottom w:type="dxa" w:w="60"/>
              <w:right w:type="dxa" w:w="100"/>
            </w:tcMar>
          </w:tcPr>
          <w:p>
            <w:r>
              <w:rPr>
                <w:sz w:val="17"/>
                <w:szCs w:val="17"/>
              </w:rPr>
              <w:t xml:space="preserve">Fontovi</w:t>
            </w:r>
          </w:p>
        </w:tc>
        <w:tc>
          <w:tcPr>
            <w:tcW w:type="dxa" w:w="6800"/>
            <w:tcMar>
              <w:top w:type="dxa" w:w="60"/>
              <w:left w:type="dxa" w:w="100"/>
              <w:bottom w:type="dxa" w:w="60"/>
              <w:right w:type="dxa" w:w="100"/>
            </w:tcMar>
          </w:tcPr>
          <w:p>
            <w:r>
              <w:rPr>
                <w:sz w:val="17"/>
                <w:szCs w:val="17"/>
              </w:rPr>
              <w:t xml:space="preserve">Google Fonts — Playfair Display (display), Montserrat (UI), Inconsolata (podaci/brojevi).</w:t>
            </w:r>
          </w:p>
        </w:tc>
      </w:tr>
      <w:tr>
        <w:tc>
          <w:tcPr>
            <w:tcW w:type="dxa" w:w="2600"/>
            <w:tcMar>
              <w:top w:type="dxa" w:w="60"/>
              <w:left w:type="dxa" w:w="100"/>
              <w:bottom w:type="dxa" w:w="60"/>
              <w:right w:type="dxa" w:w="100"/>
            </w:tcMar>
          </w:tcPr>
          <w:p>
            <w:r>
              <w:rPr>
                <w:sz w:val="17"/>
                <w:szCs w:val="17"/>
              </w:rPr>
              <w:t xml:space="preserve">Testovi</w:t>
            </w:r>
          </w:p>
        </w:tc>
        <w:tc>
          <w:tcPr>
            <w:tcW w:type="dxa" w:w="6800"/>
            <w:tcMar>
              <w:top w:type="dxa" w:w="60"/>
              <w:left w:type="dxa" w:w="100"/>
              <w:bottom w:type="dxa" w:w="60"/>
              <w:right w:type="dxa" w:w="100"/>
            </w:tcMar>
          </w:tcPr>
          <w:p>
            <w:r>
              <w:rPr>
                <w:sz w:val="17"/>
                <w:szCs w:val="17"/>
              </w:rPr>
              <w:t xml:space="preserve">Vitest za JS (filteredStats, date helperi, management helperi); pytest za Python ekstraktor.</w:t>
            </w:r>
          </w:p>
        </w:tc>
      </w:tr>
      <w:tr>
        <w:tc>
          <w:tcPr>
            <w:tcW w:type="dxa" w:w="2600"/>
            <w:tcMar>
              <w:top w:type="dxa" w:w="60"/>
              <w:left w:type="dxa" w:w="100"/>
              <w:bottom w:type="dxa" w:w="60"/>
              <w:right w:type="dxa" w:w="100"/>
            </w:tcMar>
          </w:tcPr>
          <w:p>
            <w:r>
              <w:rPr>
                <w:sz w:val="17"/>
                <w:szCs w:val="17"/>
              </w:rPr>
              <w:t xml:space="preserve">CI</w:t>
            </w:r>
          </w:p>
        </w:tc>
        <w:tc>
          <w:tcPr>
            <w:tcW w:type="dxa" w:w="6800"/>
            <w:tcMar>
              <w:top w:type="dxa" w:w="60"/>
              <w:left w:type="dxa" w:w="100"/>
              <w:bottom w:type="dxa" w:w="60"/>
              <w:right w:type="dxa" w:w="100"/>
            </w:tcMar>
          </w:tcPr>
          <w:p>
            <w:r>
              <w:rPr>
                <w:sz w:val="17"/>
                <w:szCs w:val="17"/>
              </w:rPr>
              <w:t xml:space="preserve">GitHub Actions pokreće oba test suita na svaki push i pull request.</w:t>
            </w:r>
          </w:p>
        </w:tc>
      </w:tr>
    </w:tbl>
    <w:p>
      <w:pPr>
        <w:pStyle w:val="Heading2"/>
        <w:spacing w:after="120" w:before="280"/>
      </w:pPr>
      <w:r>
        <w:rPr>
          <w:b/>
          <w:bCs/>
          <w:color w:val="1F3B57"/>
          <w:sz w:val="26"/>
          <w:szCs w:val="26"/>
        </w:rPr>
        <w:t xml:space="preserve">Uloge datoteka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1F3B57" w:val="clear"/>
            <w:tcMar>
              <w:top w:type="dxa" w:w="80"/>
              <w:left w:type="dxa" w:w="100"/>
              <w:bottom w:type="dxa" w:w="80"/>
              <w:right w:type="dxa" w:w="100"/>
            </w:tcMar>
          </w:tcPr>
          <w:p>
            <w:r>
              <w:rPr>
                <w:b/>
                <w:bCs/>
                <w:color w:val="FFFFFF"/>
                <w:sz w:val="18"/>
                <w:szCs w:val="18"/>
              </w:rPr>
              <w:t xml:space="preserve">Datoteka / folder</w:t>
            </w:r>
          </w:p>
        </w:tc>
        <w:tc>
          <w:tcPr>
            <w:tcW w:type="dxa" w:w="6600"/>
            <w:shd w:fill="1F3B57" w:val="clear"/>
            <w:tcMar>
              <w:top w:type="dxa" w:w="80"/>
              <w:left w:type="dxa" w:w="100"/>
              <w:bottom w:type="dxa" w:w="80"/>
              <w:right w:type="dxa" w:w="100"/>
            </w:tcMar>
          </w:tcPr>
          <w:p>
            <w:r>
              <w:rPr>
                <w:b/>
                <w:bCs/>
                <w:color w:val="FFFFFF"/>
                <w:sz w:val="18"/>
                <w:szCs w:val="18"/>
              </w:rPr>
              <w:t xml:space="preserve">Uloga</w:t>
            </w:r>
          </w:p>
        </w:tc>
      </w:tr>
      <w:tr>
        <w:tc>
          <w:tcPr>
            <w:tcW w:type="dxa" w:w="2800"/>
            <w:tcMar>
              <w:top w:type="dxa" w:w="60"/>
              <w:left w:type="dxa" w:w="100"/>
              <w:bottom w:type="dxa" w:w="60"/>
              <w:right w:type="dxa" w:w="100"/>
            </w:tcMar>
          </w:tcPr>
          <w:p>
            <w:r>
              <w:rPr>
                <w:sz w:val="17"/>
                <w:szCs w:val="17"/>
              </w:rPr>
              <w:t xml:space="preserve">index.html</w:t>
            </w:r>
          </w:p>
        </w:tc>
        <w:tc>
          <w:tcPr>
            <w:tcW w:type="dxa" w:w="6600"/>
            <w:tcMar>
              <w:top w:type="dxa" w:w="60"/>
              <w:left w:type="dxa" w:w="100"/>
              <w:bottom w:type="dxa" w:w="60"/>
              <w:right w:type="dxa" w:w="100"/>
            </w:tcMar>
          </w:tcPr>
          <w:p>
            <w:r>
              <w:rPr>
                <w:sz w:val="17"/>
                <w:szCs w:val="17"/>
              </w:rPr>
              <w:t xml:space="preserve">Ljuska stranice — četiri prazna kontejnera taba plus HTML za Management pod-navigaciju. Nikad se ne uređuje za ažuriranje podataka.</w:t>
            </w:r>
          </w:p>
        </w:tc>
      </w:tr>
      <w:tr>
        <w:tc>
          <w:tcPr>
            <w:tcW w:type="dxa" w:w="2800"/>
            <w:tcMar>
              <w:top w:type="dxa" w:w="60"/>
              <w:left w:type="dxa" w:w="100"/>
              <w:bottom w:type="dxa" w:w="60"/>
              <w:right w:type="dxa" w:w="100"/>
            </w:tcMar>
          </w:tcPr>
          <w:p>
            <w:r>
              <w:rPr>
                <w:sz w:val="17"/>
                <w:szCs w:val="17"/>
              </w:rPr>
              <w:t xml:space="preserve">guides.css</w:t>
            </w:r>
          </w:p>
        </w:tc>
        <w:tc>
          <w:tcPr>
            <w:tcW w:type="dxa" w:w="6600"/>
            <w:tcMar>
              <w:top w:type="dxa" w:w="60"/>
              <w:left w:type="dxa" w:w="100"/>
              <w:bottom w:type="dxa" w:w="60"/>
              <w:right w:type="dxa" w:w="100"/>
            </w:tcMar>
          </w:tcPr>
          <w:p>
            <w:r>
              <w:rPr>
                <w:sz w:val="17"/>
                <w:szCs w:val="17"/>
              </w:rPr>
              <w:t xml:space="preserve">Sav evidencija-specifičan styling: layout, traka filtera, date picker, kartice vodiča, management dashboard, boje.</w:t>
            </w:r>
          </w:p>
        </w:tc>
      </w:tr>
      <w:tr>
        <w:tc>
          <w:tcPr>
            <w:tcW w:type="dxa" w:w="2800"/>
            <w:tcMar>
              <w:top w:type="dxa" w:w="60"/>
              <w:left w:type="dxa" w:w="100"/>
              <w:bottom w:type="dxa" w:w="60"/>
              <w:right w:type="dxa" w:w="100"/>
            </w:tcMar>
          </w:tcPr>
          <w:p>
            <w:r>
              <w:rPr>
                <w:sz w:val="17"/>
                <w:szCs w:val="17"/>
              </w:rPr>
              <w:t xml:space="preserve">data-2025.js / data-2026.js</w:t>
            </w:r>
          </w:p>
        </w:tc>
        <w:tc>
          <w:tcPr>
            <w:tcW w:type="dxa" w:w="6600"/>
            <w:tcMar>
              <w:top w:type="dxa" w:w="60"/>
              <w:left w:type="dxa" w:w="100"/>
              <w:bottom w:type="dxa" w:w="60"/>
              <w:right w:type="dxa" w:w="100"/>
            </w:tcMar>
          </w:tcPr>
          <w:p>
            <w:r>
              <w:rPr>
                <w:sz w:val="17"/>
                <w:szCs w:val="17"/>
              </w:rPr>
              <w:t xml:space="preserve">Generirane data datoteke — ne uređuju se ručno. Učitane kao zasebni &lt;script&gt; tagovi, ne bundlane u dist/app.js, pa ažuriranje samo podataka ne zahtijeva rebuild.</w:t>
            </w:r>
          </w:p>
        </w:tc>
      </w:tr>
      <w:tr>
        <w:tc>
          <w:tcPr>
            <w:tcW w:type="dxa" w:w="2800"/>
            <w:tcMar>
              <w:top w:type="dxa" w:w="60"/>
              <w:left w:type="dxa" w:w="100"/>
              <w:bottom w:type="dxa" w:w="60"/>
              <w:right w:type="dxa" w:w="100"/>
            </w:tcMar>
          </w:tcPr>
          <w:p>
            <w:r>
              <w:rPr>
                <w:sz w:val="17"/>
                <w:szCs w:val="17"/>
              </w:rPr>
              <w:t xml:space="preserve">src/main.js</w:t>
            </w:r>
          </w:p>
        </w:tc>
        <w:tc>
          <w:tcPr>
            <w:tcW w:type="dxa" w:w="6600"/>
            <w:tcMar>
              <w:top w:type="dxa" w:w="60"/>
              <w:left w:type="dxa" w:w="100"/>
              <w:bottom w:type="dxa" w:w="60"/>
              <w:right w:type="dxa" w:w="100"/>
            </w:tcMar>
          </w:tcPr>
          <w:p>
            <w:r>
              <w:rPr>
                <w:sz w:val="17"/>
                <w:szCs w:val="17"/>
              </w:rPr>
              <w:t xml:space="preserve">Ulazna točka — pokreće temu/jezik, izlaže page objekte kao window globale, spaja tipkovničke prečace i navigaciju tabova.</w:t>
            </w:r>
          </w:p>
        </w:tc>
      </w:tr>
      <w:tr>
        <w:tc>
          <w:tcPr>
            <w:tcW w:type="dxa" w:w="2800"/>
            <w:tcMar>
              <w:top w:type="dxa" w:w="60"/>
              <w:left w:type="dxa" w:w="100"/>
              <w:bottom w:type="dxa" w:w="60"/>
              <w:right w:type="dxa" w:w="100"/>
            </w:tcMar>
          </w:tcPr>
          <w:p>
            <w:r>
              <w:rPr>
                <w:sz w:val="17"/>
                <w:szCs w:val="17"/>
              </w:rPr>
              <w:t xml:space="preserve">src/shared.js</w:t>
            </w:r>
          </w:p>
        </w:tc>
        <w:tc>
          <w:tcPr>
            <w:tcW w:type="dxa" w:w="6600"/>
            <w:tcMar>
              <w:top w:type="dxa" w:w="60"/>
              <w:left w:type="dxa" w:w="100"/>
              <w:bottom w:type="dxa" w:w="60"/>
              <w:right w:type="dxa" w:w="100"/>
            </w:tcMar>
          </w:tcPr>
          <w:p>
            <w:r>
              <w:rPr>
                <w:sz w:val="17"/>
                <w:szCs w:val="17"/>
              </w:rPr>
              <w:t xml:space="preserve">Dijeljene konstante (CITIES, PAGES registar), filteredStats() (centralna logika filtriranja po datumu cutoffa), showPage(), updateDateAsOf().</w:t>
            </w:r>
          </w:p>
        </w:tc>
      </w:tr>
      <w:tr>
        <w:tc>
          <w:tcPr>
            <w:tcW w:type="dxa" w:w="2800"/>
            <w:tcMar>
              <w:top w:type="dxa" w:w="60"/>
              <w:left w:type="dxa" w:w="100"/>
              <w:bottom w:type="dxa" w:w="60"/>
              <w:right w:type="dxa" w:w="100"/>
            </w:tcMar>
          </w:tcPr>
          <w:p>
            <w:r>
              <w:rPr>
                <w:sz w:val="17"/>
                <w:szCs w:val="17"/>
              </w:rPr>
              <w:t xml:space="preserve">src/i18n.js</w:t>
            </w:r>
          </w:p>
        </w:tc>
        <w:tc>
          <w:tcPr>
            <w:tcW w:type="dxa" w:w="6600"/>
            <w:tcMar>
              <w:top w:type="dxa" w:w="60"/>
              <w:left w:type="dxa" w:w="100"/>
              <w:bottom w:type="dxa" w:w="60"/>
              <w:right w:type="dxa" w:w="100"/>
            </w:tcMar>
          </w:tcPr>
          <w:p>
            <w:r>
              <w:rPr>
                <w:sz w:val="17"/>
                <w:szCs w:val="17"/>
              </w:rPr>
              <w:t xml:space="preserve">Hrvatski/engleski prijevodi UI stringova i t() helper.</w:t>
            </w:r>
          </w:p>
        </w:tc>
      </w:tr>
      <w:tr>
        <w:tc>
          <w:tcPr>
            <w:tcW w:type="dxa" w:w="2800"/>
            <w:tcMar>
              <w:top w:type="dxa" w:w="60"/>
              <w:left w:type="dxa" w:w="100"/>
              <w:bottom w:type="dxa" w:w="60"/>
              <w:right w:type="dxa" w:w="100"/>
            </w:tcMar>
          </w:tcPr>
          <w:p>
            <w:r>
              <w:rPr>
                <w:sz w:val="17"/>
                <w:szCs w:val="17"/>
              </w:rPr>
              <w:t xml:space="preserve">src/theme.js</w:t>
            </w:r>
          </w:p>
        </w:tc>
        <w:tc>
          <w:tcPr>
            <w:tcW w:type="dxa" w:w="6600"/>
            <w:tcMar>
              <w:top w:type="dxa" w:w="60"/>
              <w:left w:type="dxa" w:w="100"/>
              <w:bottom w:type="dxa" w:w="60"/>
              <w:right w:type="dxa" w:w="100"/>
            </w:tcMar>
          </w:tcPr>
          <w:p>
            <w:r>
              <w:rPr>
                <w:sz w:val="17"/>
                <w:szCs w:val="17"/>
              </w:rPr>
              <w:t xml:space="preserve">Prebacivanje tamne/svijetle teme, spremljeno u localStorage.</w:t>
            </w:r>
          </w:p>
        </w:tc>
      </w:tr>
      <w:tr>
        <w:tc>
          <w:tcPr>
            <w:tcW w:type="dxa" w:w="2800"/>
            <w:tcMar>
              <w:top w:type="dxa" w:w="60"/>
              <w:left w:type="dxa" w:w="100"/>
              <w:bottom w:type="dxa" w:w="60"/>
              <w:right w:type="dxa" w:w="100"/>
            </w:tcMar>
          </w:tcPr>
          <w:p>
            <w:r>
              <w:rPr>
                <w:sz w:val="17"/>
                <w:szCs w:val="17"/>
              </w:rPr>
              <w:t xml:space="preserve">src/pages/page-2025.js, page-2026.js</w:t>
            </w:r>
          </w:p>
        </w:tc>
        <w:tc>
          <w:tcPr>
            <w:tcW w:type="dxa" w:w="6600"/>
            <w:tcMar>
              <w:top w:type="dxa" w:w="60"/>
              <w:left w:type="dxa" w:w="100"/>
              <w:bottom w:type="dxa" w:w="60"/>
              <w:right w:type="dxa" w:w="100"/>
            </w:tcMar>
          </w:tcPr>
          <w:p>
            <w:r>
              <w:rPr>
                <w:sz w:val="17"/>
                <w:szCs w:val="17"/>
              </w:rPr>
              <w:t xml:space="preserve">Render logika za dva taba jedne godine.</w:t>
            </w:r>
          </w:p>
        </w:tc>
      </w:tr>
      <w:tr>
        <w:tc>
          <w:tcPr>
            <w:tcW w:type="dxa" w:w="2800"/>
            <w:tcMar>
              <w:top w:type="dxa" w:w="60"/>
              <w:left w:type="dxa" w:w="100"/>
              <w:bottom w:type="dxa" w:w="60"/>
              <w:right w:type="dxa" w:w="100"/>
            </w:tcMar>
          </w:tcPr>
          <w:p>
            <w:r>
              <w:rPr>
                <w:sz w:val="17"/>
                <w:szCs w:val="17"/>
              </w:rPr>
              <w:t xml:space="preserve">src/pages/page-cmp/index.js</w:t>
            </w:r>
          </w:p>
        </w:tc>
        <w:tc>
          <w:tcPr>
            <w:tcW w:type="dxa" w:w="6600"/>
            <w:tcMar>
              <w:top w:type="dxa" w:w="60"/>
              <w:left w:type="dxa" w:w="100"/>
              <w:bottom w:type="dxa" w:w="60"/>
              <w:right w:type="dxa" w:w="100"/>
            </w:tcMar>
          </w:tcPr>
          <w:p>
            <w:r>
              <w:rPr>
                <w:sz w:val="17"/>
                <w:szCs w:val="17"/>
              </w:rPr>
              <w:t xml:space="preserve">Render logika i Chart.js instance za Usporedba (godina-na-godinu) tab.</w:t>
            </w:r>
          </w:p>
        </w:tc>
      </w:tr>
      <w:tr>
        <w:tc>
          <w:tcPr>
            <w:tcW w:type="dxa" w:w="2800"/>
            <w:tcMar>
              <w:top w:type="dxa" w:w="60"/>
              <w:left w:type="dxa" w:w="100"/>
              <w:bottom w:type="dxa" w:w="60"/>
              <w:right w:type="dxa" w:w="100"/>
            </w:tcMar>
          </w:tcPr>
          <w:p>
            <w:r>
              <w:rPr>
                <w:sz w:val="17"/>
                <w:szCs w:val="17"/>
              </w:rPr>
              <w:t xml:space="preserve">src/pages/management/index.js</w:t>
            </w:r>
          </w:p>
        </w:tc>
        <w:tc>
          <w:tcPr>
            <w:tcW w:type="dxa" w:w="6600"/>
            <w:tcMar>
              <w:top w:type="dxa" w:w="60"/>
              <w:left w:type="dxa" w:w="100"/>
              <w:bottom w:type="dxa" w:w="60"/>
              <w:right w:type="dxa" w:w="100"/>
            </w:tcMar>
          </w:tcPr>
          <w:p>
            <w:r>
              <w:rPr>
                <w:sz w:val="17"/>
                <w:szCs w:val="17"/>
              </w:rPr>
              <w:t xml:space="preserve">Svih 5 Management pod-tabova — daleko najveći modul.</w:t>
            </w:r>
          </w:p>
        </w:tc>
      </w:tr>
      <w:tr>
        <w:tc>
          <w:tcPr>
            <w:tcW w:type="dxa" w:w="2800"/>
            <w:tcMar>
              <w:top w:type="dxa" w:w="60"/>
              <w:left w:type="dxa" w:w="100"/>
              <w:bottom w:type="dxa" w:w="60"/>
              <w:right w:type="dxa" w:w="100"/>
            </w:tcMar>
          </w:tcPr>
          <w:p>
            <w:r>
              <w:rPr>
                <w:sz w:val="17"/>
                <w:szCs w:val="17"/>
              </w:rPr>
              <w:t xml:space="preserve">scripts/extract_guides.py</w:t>
            </w:r>
          </w:p>
        </w:tc>
        <w:tc>
          <w:tcPr>
            <w:tcW w:type="dxa" w:w="6600"/>
            <w:tcMar>
              <w:top w:type="dxa" w:w="60"/>
              <w:left w:type="dxa" w:w="100"/>
              <w:bottom w:type="dxa" w:w="60"/>
              <w:right w:type="dxa" w:w="100"/>
            </w:tcMar>
          </w:tcPr>
          <w:p>
            <w:r>
              <w:rPr>
                <w:sz w:val="17"/>
                <w:szCs w:val="17"/>
              </w:rPr>
              <w:t xml:space="preserve">Čita Excel workbook (ili Google Sheets CSV export, vidi Deployment), piše data-2025.js / data-2026.js.</w:t>
            </w:r>
          </w:p>
        </w:tc>
      </w:tr>
      <w:tr>
        <w:tc>
          <w:tcPr>
            <w:tcW w:type="dxa" w:w="2800"/>
            <w:tcMar>
              <w:top w:type="dxa" w:w="60"/>
              <w:left w:type="dxa" w:w="100"/>
              <w:bottom w:type="dxa" w:w="60"/>
              <w:right w:type="dxa" w:w="100"/>
            </w:tcMar>
          </w:tcPr>
          <w:p>
            <w:r>
              <w:rPr>
                <w:sz w:val="17"/>
                <w:szCs w:val="17"/>
              </w:rPr>
              <w:t xml:space="preserve">dist/app.js</w:t>
            </w:r>
          </w:p>
        </w:tc>
        <w:tc>
          <w:tcPr>
            <w:tcW w:type="dxa" w:w="6600"/>
            <w:tcMar>
              <w:top w:type="dxa" w:w="60"/>
              <w:left w:type="dxa" w:w="100"/>
              <w:bottom w:type="dxa" w:w="60"/>
              <w:right w:type="dxa" w:w="100"/>
            </w:tcMar>
          </w:tcPr>
          <w:p>
            <w:r>
              <w:rPr>
                <w:sz w:val="17"/>
                <w:szCs w:val="17"/>
              </w:rPr>
              <w:t xml:space="preserve">Izgrađeni bundle koji index.html stvarno učitava. Gradi se s npm run build; treba rebuild samo nakon promjene u src/, nikad za ažuriranje samo podataka.</w:t>
            </w:r>
          </w:p>
        </w:tc>
      </w:tr>
    </w:tbl>
    <w:p>
      <w:pPr>
        <w:pStyle w:val="Heading2"/>
        <w:spacing w:after="120" w:before="280"/>
      </w:pPr>
      <w:r>
        <w:rPr>
          <w:b/>
          <w:bCs/>
          <w:color w:val="1F3B57"/>
          <w:sz w:val="26"/>
          <w:szCs w:val="26"/>
        </w:rPr>
        <w:t xml:space="preserve">Page-module obrazac</w:t>
      </w:r>
    </w:p>
    <w:p>
      <w:pPr>
        <w:spacing w:after="120"/>
      </w:pPr>
      <w:r>
        <w:rPr>
          <w:sz w:val="21"/>
          <w:szCs w:val="21"/>
        </w:rPr>
        <w:t xml:space="preserve">Svaki tab je obični JS objekt s lazy-init obrascem: ne radi ništa dok korisnik stvarno ne posjeti taj tab, zatim se inicijalizira jednom i ponovno renderira na svaku sljedeću promjenu filtera ili datuma.</w:t>
      </w:r>
    </w:p>
    <w:p>
      <w:pPr>
        <w:pStyle w:val="Heading2"/>
        <w:spacing w:after="120" w:before="280"/>
      </w:pPr>
      <w:r>
        <w:rPr>
          <w:b/>
          <w:bCs/>
          <w:color w:val="1F3B57"/>
          <w:sz w:val="26"/>
          <w:szCs w:val="26"/>
        </w:rPr>
        <w:t xml:space="preserve">Oblik podataka</w:t>
      </w:r>
    </w:p>
    <w:p>
      <w:pPr>
        <w:spacing w:after="120"/>
      </w:pPr>
      <w:r>
        <w:rPr>
          <w:sz w:val="21"/>
          <w:szCs w:val="21"/>
        </w:rPr>
        <w:t xml:space="preserve">Podaci svakog vodiča — i u data-2025.js i u data-2026.js — prate ovaj oblik:</w:t>
      </w:r>
    </w:p>
    <w:p>
      <w:pPr>
        <w:pBdr>
          <w:top w:val="single" w:color="CCCCCC" w:sz="4"/>
          <w:bottom w:val="single" w:color="CCCCCC" w:sz="4"/>
          <w:left w:val="single" w:color="CCCCCC" w:sz="4"/>
          <w:right w:val="single" w:color="CCCCCC" w:sz="4"/>
        </w:pBdr>
        <w:shd w:fill="F2F2F2" w:val="clear"/>
        <w:spacing w:after="160"/>
      </w:pPr>
      <w:r>
        <w:rPr>
          <w:rFonts w:ascii="Courier New" w:cs="Courier New" w:eastAsia="Courier New" w:hAnsi="Courier New"/>
          <w:sz w:val="16"/>
          <w:szCs w:val="16"/>
        </w:rPr>
        <w:t xml:space="preserve">{</w:t>
      </w:r>
      <w:r>
        <w:rPr>
          <w:rFonts w:ascii="Courier New" w:cs="Courier New" w:eastAsia="Courier New" w:hAnsi="Courier New"/>
          <w:sz w:val="16"/>
          <w:szCs w:val="16"/>
        </w:rPr>
        <w:br/>
        <w:t xml:space="preserve">  name: "Guide Name",</w:t>
      </w:r>
      <w:r>
        <w:rPr>
          <w:rFonts w:ascii="Courier New" w:cs="Courier New" w:eastAsia="Courier New" w:hAnsi="Courier New"/>
          <w:sz w:val="16"/>
          <w:szCs w:val="16"/>
        </w:rPr>
        <w:br/>
        <w:t xml:space="preserve">  city: "Zagreb",            // Zagreb | Dubrovnik | Split | Zadar | Unknown</w:t>
      </w:r>
      <w:r>
        <w:rPr>
          <w:rFonts w:ascii="Courier New" w:cs="Courier New" w:eastAsia="Courier New" w:hAnsi="Courier New"/>
          <w:sz w:val="16"/>
          <w:szCs w:val="16"/>
        </w:rPr>
        <w:br/>
        <w:t xml:space="preserve">  stats: {</w:t>
      </w:r>
      <w:r>
        <w:rPr>
          <w:rFonts w:ascii="Courier New" w:cs="Courier New" w:eastAsia="Courier New" w:hAnsi="Courier New"/>
          <w:sz w:val="16"/>
          <w:szCs w:val="16"/>
        </w:rPr>
        <w:br/>
        <w:t xml:space="preserve">    eng: {</w:t>
      </w:r>
      <w:r>
        <w:rPr>
          <w:rFonts w:ascii="Courier New" w:cs="Courier New" w:eastAsia="Courier New" w:hAnsi="Courier New"/>
          <w:sz w:val="16"/>
          <w:szCs w:val="16"/>
        </w:rPr>
        <w:br/>
        <w:t xml:space="preserve">      free: { tours, pax },</w:t>
      </w:r>
      <w:r>
        <w:rPr>
          <w:rFonts w:ascii="Courier New" w:cs="Courier New" w:eastAsia="Courier New" w:hAnsi="Courier New"/>
          <w:sz w:val="16"/>
          <w:szCs w:val="16"/>
        </w:rPr>
        <w:br/>
        <w:t xml:space="preserve">      paid: { tours, pax },</w:t>
      </w:r>
      <w:r>
        <w:rPr>
          <w:rFonts w:ascii="Courier New" w:cs="Courier New" w:eastAsia="Courier New" w:hAnsi="Courier New"/>
          <w:sz w:val="16"/>
          <w:szCs w:val="16"/>
        </w:rPr>
        <w:br/>
        <w:t xml:space="preserve">      byType: { [typeName]: { tours, pax } },</w:t>
      </w:r>
      <w:r>
        <w:rPr>
          <w:rFonts w:ascii="Courier New" w:cs="Courier New" w:eastAsia="Courier New" w:hAnsi="Courier New"/>
          <w:sz w:val="16"/>
          <w:szCs w:val="16"/>
        </w:rPr>
        <w:br/>
        <w:t xml:space="preserve">      byMonth: { [1..12]: { name, free: {tours,pax}, paid: {tours,pax} } },</w:t>
      </w:r>
      <w:r>
        <w:rPr>
          <w:rFonts w:ascii="Courier New" w:cs="Courier New" w:eastAsia="Courier New" w:hAnsi="Courier New"/>
          <w:sz w:val="16"/>
          <w:szCs w:val="16"/>
        </w:rPr>
        <w:br/>
        <w:t xml:space="preserve">      byDay:   { ["m-d"]: { free, paid } }   // 2026 only — enables partial-month cutoff</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esp: { /* same shape */ },</w:t>
      </w:r>
      <w:r>
        <w:rPr>
          <w:rFonts w:ascii="Courier New" w:cs="Courier New" w:eastAsia="Courier New" w:hAnsi="Courier New"/>
          <w:sz w:val="16"/>
          <w:szCs w:val="16"/>
        </w:rPr>
        <w:br/>
        <w:t xml:space="preserve">    fra: { /* same shape */ },</w:t>
      </w:r>
      <w:r>
        <w:rPr>
          <w:rFonts w:ascii="Courier New" w:cs="Courier New" w:eastAsia="Courier New" w:hAnsi="Courier New"/>
          <w:sz w:val="16"/>
          <w:szCs w:val="16"/>
        </w:rPr>
        <w:br/>
        <w:t xml:space="preserve">    all: { /* aggregate across languages */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mgmt: { /* revenue, vendorCost, grossMargin, byDay, bySource, ... */ }</w:t>
      </w:r>
      <w:r>
        <w:rPr>
          <w:rFonts w:ascii="Courier New" w:cs="Courier New" w:eastAsia="Courier New" w:hAnsi="Courier New"/>
          <w:sz w:val="16"/>
          <w:szCs w:val="16"/>
        </w:rPr>
        <w:br/>
        <w:t xml:space="preserve">}</w:t>
      </w:r>
    </w:p>
    <w:p>
      <w:pPr>
        <w:pStyle w:val="Heading1"/>
        <w:pBdr>
          <w:bottom w:val="single" w:color="1F3B57" w:sz="6" w:space="4"/>
        </w:pBdr>
        <w:spacing w:after="160" w:before="360"/>
      </w:pPr>
      <w:r>
        <w:rPr>
          <w:b/>
          <w:bCs/>
          <w:color w:val="1F3B57"/>
          <w:sz w:val="32"/>
          <w:szCs w:val="32"/>
        </w:rPr>
        <w:t xml:space="preserve">Data pipeline — od Excela do stranice</w:t>
      </w:r>
    </w:p>
    <w:p>
      <w:pPr>
        <w:spacing w:after="120"/>
      </w:pPr>
      <w:r>
        <w:rPr>
          <w:sz w:val="21"/>
          <w:szCs w:val="21"/>
        </w:rPr>
        <w:t xml:space="preserve">Izvor istine je lokalni Excel workbook, “1.1 Evidencija prodaje 26.xlsx”, koji se drži potpuno izvan repozitorija — tko god održava podatke drži ovu datoteku lokalno, ne u gitu ni na Driveu. Svaki redak je jedna rezervacija ture; stupci uključuju ime vodiča, grad, jezik, vrstu ture, mjesec, broj putnika, i (za Management tab) cijeli set financijskih polja (naplaćeni iznos, provizija, trošak dobavljača, bruto marža, itd.).</w:t>
      </w:r>
    </w:p>
    <w:p>
      <w:pPr>
        <w:spacing w:after="120"/>
      </w:pPr>
      <w:r>
        <w:rPr>
          <w:sz w:val="21"/>
          <w:szCs w:val="21"/>
        </w:rPr>
        <w:t xml:space="preserve">scripts/extract_guides.py čita sheet “Evidencija” (2026, aktivna godina) ili sheet “Evidencija_25” (2025, zatvorena/povijesna), automatski prepoznajući poziciju svakog stupca po tekstu zaglavlja, a ne po fiksnom redoslijedu — pa promjena redoslijeda stupaca u sheetu ne kvari ekstrakciju, samo preimenovanje zaglavlja to čini. Ispisuje spremnu JavaScript datoteku na stdout, koja se izravno preusmjerava u data-2026.js ili data-2025.js.</w:t>
      </w:r>
    </w:p>
    <w:p>
      <w:pPr>
        <w:spacing w:after="120"/>
      </w:pPr>
      <w:r>
        <w:rPr>
          <w:sz w:val="21"/>
          <w:szCs w:val="21"/>
        </w:rPr>
        <w:t xml:space="preserve">Ovo je danas ručni, on-demand korak, ne živa sinkronizacija — dashboard zna samo ono što je bilo u workbooku zadnji put kad je netko pokrenuo skriptu. Vidi “Ažuriranje mjesečnih podataka” ispod za točan proces, i “Deployment” za dokumentiran, ali još neaktivan plan da se ovo automatizira.</w:t>
      </w:r>
    </w:p>
    <w:p>
      <w:pPr>
        <w:pStyle w:val="Heading1"/>
        <w:pBdr>
          <w:bottom w:val="single" w:color="1F3B57" w:sz="6" w:space="4"/>
        </w:pBdr>
        <w:spacing w:after="160" w:before="360"/>
      </w:pPr>
      <w:r>
        <w:rPr>
          <w:b/>
          <w:bCs/>
          <w:color w:val="1F3B57"/>
          <w:sz w:val="32"/>
          <w:szCs w:val="32"/>
        </w:rPr>
        <w:t xml:space="preserve">Ažuriranje mjesečnih podataka</w:t>
      </w:r>
    </w:p>
    <w:p>
      <w:pPr>
        <w:spacing w:after="120"/>
      </w:pPr>
      <w:r>
        <w:rPr>
          <w:sz w:val="21"/>
          <w:szCs w:val="21"/>
        </w:rPr>
        <w:t xml:space="preserve">Ovo je ponavljajući zadatak održavanja: prenijeti nove mjesečne rezervacije iz Excel workbooka u živi dashboard.</w:t>
      </w:r>
    </w:p>
    <w:p>
      <w:pPr>
        <w:spacing w:after="80"/>
        <w:ind w:left="260" w:hanging="260"/>
      </w:pPr>
      <w:r>
        <w:rPr>
          <w:b/>
          <w:bCs/>
          <w:sz w:val="21"/>
          <w:szCs w:val="21"/>
        </w:rPr>
        <w:t xml:space="preserve">1.  </w:t>
      </w:r>
      <w:r>
        <w:rPr>
          <w:sz w:val="21"/>
          <w:szCs w:val="21"/>
        </w:rPr>
        <w:t xml:space="preserve">Otvoriti “1.1 Evidencija prodaje 26.xlsx” i dodati retke novog mjeseca u sheet “Evidencija”.</w:t>
      </w:r>
    </w:p>
    <w:p>
      <w:pPr>
        <w:spacing w:after="80"/>
        <w:ind w:left="260" w:hanging="260"/>
      </w:pPr>
      <w:r>
        <w:rPr>
          <w:b/>
          <w:bCs/>
          <w:sz w:val="21"/>
          <w:szCs w:val="21"/>
        </w:rPr>
        <w:t xml:space="preserve">2.  </w:t>
      </w:r>
      <w:r>
        <w:rPr>
          <w:sz w:val="21"/>
          <w:szCs w:val="21"/>
        </w:rPr>
        <w:t xml:space="preserve">Iz direktorija evidencija/: aktivirati Python virtualno okruženje (source venv/bin/activate) i pokrenuti python3 scripts/extract_guides.py --year 2026 &gt; data-2026.js. Ovo prepisuje data-2026.js svježim guideStats26/kpiTotals26 izgrađenim iz sheeta u trenutnom stanju.</w:t>
      </w:r>
    </w:p>
    <w:p>
      <w:pPr>
        <w:spacing w:after="80"/>
        <w:ind w:left="260" w:hanging="260"/>
      </w:pPr>
      <w:r>
        <w:rPr>
          <w:b/>
          <w:bCs/>
          <w:sz w:val="21"/>
          <w:szCs w:val="21"/>
        </w:rPr>
        <w:t xml:space="preserve">3.  </w:t>
      </w:r>
      <w:r>
        <w:rPr>
          <w:sz w:val="21"/>
          <w:szCs w:val="21"/>
        </w:rPr>
        <w:t xml:space="preserve">Otvoriti index.html u pregledniku i provjeriti: brojevi novog mjeseca pojavljuju se u mjesečnom pregledu vodiča, KPI ukupni brojevi na 2026 tabu izgledaju točno, i Usporedba tab odražava ažuriranje.</w:t>
      </w:r>
    </w:p>
    <w:p>
      <w:pPr>
        <w:spacing w:after="80"/>
        <w:ind w:left="260" w:hanging="260"/>
      </w:pPr>
      <w:r>
        <w:rPr>
          <w:b/>
          <w:bCs/>
          <w:sz w:val="21"/>
          <w:szCs w:val="21"/>
        </w:rPr>
        <w:t xml:space="preserve">4.  </w:t>
      </w:r>
      <w:r>
        <w:rPr>
          <w:sz w:val="21"/>
          <w:szCs w:val="21"/>
        </w:rPr>
        <w:t xml:space="preserve">Commitati i pushati: git add data-2026.js, git commit, git push. Živi site (trenutno GitHub Pages) se automatski redeploya.</w:t>
      </w:r>
    </w:p>
    <w:p>
      <w:pPr>
        <w:pBdr>
          <w:left w:val="single" w:color="CCCCCC" w:sz="12" w:space="8"/>
        </w:pBdr>
        <w:spacing w:after="160"/>
        <w:ind w:left="260"/>
      </w:pPr>
      <w:r>
        <w:rPr>
          <w:i/>
          <w:iCs/>
          <w:color w:val="666666"/>
          <w:sz w:val="20"/>
          <w:szCs w:val="20"/>
        </w:rPr>
        <w:t xml:space="preserve">Prikazani raspon datuma na Usporedba tabu (“Jan–Jun”, “Jan–Aug”, itd.) i njegov padajući izbornik mjeseci sami se automatski preračunavaju iz trenutnog datuma pri svakom učitavanju stranice — nema ničega za uređivati u kodu kako novi mjeseci stižu.</w:t>
      </w:r>
    </w:p>
    <w:p>
      <w:pPr>
        <w:pBdr>
          <w:left w:val="single" w:color="CCCCCC" w:sz="12" w:space="8"/>
        </w:pBdr>
        <w:spacing w:after="160"/>
        <w:ind w:left="260"/>
      </w:pPr>
      <w:r>
        <w:rPr>
          <w:i/>
          <w:iCs/>
          <w:color w:val="666666"/>
          <w:sz w:val="20"/>
          <w:szCs w:val="20"/>
        </w:rPr>
        <w:t xml:space="preserve">Vodič bez prijašnjeg unosa automatski dobiva jedan prvi put kad se njegove ture pojave u sheetu — ništa se ne uređuje ručno u data datoteci. Pojavit će se u Usporedbi kao novi vodič bez retka usporedbe za 2025.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B57" w:val="clear"/>
            <w:tcMar>
              <w:top w:type="dxa" w:w="80"/>
              <w:left w:type="dxa" w:w="100"/>
              <w:bottom w:type="dxa" w:w="80"/>
              <w:right w:type="dxa" w:w="100"/>
            </w:tcMar>
          </w:tcPr>
          <w:p>
            <w:r>
              <w:rPr>
                <w:b/>
                <w:bCs/>
                <w:color w:val="FFFFFF"/>
                <w:sz w:val="18"/>
                <w:szCs w:val="18"/>
              </w:rPr>
              <w:t xml:space="preserve">Simptom</w:t>
            </w:r>
          </w:p>
        </w:tc>
        <w:tc>
          <w:tcPr>
            <w:tcW w:type="dxa" w:w="6000"/>
            <w:shd w:fill="1F3B57" w:val="clear"/>
            <w:tcMar>
              <w:top w:type="dxa" w:w="80"/>
              <w:left w:type="dxa" w:w="100"/>
              <w:bottom w:type="dxa" w:w="80"/>
              <w:right w:type="dxa" w:w="100"/>
            </w:tcMar>
          </w:tcPr>
          <w:p>
            <w:r>
              <w:rPr>
                <w:b/>
                <w:bCs/>
                <w:color w:val="FFFFFF"/>
                <w:sz w:val="18"/>
                <w:szCs w:val="18"/>
              </w:rPr>
              <w:t xml:space="preserve">Vjerojatan uzrok / rješenje</w:t>
            </w:r>
          </w:p>
        </w:tc>
      </w:tr>
      <w:tr>
        <w:tc>
          <w:tcPr>
            <w:tcW w:type="dxa" w:w="3400"/>
            <w:tcMar>
              <w:top w:type="dxa" w:w="60"/>
              <w:left w:type="dxa" w:w="100"/>
              <w:bottom w:type="dxa" w:w="60"/>
              <w:right w:type="dxa" w:w="100"/>
            </w:tcMar>
          </w:tcPr>
          <w:p>
            <w:r>
              <w:rPr>
                <w:sz w:val="17"/>
                <w:szCs w:val="17"/>
              </w:rPr>
              <w:t xml:space="preserve">Column "X" not found</w:t>
            </w:r>
          </w:p>
        </w:tc>
        <w:tc>
          <w:tcPr>
            <w:tcW w:type="dxa" w:w="6000"/>
            <w:tcMar>
              <w:top w:type="dxa" w:w="60"/>
              <w:left w:type="dxa" w:w="100"/>
              <w:bottom w:type="dxa" w:w="60"/>
              <w:right w:type="dxa" w:w="100"/>
            </w:tcMar>
          </w:tcPr>
          <w:p>
            <w:r>
              <w:rPr>
                <w:sz w:val="17"/>
                <w:szCs w:val="17"/>
              </w:rPr>
              <w:t xml:space="preserve">Zaglavlje u Excel sheetu je preimenovano — provjeriti redak zaglavlja sheeta u odnosu na ono što poruka greške navodi.</w:t>
            </w:r>
          </w:p>
        </w:tc>
      </w:tr>
      <w:tr>
        <w:tc>
          <w:tcPr>
            <w:tcW w:type="dxa" w:w="3400"/>
            <w:tcMar>
              <w:top w:type="dxa" w:w="60"/>
              <w:left w:type="dxa" w:w="100"/>
              <w:bottom w:type="dxa" w:w="60"/>
              <w:right w:type="dxa" w:w="100"/>
            </w:tcMar>
          </w:tcPr>
          <w:p>
            <w:r>
              <w:rPr>
                <w:sz w:val="17"/>
                <w:szCs w:val="17"/>
              </w:rPr>
              <w:t xml:space="preserve">Vodič nedostaje u izlazu</w:t>
            </w:r>
          </w:p>
        </w:tc>
        <w:tc>
          <w:tcPr>
            <w:tcW w:type="dxa" w:w="6000"/>
            <w:tcMar>
              <w:top w:type="dxa" w:w="60"/>
              <w:left w:type="dxa" w:w="100"/>
              <w:bottom w:type="dxa" w:w="60"/>
              <w:right w:type="dxa" w:w="100"/>
            </w:tcMar>
          </w:tcPr>
          <w:p>
            <w:r>
              <w:rPr>
                <w:sz w:val="17"/>
                <w:szCs w:val="17"/>
              </w:rPr>
              <w:t xml:space="preserve">Tipfeler ili suvišan razmak u imenu tog vodiča u Excel sheetu — imena moraju točno odgovarati, redak po redak.</w:t>
            </w:r>
          </w:p>
        </w:tc>
      </w:tr>
      <w:tr>
        <w:tc>
          <w:tcPr>
            <w:tcW w:type="dxa" w:w="3400"/>
            <w:tcMar>
              <w:top w:type="dxa" w:w="60"/>
              <w:left w:type="dxa" w:w="100"/>
              <w:bottom w:type="dxa" w:w="60"/>
              <w:right w:type="dxa" w:w="100"/>
            </w:tcMar>
          </w:tcPr>
          <w:p>
            <w:r>
              <w:rPr>
                <w:sz w:val="17"/>
                <w:szCs w:val="17"/>
              </w:rPr>
              <w:t xml:space="preserve">ModuleNotFoundError: openpyxl</w:t>
            </w:r>
          </w:p>
        </w:tc>
        <w:tc>
          <w:tcPr>
            <w:tcW w:type="dxa" w:w="6000"/>
            <w:tcMar>
              <w:top w:type="dxa" w:w="60"/>
              <w:left w:type="dxa" w:w="100"/>
              <w:bottom w:type="dxa" w:w="60"/>
              <w:right w:type="dxa" w:w="100"/>
            </w:tcMar>
          </w:tcPr>
          <w:p>
            <w:r>
              <w:rPr>
                <w:sz w:val="17"/>
                <w:szCs w:val="17"/>
              </w:rPr>
              <w:t xml:space="preserve">Virtualno okruženje nije aktivno — prvo pokrenuti source venv/bin/activate.</w:t>
            </w:r>
          </w:p>
        </w:tc>
      </w:tr>
      <w:tr>
        <w:tc>
          <w:tcPr>
            <w:tcW w:type="dxa" w:w="3400"/>
            <w:tcMar>
              <w:top w:type="dxa" w:w="60"/>
              <w:left w:type="dxa" w:w="100"/>
              <w:bottom w:type="dxa" w:w="60"/>
              <w:right w:type="dxa" w:w="100"/>
            </w:tcMar>
          </w:tcPr>
          <w:p>
            <w:r>
              <w:rPr>
                <w:sz w:val="17"/>
                <w:szCs w:val="17"/>
              </w:rPr>
              <w:t xml:space="preserve">Site je prazan nakon promjene koda (ne podataka)</w:t>
            </w:r>
          </w:p>
        </w:tc>
        <w:tc>
          <w:tcPr>
            <w:tcW w:type="dxa" w:w="6000"/>
            <w:tcMar>
              <w:top w:type="dxa" w:w="60"/>
              <w:left w:type="dxa" w:w="100"/>
              <w:bottom w:type="dxa" w:w="60"/>
              <w:right w:type="dxa" w:w="100"/>
            </w:tcMar>
          </w:tcPr>
          <w:p>
            <w:r>
              <w:rPr>
                <w:sz w:val="17"/>
                <w:szCs w:val="17"/>
              </w:rPr>
              <w:t xml:space="preserve">dist/app.js nije rebuildan. Pokrenuti npm run build, zatim commitati i dist/app.js — promjena u src/ treba rebuild; ažuriranje samo podataka ne treba.</w:t>
            </w:r>
          </w:p>
        </w:tc>
      </w:tr>
    </w:tbl>
    <w:p>
      <w:pPr>
        <w:pStyle w:val="Heading1"/>
        <w:pBdr>
          <w:bottom w:val="single" w:color="1F3B57" w:sz="6" w:space="4"/>
        </w:pBdr>
        <w:spacing w:after="160" w:before="360"/>
      </w:pPr>
      <w:r>
        <w:rPr>
          <w:b/>
          <w:bCs/>
          <w:color w:val="1F3B57"/>
          <w:sz w:val="32"/>
          <w:szCs w:val="32"/>
        </w:rPr>
        <w:t xml:space="preserve">Četiri taba</w:t>
      </w:r>
    </w:p>
    <w:p>
      <w:pPr>
        <w:spacing w:after="120"/>
      </w:pPr>
      <w:r>
        <w:rPr>
          <w:sz w:val="21"/>
          <w:szCs w:val="21"/>
        </w:rPr>
        <w:t xml:space="preserve">Filteri po gradu (Zagreb, Dubrovnik, Split, Zadar) i jeziku (ENG, ESP, FRA) dostupni su na produkcijskim tabovima; filteri svakog taba neovisni su o ostalima. Date picker u gornjoj navigaciji kontrolira “as-of” cutoff korišten posvuda — potpuni mjeseci zbrajaju se kao cijeli mjeseci, trenutni nepotpuni mjesec zbraja se dan po dan do odabranog datuma cutoffa.</w:t>
      </w:r>
    </w:p>
    <w:p>
      <w:pPr>
        <w:pStyle w:val="Heading2"/>
        <w:spacing w:after="120" w:before="280"/>
      </w:pPr>
      <w:r>
        <w:rPr>
          <w:b/>
          <w:bCs/>
          <w:color w:val="1F3B57"/>
          <w:sz w:val="26"/>
          <w:szCs w:val="26"/>
        </w:rPr>
        <w:t xml:space="preserve">Vodiči 2025</w:t>
      </w:r>
    </w:p>
    <w:p>
      <w:pPr>
        <w:spacing w:after="120"/>
      </w:pPr>
      <w:r>
        <w:rPr>
          <w:sz w:val="21"/>
          <w:szCs w:val="21"/>
        </w:rPr>
        <w:t xml:space="preserve">Produkcija cijele 2025. godine po vodiču: free ture, plaćene ture, broj putnika, i mjesečni pregled po vodiču (proširiti “Mjesečno” na bilo kojoj kartici vodiča). 2025. je zatvorena godina — podaci ovog taba mijenjaju se samo ako treba ispraviti povijesne podatke.</w:t>
      </w:r>
    </w:p>
    <w:p>
      <w:pPr>
        <w:pStyle w:val="Heading2"/>
        <w:spacing w:after="120" w:before="280"/>
      </w:pPr>
      <w:r>
        <w:rPr>
          <w:b/>
          <w:bCs/>
          <w:color w:val="1F3B57"/>
          <w:sz w:val="26"/>
          <w:szCs w:val="26"/>
        </w:rPr>
        <w:t xml:space="preserve">Vodiči 2026</w:t>
      </w:r>
    </w:p>
    <w:p>
      <w:pPr>
        <w:spacing w:after="120"/>
      </w:pPr>
      <w:r>
        <w:rPr>
          <w:sz w:val="21"/>
          <w:szCs w:val="21"/>
        </w:rPr>
        <w:t xml:space="preserve">Isti oblik kao tab 2025, ali za trenutnu godinu, ažuriran mjesečno gornjim procesom. Ovo je tab koji se stvarno mijenja iz mjeseca u mjesec.</w:t>
      </w:r>
    </w:p>
    <w:p>
      <w:pPr>
        <w:pStyle w:val="Heading2"/>
        <w:spacing w:after="120" w:before="280"/>
      </w:pPr>
      <w:r>
        <w:rPr>
          <w:b/>
          <w:bCs/>
          <w:color w:val="1F3B57"/>
          <w:sz w:val="26"/>
          <w:szCs w:val="26"/>
        </w:rPr>
        <w:t xml:space="preserve">Usporedba</w:t>
      </w:r>
    </w:p>
    <w:p>
      <w:pPr>
        <w:spacing w:after="120"/>
      </w:pPr>
      <w:r>
        <w:rPr>
          <w:sz w:val="21"/>
          <w:szCs w:val="21"/>
        </w:rPr>
        <w:t xml:space="preserve">Grafovi i tablice 2025-naspram-2026 jedno pored drugog — kumulativni free pax, plaćene ture, prosječan pax po turi, sve filtrirano po gradu i (u sekciji Paid Tours) po vrsti ture preko jednog sticky filtera koji pokreće sva tri grafa te sekcije odjednom. Prikazani raspon datuma uvijek odgovara koliko god trenutna godina ima podataka, izračunato automatski.</w:t>
      </w:r>
    </w:p>
    <w:p>
      <w:pPr>
        <w:pStyle w:val="Heading2"/>
        <w:spacing w:after="120" w:before="280"/>
      </w:pPr>
      <w:r>
        <w:rPr>
          <w:b/>
          <w:bCs/>
          <w:color w:val="1F3B57"/>
          <w:sz w:val="26"/>
          <w:szCs w:val="26"/>
        </w:rPr>
        <w:t xml:space="preserve">Management</w:t>
      </w:r>
    </w:p>
    <w:p>
      <w:pPr>
        <w:spacing w:after="120"/>
      </w:pPr>
      <w:r>
        <w:rPr>
          <w:sz w:val="21"/>
          <w:szCs w:val="21"/>
        </w:rPr>
        <w:t xml:space="preserve">Financijski i operativni pogled, organiziran u 5 pod-tabova, svi čitaju iz istog mgmt objekta unutar podatkovnog unosa svakog vodiča.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3B57" w:val="clear"/>
            <w:tcMar>
              <w:top w:type="dxa" w:w="80"/>
              <w:left w:type="dxa" w:w="100"/>
              <w:bottom w:type="dxa" w:w="80"/>
              <w:right w:type="dxa" w:w="100"/>
            </w:tcMar>
          </w:tcPr>
          <w:p>
            <w:r>
              <w:rPr>
                <w:b/>
                <w:bCs/>
                <w:color w:val="FFFFFF"/>
                <w:sz w:val="18"/>
                <w:szCs w:val="18"/>
              </w:rPr>
              <w:t xml:space="preserve">Pod-tab</w:t>
            </w:r>
          </w:p>
        </w:tc>
        <w:tc>
          <w:tcPr>
            <w:tcW w:type="dxa" w:w="7600"/>
            <w:shd w:fill="1F3B57" w:val="clear"/>
            <w:tcMar>
              <w:top w:type="dxa" w:w="80"/>
              <w:left w:type="dxa" w:w="100"/>
              <w:bottom w:type="dxa" w:w="80"/>
              <w:right w:type="dxa" w:w="100"/>
            </w:tcMar>
          </w:tcPr>
          <w:p>
            <w:r>
              <w:rPr>
                <w:b/>
                <w:bCs/>
                <w:color w:val="FFFFFF"/>
                <w:sz w:val="18"/>
                <w:szCs w:val="18"/>
              </w:rPr>
              <w:t xml:space="preserve">Što pokriva</w:t>
            </w:r>
          </w:p>
        </w:tc>
      </w:tr>
      <w:tr>
        <w:tc>
          <w:tcPr>
            <w:tcW w:type="dxa" w:w="1800"/>
            <w:tcMar>
              <w:top w:type="dxa" w:w="60"/>
              <w:left w:type="dxa" w:w="100"/>
              <w:bottom w:type="dxa" w:w="60"/>
              <w:right w:type="dxa" w:w="100"/>
            </w:tcMar>
          </w:tcPr>
          <w:p>
            <w:r>
              <w:rPr>
                <w:sz w:val="17"/>
                <w:szCs w:val="17"/>
              </w:rPr>
              <w:t xml:space="preserve">P&amp;L</w:t>
            </w:r>
          </w:p>
        </w:tc>
        <w:tc>
          <w:tcPr>
            <w:tcW w:type="dxa" w:w="7600"/>
            <w:tcMar>
              <w:top w:type="dxa" w:w="60"/>
              <w:left w:type="dxa" w:w="100"/>
              <w:bottom w:type="dxa" w:w="60"/>
              <w:right w:type="dxa" w:w="100"/>
            </w:tcMar>
          </w:tcPr>
          <w:p>
            <w:r>
              <w:rPr>
                <w:sz w:val="17"/>
                <w:szCs w:val="17"/>
              </w:rPr>
              <w:t xml:space="preserve">Prihod, provizija, trošak dobavljača, bruto marža — KPI kartice s usporedbom za 2025., waterfall graf koji razlaže prihod na troškove i maržu, mjesečni trend prihoda/marže, i usporedba izravne rezervacije naspram OTA naplate.</w:t>
            </w:r>
          </w:p>
        </w:tc>
      </w:tr>
      <w:tr>
        <w:tc>
          <w:tcPr>
            <w:tcW w:type="dxa" w:w="1800"/>
            <w:tcMar>
              <w:top w:type="dxa" w:w="60"/>
              <w:left w:type="dxa" w:w="100"/>
              <w:bottom w:type="dxa" w:w="60"/>
              <w:right w:type="dxa" w:w="100"/>
            </w:tcMar>
          </w:tcPr>
          <w:p>
            <w:r>
              <w:rPr>
                <w:sz w:val="17"/>
                <w:szCs w:val="17"/>
              </w:rPr>
              <w:t xml:space="preserve">Guides</w:t>
            </w:r>
          </w:p>
        </w:tc>
        <w:tc>
          <w:tcPr>
            <w:tcW w:type="dxa" w:w="7600"/>
            <w:tcMar>
              <w:top w:type="dxa" w:w="60"/>
              <w:left w:type="dxa" w:w="100"/>
              <w:bottom w:type="dxa" w:w="60"/>
              <w:right w:type="dxa" w:w="100"/>
            </w:tcMar>
          </w:tcPr>
          <w:p>
            <w:r>
              <w:rPr>
                <w:sz w:val="17"/>
                <w:szCs w:val="17"/>
              </w:rPr>
              <w:t xml:space="preserve">Sortabilna financijska tablica po vodiču — ture, prihod, provizija, trošak, bruto marža (€ i %), s deltama 2025-naspram-2026 na ključnim stupcima.</w:t>
            </w:r>
          </w:p>
        </w:tc>
      </w:tr>
      <w:tr>
        <w:tc>
          <w:tcPr>
            <w:tcW w:type="dxa" w:w="1800"/>
            <w:tcMar>
              <w:top w:type="dxa" w:w="60"/>
              <w:left w:type="dxa" w:w="100"/>
              <w:bottom w:type="dxa" w:w="60"/>
              <w:right w:type="dxa" w:w="100"/>
            </w:tcMar>
          </w:tcPr>
          <w:p>
            <w:r>
              <w:rPr>
                <w:sz w:val="17"/>
                <w:szCs w:val="17"/>
              </w:rPr>
              <w:t xml:space="preserve">Channels</w:t>
            </w:r>
          </w:p>
        </w:tc>
        <w:tc>
          <w:tcPr>
            <w:tcW w:type="dxa" w:w="7600"/>
            <w:tcMar>
              <w:top w:type="dxa" w:w="60"/>
              <w:left w:type="dxa" w:w="100"/>
              <w:bottom w:type="dxa" w:w="60"/>
              <w:right w:type="dxa" w:w="100"/>
            </w:tcMar>
          </w:tcPr>
          <w:p>
            <w:r>
              <w:rPr>
                <w:sz w:val="17"/>
                <w:szCs w:val="17"/>
              </w:rPr>
              <w:t xml:space="preserve">Odakle dolazi prihod i koliko košta doći do njega: waterfall provizije po OTA izvoru, trend izravno-naspram-OTA prihoda kroz vrijeme, detaljna tablica OTA izvora, i financijska raspodjela po vrsti ture.</w:t>
            </w:r>
          </w:p>
        </w:tc>
      </w:tr>
      <w:tr>
        <w:tc>
          <w:tcPr>
            <w:tcW w:type="dxa" w:w="1800"/>
            <w:tcMar>
              <w:top w:type="dxa" w:w="60"/>
              <w:left w:type="dxa" w:w="100"/>
              <w:bottom w:type="dxa" w:w="60"/>
              <w:right w:type="dxa" w:w="100"/>
            </w:tcMar>
          </w:tcPr>
          <w:p>
            <w:r>
              <w:rPr>
                <w:sz w:val="17"/>
                <w:szCs w:val="17"/>
              </w:rPr>
              <w:t xml:space="preserve">Operational</w:t>
            </w:r>
          </w:p>
        </w:tc>
        <w:tc>
          <w:tcPr>
            <w:tcW w:type="dxa" w:w="7600"/>
            <w:tcMar>
              <w:top w:type="dxa" w:w="60"/>
              <w:left w:type="dxa" w:w="100"/>
              <w:bottom w:type="dxa" w:w="60"/>
              <w:right w:type="dxa" w:w="100"/>
            </w:tcMar>
          </w:tcPr>
          <w:p>
            <w:r>
              <w:rPr>
                <w:sz w:val="17"/>
                <w:szCs w:val="17"/>
              </w:rPr>
              <w:t xml:space="preserve">Ne-financijski operativni obrasci koji ipak pokreću profitabilnost — veličina grupe (guide pax band) naspram marže, ture po danu u tjednu/vremenskom slotu/sezoni, tjedni trend, i prihod po načinu plaćanja.</w:t>
            </w:r>
          </w:p>
        </w:tc>
      </w:tr>
      <w:tr>
        <w:tc>
          <w:tcPr>
            <w:tcW w:type="dxa" w:w="1800"/>
            <w:tcMar>
              <w:top w:type="dxa" w:w="60"/>
              <w:left w:type="dxa" w:w="100"/>
              <w:bottom w:type="dxa" w:w="60"/>
              <w:right w:type="dxa" w:w="100"/>
            </w:tcMar>
          </w:tcPr>
          <w:p>
            <w:r>
              <w:rPr>
                <w:sz w:val="17"/>
                <w:szCs w:val="17"/>
              </w:rPr>
              <w:t xml:space="preserve">Cities</w:t>
            </w:r>
          </w:p>
        </w:tc>
        <w:tc>
          <w:tcPr>
            <w:tcW w:type="dxa" w:w="7600"/>
            <w:tcMar>
              <w:top w:type="dxa" w:w="60"/>
              <w:left w:type="dxa" w:w="100"/>
              <w:bottom w:type="dxa" w:w="60"/>
              <w:right w:type="dxa" w:w="100"/>
            </w:tcMar>
          </w:tcPr>
          <w:p>
            <w:r>
              <w:rPr>
                <w:sz w:val="17"/>
                <w:szCs w:val="17"/>
              </w:rPr>
              <w:t xml:space="preserve">Kako se Zagreb, Dubrovnik, Split i Zadar uspoređuju — KPI kartice po gradu, heatmapa marže vrsta-ture-po-gradu, distribucija izvora rezervacija po gradu, i jezična raspodjela po gradu.</w:t>
            </w:r>
          </w:p>
        </w:tc>
      </w:tr>
    </w:tbl>
    <w:p>
      <w:pPr>
        <w:pBdr>
          <w:left w:val="single" w:color="CCCCCC" w:sz="12" w:space="8"/>
        </w:pBdr>
        <w:spacing w:after="160"/>
        <w:ind w:left="260"/>
      </w:pPr>
      <w:r>
        <w:rPr>
          <w:i/>
          <w:iCs/>
          <w:color w:val="666666"/>
          <w:sz w:val="20"/>
          <w:szCs w:val="20"/>
        </w:rPr>
        <w:t xml:space="preserve">Svaki broj na svakom Management pod-tabu vodi natrag do iste šačice Excel stupaca (naplaćeni iznos, trošak provizije, trošak dobavljača, bruto marža, trošak ture, iznos PDV-a) pridruženih svakom retku ture u izvornom workbooku — nema zasebnog financijskog izvora podataka koji treba držati sinkroniziranim.</w:t>
      </w:r>
    </w:p>
    <w:p>
      <w:pPr>
        <w:pStyle w:val="Heading1"/>
        <w:pBdr>
          <w:bottom w:val="single" w:color="1F3B57" w:sz="6" w:space="4"/>
        </w:pBdr>
        <w:spacing w:after="160" w:before="360"/>
      </w:pPr>
      <w:r>
        <w:rPr>
          <w:b/>
          <w:bCs/>
          <w:color w:val="1F3B57"/>
          <w:sz w:val="32"/>
          <w:szCs w:val="32"/>
        </w:rPr>
        <w:t xml:space="preserve">Filteri, navigacija i prečaci</w:t>
      </w:r>
    </w:p>
    <w:p>
      <w:pPr>
        <w:spacing w:after="120"/>
      </w:pPr>
      <w:r>
        <w:rPr>
          <w:sz w:val="21"/>
          <w:szCs w:val="21"/>
        </w:rPr>
        <w:t xml:space="preserve">Filteri po gradu i jeziku primjenjuju se neovisno po tabu — promjena filtera grada na Guides ne utječe na Channels ili Operational. Date-as-of picker u navigaciji ponovno renderira svaki tab koji je već posjećen, uključujući Management. Tamni način rada zadržava se kroz posjete preko localStorage preglednika.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B57" w:val="clear"/>
            <w:tcMar>
              <w:top w:type="dxa" w:w="80"/>
              <w:left w:type="dxa" w:w="100"/>
              <w:bottom w:type="dxa" w:w="80"/>
              <w:right w:type="dxa" w:w="100"/>
            </w:tcMar>
          </w:tcPr>
          <w:p>
            <w:r>
              <w:rPr>
                <w:b/>
                <w:bCs/>
                <w:color w:val="FFFFFF"/>
                <w:sz w:val="18"/>
                <w:szCs w:val="18"/>
              </w:rPr>
              <w:t xml:space="preserve">Tipka</w:t>
            </w:r>
          </w:p>
        </w:tc>
        <w:tc>
          <w:tcPr>
            <w:tcW w:type="dxa" w:w="6000"/>
            <w:shd w:fill="1F3B57" w:val="clear"/>
            <w:tcMar>
              <w:top w:type="dxa" w:w="80"/>
              <w:left w:type="dxa" w:w="100"/>
              <w:bottom w:type="dxa" w:w="80"/>
              <w:right w:type="dxa" w:w="100"/>
            </w:tcMar>
          </w:tcPr>
          <w:p>
            <w:r>
              <w:rPr>
                <w:b/>
                <w:bCs/>
                <w:color w:val="FFFFFF"/>
                <w:sz w:val="18"/>
                <w:szCs w:val="18"/>
              </w:rPr>
              <w:t xml:space="preserve">Radnja</w:t>
            </w:r>
          </w:p>
        </w:tc>
      </w:tr>
      <w:tr>
        <w:tc>
          <w:tcPr>
            <w:tcW w:type="dxa" w:w="3400"/>
            <w:tcMar>
              <w:top w:type="dxa" w:w="60"/>
              <w:left w:type="dxa" w:w="100"/>
              <w:bottom w:type="dxa" w:w="60"/>
              <w:right w:type="dxa" w:w="100"/>
            </w:tcMar>
          </w:tcPr>
          <w:p>
            <w:r>
              <w:rPr>
                <w:sz w:val="17"/>
                <w:szCs w:val="17"/>
              </w:rPr>
              <w:t xml:space="preserve">1 / 2 / 3 / 4</w:t>
            </w:r>
          </w:p>
        </w:tc>
        <w:tc>
          <w:tcPr>
            <w:tcW w:type="dxa" w:w="6000"/>
            <w:tcMar>
              <w:top w:type="dxa" w:w="60"/>
              <w:left w:type="dxa" w:w="100"/>
              <w:bottom w:type="dxa" w:w="60"/>
              <w:right w:type="dxa" w:w="100"/>
            </w:tcMar>
          </w:tcPr>
          <w:p>
            <w:r>
              <w:rPr>
                <w:sz w:val="17"/>
                <w:szCs w:val="17"/>
              </w:rPr>
              <w:t xml:space="preserve">Skoči na tab 2025 / 2026 / Usporedba / Management</w:t>
            </w:r>
          </w:p>
        </w:tc>
      </w:tr>
      <w:tr>
        <w:tc>
          <w:tcPr>
            <w:tcW w:type="dxa" w:w="3400"/>
            <w:tcMar>
              <w:top w:type="dxa" w:w="60"/>
              <w:left w:type="dxa" w:w="100"/>
              <w:bottom w:type="dxa" w:w="60"/>
              <w:right w:type="dxa" w:w="100"/>
            </w:tcMar>
          </w:tcPr>
          <w:p>
            <w:r>
              <w:rPr>
                <w:sz w:val="17"/>
                <w:szCs w:val="17"/>
              </w:rPr>
              <w:t xml:space="preserve">T</w:t>
            </w:r>
          </w:p>
        </w:tc>
        <w:tc>
          <w:tcPr>
            <w:tcW w:type="dxa" w:w="6000"/>
            <w:tcMar>
              <w:top w:type="dxa" w:w="60"/>
              <w:left w:type="dxa" w:w="100"/>
              <w:bottom w:type="dxa" w:w="60"/>
              <w:right w:type="dxa" w:w="100"/>
            </w:tcMar>
          </w:tcPr>
          <w:p>
            <w:r>
              <w:rPr>
                <w:sz w:val="17"/>
                <w:szCs w:val="17"/>
              </w:rPr>
              <w:t xml:space="preserve">Prebaci tamnu/svijetlu temu</w:t>
            </w:r>
          </w:p>
        </w:tc>
      </w:tr>
      <w:tr>
        <w:tc>
          <w:tcPr>
            <w:tcW w:type="dxa" w:w="3400"/>
            <w:tcMar>
              <w:top w:type="dxa" w:w="60"/>
              <w:left w:type="dxa" w:w="100"/>
              <w:bottom w:type="dxa" w:w="60"/>
              <w:right w:type="dxa" w:w="100"/>
            </w:tcMar>
          </w:tcPr>
          <w:p>
            <w:r>
              <w:rPr>
                <w:sz w:val="17"/>
                <w:szCs w:val="17"/>
              </w:rPr>
              <w:t xml:space="preserve">D</w:t>
            </w:r>
          </w:p>
        </w:tc>
        <w:tc>
          <w:tcPr>
            <w:tcW w:type="dxa" w:w="6000"/>
            <w:tcMar>
              <w:top w:type="dxa" w:w="60"/>
              <w:left w:type="dxa" w:w="100"/>
              <w:bottom w:type="dxa" w:w="60"/>
              <w:right w:type="dxa" w:w="100"/>
            </w:tcMar>
          </w:tcPr>
          <w:p>
            <w:r>
              <w:rPr>
                <w:sz w:val="17"/>
                <w:szCs w:val="17"/>
              </w:rPr>
              <w:t xml:space="preserve">Fokusiraj date-as-of picker</w:t>
            </w:r>
          </w:p>
        </w:tc>
      </w:tr>
      <w:tr>
        <w:tc>
          <w:tcPr>
            <w:tcW w:type="dxa" w:w="3400"/>
            <w:tcMar>
              <w:top w:type="dxa" w:w="60"/>
              <w:left w:type="dxa" w:w="100"/>
              <w:bottom w:type="dxa" w:w="60"/>
              <w:right w:type="dxa" w:w="100"/>
            </w:tcMar>
          </w:tcPr>
          <w:p>
            <w:r>
              <w:rPr>
                <w:sz w:val="17"/>
                <w:szCs w:val="17"/>
              </w:rPr>
              <w:t xml:space="preserve">?</w:t>
            </w:r>
          </w:p>
        </w:tc>
        <w:tc>
          <w:tcPr>
            <w:tcW w:type="dxa" w:w="6000"/>
            <w:tcMar>
              <w:top w:type="dxa" w:w="60"/>
              <w:left w:type="dxa" w:w="100"/>
              <w:bottom w:type="dxa" w:w="60"/>
              <w:right w:type="dxa" w:w="100"/>
            </w:tcMar>
          </w:tcPr>
          <w:p>
            <w:r>
              <w:rPr>
                <w:sz w:val="17"/>
                <w:szCs w:val="17"/>
              </w:rPr>
              <w:t xml:space="preserve">Prikaži overlay s prečacima</w:t>
            </w:r>
          </w:p>
        </w:tc>
      </w:tr>
      <w:tr>
        <w:tc>
          <w:tcPr>
            <w:tcW w:type="dxa" w:w="3400"/>
            <w:tcMar>
              <w:top w:type="dxa" w:w="60"/>
              <w:left w:type="dxa" w:w="100"/>
              <w:bottom w:type="dxa" w:w="60"/>
              <w:right w:type="dxa" w:w="100"/>
            </w:tcMar>
          </w:tcPr>
          <w:p>
            <w:r>
              <w:rPr>
                <w:sz w:val="17"/>
                <w:szCs w:val="17"/>
              </w:rPr>
              <w:t xml:space="preserve">Esc</w:t>
            </w:r>
          </w:p>
        </w:tc>
        <w:tc>
          <w:tcPr>
            <w:tcW w:type="dxa" w:w="6000"/>
            <w:tcMar>
              <w:top w:type="dxa" w:w="60"/>
              <w:left w:type="dxa" w:w="100"/>
              <w:bottom w:type="dxa" w:w="60"/>
              <w:right w:type="dxa" w:w="100"/>
            </w:tcMar>
          </w:tcPr>
          <w:p>
            <w:r>
              <w:rPr>
                <w:sz w:val="17"/>
                <w:szCs w:val="17"/>
              </w:rPr>
              <w:t xml:space="preserve">Zatvori overlay s prečacima</w:t>
            </w:r>
          </w:p>
        </w:tc>
      </w:tr>
      <w:tr>
        <w:tc>
          <w:tcPr>
            <w:tcW w:type="dxa" w:w="3400"/>
            <w:tcMar>
              <w:top w:type="dxa" w:w="60"/>
              <w:left w:type="dxa" w:w="100"/>
              <w:bottom w:type="dxa" w:w="60"/>
              <w:right w:type="dxa" w:w="100"/>
            </w:tcMar>
          </w:tcPr>
          <w:p>
            <w:r>
              <w:rPr>
                <w:sz w:val="17"/>
                <w:szCs w:val="17"/>
              </w:rPr>
              <w:t xml:space="preserve">Strelice / Home / End (dok je tab fokusiran)</w:t>
            </w:r>
          </w:p>
        </w:tc>
        <w:tc>
          <w:tcPr>
            <w:tcW w:type="dxa" w:w="6000"/>
            <w:tcMar>
              <w:top w:type="dxa" w:w="60"/>
              <w:left w:type="dxa" w:w="100"/>
              <w:bottom w:type="dxa" w:w="60"/>
              <w:right w:type="dxa" w:w="100"/>
            </w:tcMar>
          </w:tcPr>
          <w:p>
            <w:r>
              <w:rPr>
                <w:sz w:val="17"/>
                <w:szCs w:val="17"/>
              </w:rPr>
              <w:t xml:space="preserve">Pomakni fokus između glavnih tabova, ili između Management pod-tabova</w:t>
            </w:r>
          </w:p>
        </w:tc>
      </w:tr>
    </w:tbl>
    <w:p>
      <w:pPr>
        <w:pBdr>
          <w:left w:val="single" w:color="CCCCCC" w:sz="12" w:space="8"/>
        </w:pBdr>
        <w:spacing w:after="160"/>
        <w:ind w:left="260"/>
      </w:pPr>
      <w:r>
        <w:rPr>
          <w:i/>
          <w:iCs/>
          <w:color w:val="666666"/>
          <w:sz w:val="20"/>
          <w:szCs w:val="20"/>
        </w:rPr>
        <w:t xml:space="preserve">Ništa od ovoga ne radi dok se tipka u tekstualno polje, ili dok je Ctrl/Cmd/Alt pritisnut — prečaci se aktiviraju samo na goli pritisak tipke izvan inputa.</w:t>
      </w:r>
    </w:p>
    <w:p>
      <w:pPr>
        <w:pStyle w:val="Heading1"/>
        <w:pBdr>
          <w:bottom w:val="single" w:color="1F3B57" w:sz="6" w:space="4"/>
        </w:pBdr>
        <w:spacing w:after="160" w:before="360"/>
      </w:pPr>
      <w:r>
        <w:rPr>
          <w:b/>
          <w:bCs/>
          <w:color w:val="1F3B57"/>
          <w:sz w:val="32"/>
          <w:szCs w:val="32"/>
        </w:rPr>
        <w:t xml:space="preserve">Ključno pravilo integriteta podataka: gradski ukupni iznosi</w:t>
      </w:r>
    </w:p>
    <w:p>
      <w:pPr>
        <w:spacing w:after="120"/>
      </w:pPr>
      <w:r>
        <w:rPr>
          <w:sz w:val="21"/>
          <w:szCs w:val="21"/>
        </w:rPr>
        <w:t xml:space="preserve">Svaki vodič ima matični grad — onaj pod kojim je grupirana njegova kartica u popisu vodiča — ali vodič stvarno može voditi turu u drugom gradu od onog kojem je dodijeljen. Ranija verzija ovog dashboarda zbrajala je grafove na razini grada grupiranjem vodiča po matičnom gradu, što je tiho pogrešno pripisivalo ili gubilo pax s bilo koje ture izvedene izvan vodičevog matičnog grada.</w:t>
      </w:r>
    </w:p>
    <w:p>
      <w:pPr>
        <w:spacing w:after="120"/>
      </w:pPr>
      <w:r>
        <w:rPr>
          <w:sz w:val="21"/>
          <w:szCs w:val="21"/>
        </w:rPr>
        <w:t xml:space="preserve">Rješenje: zasebna cityStats struktura, izgrađena izravno iz vlastitog stupca City svakog retka u izvornim podacima, neovisno o tome koji je vodič vodio turu. Svaki ukupni iznos na razini grada — KPI kartice, gradski grafovi, gradski filteri — čita iz cityStats, nikad iz guideStats grupiranog po vodičevom polju matičnog grada. Opseg ovog izvještaja strogo je 4 praćena grada; svaki redak čiji grad odgovara nečemu drugom (npr. Pula, Rovinj) dosljedno je isključen iz svakog ukupnog iznosa na razini grada, pa headline broj “svi gradovi” uvijek odgovara zbroju gradske raspodjele.</w:t>
      </w:r>
    </w:p>
    <w:p>
      <w:pPr>
        <w:pStyle w:val="Heading1"/>
        <w:pBdr>
          <w:bottom w:val="single" w:color="1F3B57" w:sz="6" w:space="4"/>
        </w:pBdr>
        <w:spacing w:after="160" w:before="360"/>
      </w:pPr>
      <w:r>
        <w:rPr>
          <w:b/>
          <w:bCs/>
          <w:color w:val="1F3B57"/>
          <w:sz w:val="32"/>
          <w:szCs w:val="32"/>
        </w:rPr>
        <w:t xml:space="preserve">Deployment</w:t>
      </w:r>
    </w:p>
    <w:p>
      <w:pPr>
        <w:spacing w:after="120"/>
      </w:pPr>
      <w:r>
        <w:rPr>
          <w:sz w:val="21"/>
          <w:szCs w:val="21"/>
        </w:rPr>
        <w:t xml:space="preserve">U trenutku pisanja, živi site hostan je na GitHub Pages, deployan iz javnog GitHub repozitorija. Push na main granu (uključujući ažuriranje samo podataka) automatski redeploya, tipično unutar par minuta. GitHub Actions pokreće JS i Python test suite na svaki push i pull request.</w:t>
      </w:r>
    </w:p>
    <w:p>
      <w:pPr>
        <w:pStyle w:val="Heading2"/>
        <w:spacing w:after="120" w:before="280"/>
      </w:pPr>
      <w:r>
        <w:rPr>
          <w:b/>
          <w:bCs/>
          <w:color w:val="1F3B57"/>
          <w:sz w:val="26"/>
          <w:szCs w:val="26"/>
        </w:rPr>
        <w:t xml:space="preserve">Planirano, još neaktivno: privatni repo + Vercel + automatska sinkronizacija</w:t>
      </w:r>
    </w:p>
    <w:p>
      <w:pPr>
        <w:spacing w:after="120"/>
      </w:pPr>
      <w:r>
        <w:rPr>
          <w:sz w:val="21"/>
          <w:szCs w:val="21"/>
        </w:rPr>
        <w:t xml:space="preserve">Postoji dokumentiran plan migracije za premještanje sitea na privatno hostan GitHub repo deployan preko Vercela, uparen s GitHub Actions workflowom (već prisutnim u repozitoriju, “Update guide data”) koji bi automatski regenerirao data datoteku čitajući izvorni spreadsheet iz Google Sheets CSV export URL-a, umjesto lokalno pohranjene Excel datoteke.</w:t>
      </w:r>
    </w:p>
    <w:p>
      <w:pPr>
        <w:pBdr>
          <w:left w:val="single" w:color="CCCCCC" w:sz="12" w:space="8"/>
        </w:pBdr>
        <w:spacing w:after="160"/>
        <w:ind w:left="260"/>
      </w:pPr>
      <w:r>
        <w:rPr>
          <w:i/>
          <w:iCs/>
          <w:color w:val="666666"/>
          <w:sz w:val="20"/>
          <w:szCs w:val="20"/>
        </w:rPr>
        <w:t xml:space="preserve">Ovo je plan, ne trenutno stanje. Izravno potvrđeno: repozitorij je i dalje javan, nijedan SHEET_URL secret nije konfiguriran za taj workflow, a sam workflow podržava samo ručno pokretanje iz GitHub sučelja — nema ugrađeno zakazano/automatsko pokretanje danas. Pokretanje u trenutnom stanju ne bi uspjelo zbog nedostatka izvora podataka. Ručni proces u “Ažuriranje mjesečnih podataka” iznad je ono što stvarno pokreće dashboard trenutno.</w:t>
      </w:r>
    </w:p>
    <w:p>
      <w:pPr>
        <w:pStyle w:val="Heading1"/>
        <w:pBdr>
          <w:bottom w:val="single" w:color="1F3B57" w:sz="6" w:space="4"/>
        </w:pBdr>
        <w:spacing w:after="160" w:before="360"/>
      </w:pPr>
      <w:r>
        <w:rPr>
          <w:b/>
          <w:bCs/>
          <w:color w:val="1F3B57"/>
          <w:sz w:val="32"/>
          <w:szCs w:val="32"/>
        </w:rPr>
        <w:t xml:space="preserve">Rječnik — hrvatski pojmovi na dashboardu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B57" w:val="clear"/>
            <w:tcMar>
              <w:top w:type="dxa" w:w="80"/>
              <w:left w:type="dxa" w:w="100"/>
              <w:bottom w:type="dxa" w:w="80"/>
              <w:right w:type="dxa" w:w="100"/>
            </w:tcMar>
          </w:tcPr>
          <w:p>
            <w:r>
              <w:rPr>
                <w:b/>
                <w:bCs/>
                <w:color w:val="FFFFFF"/>
                <w:sz w:val="18"/>
                <w:szCs w:val="18"/>
              </w:rPr>
              <w:t xml:space="preserve">Pojam (kako se prikazuje u UI-u)</w:t>
            </w:r>
          </w:p>
        </w:tc>
        <w:tc>
          <w:tcPr>
            <w:tcW w:type="dxa" w:w="6000"/>
            <w:shd w:fill="1F3B57" w:val="clear"/>
            <w:tcMar>
              <w:top w:type="dxa" w:w="80"/>
              <w:left w:type="dxa" w:w="100"/>
              <w:bottom w:type="dxa" w:w="80"/>
              <w:right w:type="dxa" w:w="100"/>
            </w:tcMar>
          </w:tcPr>
          <w:p>
            <w:r>
              <w:rPr>
                <w:b/>
                <w:bCs/>
                <w:color w:val="FFFFFF"/>
                <w:sz w:val="18"/>
                <w:szCs w:val="18"/>
              </w:rPr>
              <w:t xml:space="preserve">Značenje</w:t>
            </w:r>
          </w:p>
        </w:tc>
      </w:tr>
      <w:tr>
        <w:tc>
          <w:tcPr>
            <w:tcW w:type="dxa" w:w="3400"/>
            <w:tcMar>
              <w:top w:type="dxa" w:w="60"/>
              <w:left w:type="dxa" w:w="100"/>
              <w:bottom w:type="dxa" w:w="60"/>
              <w:right w:type="dxa" w:w="100"/>
            </w:tcMar>
          </w:tcPr>
          <w:p>
            <w:r>
              <w:rPr>
                <w:sz w:val="17"/>
                <w:szCs w:val="17"/>
              </w:rPr>
              <w:t xml:space="preserve">Vodiči</w:t>
            </w:r>
          </w:p>
        </w:tc>
        <w:tc>
          <w:tcPr>
            <w:tcW w:type="dxa" w:w="6000"/>
            <w:tcMar>
              <w:top w:type="dxa" w:w="60"/>
              <w:left w:type="dxa" w:w="100"/>
              <w:bottom w:type="dxa" w:w="60"/>
              <w:right w:type="dxa" w:w="100"/>
            </w:tcMar>
          </w:tcPr>
          <w:p>
            <w:r>
              <w:rPr>
                <w:sz w:val="17"/>
                <w:szCs w:val="17"/>
              </w:rPr>
              <w:t xml:space="preserve">Guides / turistički vodiči</w:t>
            </w:r>
          </w:p>
        </w:tc>
      </w:tr>
      <w:tr>
        <w:tc>
          <w:tcPr>
            <w:tcW w:type="dxa" w:w="3400"/>
            <w:tcMar>
              <w:top w:type="dxa" w:w="60"/>
              <w:left w:type="dxa" w:w="100"/>
              <w:bottom w:type="dxa" w:w="60"/>
              <w:right w:type="dxa" w:w="100"/>
            </w:tcMar>
          </w:tcPr>
          <w:p>
            <w:r>
              <w:rPr>
                <w:sz w:val="17"/>
                <w:szCs w:val="17"/>
              </w:rPr>
              <w:t xml:space="preserve">Usporedba</w:t>
            </w:r>
          </w:p>
        </w:tc>
        <w:tc>
          <w:tcPr>
            <w:tcW w:type="dxa" w:w="6000"/>
            <w:tcMar>
              <w:top w:type="dxa" w:w="60"/>
              <w:left w:type="dxa" w:w="100"/>
              <w:bottom w:type="dxa" w:w="60"/>
              <w:right w:type="dxa" w:w="100"/>
            </w:tcMar>
          </w:tcPr>
          <w:p>
            <w:r>
              <w:rPr>
                <w:sz w:val="17"/>
                <w:szCs w:val="17"/>
              </w:rPr>
              <w:t xml:space="preserve">Comparison / usporedba godina</w:t>
            </w:r>
          </w:p>
        </w:tc>
      </w:tr>
      <w:tr>
        <w:tc>
          <w:tcPr>
            <w:tcW w:type="dxa" w:w="3400"/>
            <w:tcMar>
              <w:top w:type="dxa" w:w="60"/>
              <w:left w:type="dxa" w:w="100"/>
              <w:bottom w:type="dxa" w:w="60"/>
              <w:right w:type="dxa" w:w="100"/>
            </w:tcMar>
          </w:tcPr>
          <w:p>
            <w:r>
              <w:rPr>
                <w:sz w:val="17"/>
                <w:szCs w:val="17"/>
              </w:rPr>
              <w:t xml:space="preserve">Mjesečno</w:t>
            </w:r>
          </w:p>
        </w:tc>
        <w:tc>
          <w:tcPr>
            <w:tcW w:type="dxa" w:w="6000"/>
            <w:tcMar>
              <w:top w:type="dxa" w:w="60"/>
              <w:left w:type="dxa" w:w="100"/>
              <w:bottom w:type="dxa" w:w="60"/>
              <w:right w:type="dxa" w:w="100"/>
            </w:tcMar>
          </w:tcPr>
          <w:p>
            <w:r>
              <w:rPr>
                <w:sz w:val="17"/>
                <w:szCs w:val="17"/>
              </w:rPr>
              <w:t xml:space="preserve">Monthly — proširivi pregled po vodiču</w:t>
            </w:r>
          </w:p>
        </w:tc>
      </w:tr>
      <w:tr>
        <w:tc>
          <w:tcPr>
            <w:tcW w:type="dxa" w:w="3400"/>
            <w:tcMar>
              <w:top w:type="dxa" w:w="60"/>
              <w:left w:type="dxa" w:w="100"/>
              <w:bottom w:type="dxa" w:w="60"/>
              <w:right w:type="dxa" w:w="100"/>
            </w:tcMar>
          </w:tcPr>
          <w:p>
            <w:r>
              <w:rPr>
                <w:sz w:val="17"/>
                <w:szCs w:val="17"/>
              </w:rPr>
              <w:t xml:space="preserve">Prihodak &amp; Gubici (P&amp;L)</w:t>
            </w:r>
          </w:p>
        </w:tc>
        <w:tc>
          <w:tcPr>
            <w:tcW w:type="dxa" w:w="6000"/>
            <w:tcMar>
              <w:top w:type="dxa" w:w="60"/>
              <w:left w:type="dxa" w:w="100"/>
              <w:bottom w:type="dxa" w:w="60"/>
              <w:right w:type="dxa" w:w="100"/>
            </w:tcMar>
          </w:tcPr>
          <w:p>
            <w:r>
              <w:rPr>
                <w:sz w:val="17"/>
                <w:szCs w:val="17"/>
              </w:rPr>
              <w:t xml:space="preserve">Profit &amp; Loss / dobit i gubitak</w:t>
            </w:r>
          </w:p>
        </w:tc>
      </w:tr>
      <w:tr>
        <w:tc>
          <w:tcPr>
            <w:tcW w:type="dxa" w:w="3400"/>
            <w:tcMar>
              <w:top w:type="dxa" w:w="60"/>
              <w:left w:type="dxa" w:w="100"/>
              <w:bottom w:type="dxa" w:w="60"/>
              <w:right w:type="dxa" w:w="100"/>
            </w:tcMar>
          </w:tcPr>
          <w:p>
            <w:r>
              <w:rPr>
                <w:sz w:val="17"/>
                <w:szCs w:val="17"/>
              </w:rPr>
              <w:t xml:space="preserve">Učinkovitost Vodiča</w:t>
            </w:r>
          </w:p>
        </w:tc>
        <w:tc>
          <w:tcPr>
            <w:tcW w:type="dxa" w:w="6000"/>
            <w:tcMar>
              <w:top w:type="dxa" w:w="60"/>
              <w:left w:type="dxa" w:w="100"/>
              <w:bottom w:type="dxa" w:w="60"/>
              <w:right w:type="dxa" w:w="100"/>
            </w:tcMar>
          </w:tcPr>
          <w:p>
            <w:r>
              <w:rPr>
                <w:sz w:val="17"/>
                <w:szCs w:val="17"/>
              </w:rPr>
              <w:t xml:space="preserve">Guide Performance / učinak vodiča</w:t>
            </w:r>
          </w:p>
        </w:tc>
      </w:tr>
      <w:tr>
        <w:tc>
          <w:tcPr>
            <w:tcW w:type="dxa" w:w="3400"/>
            <w:tcMar>
              <w:top w:type="dxa" w:w="60"/>
              <w:left w:type="dxa" w:w="100"/>
              <w:bottom w:type="dxa" w:w="60"/>
              <w:right w:type="dxa" w:w="100"/>
            </w:tcMar>
          </w:tcPr>
          <w:p>
            <w:r>
              <w:rPr>
                <w:sz w:val="17"/>
                <w:szCs w:val="17"/>
              </w:rPr>
              <w:t xml:space="preserve">Kanali &amp; Prihod</w:t>
            </w:r>
          </w:p>
        </w:tc>
        <w:tc>
          <w:tcPr>
            <w:tcW w:type="dxa" w:w="6000"/>
            <w:tcMar>
              <w:top w:type="dxa" w:w="60"/>
              <w:left w:type="dxa" w:w="100"/>
              <w:bottom w:type="dxa" w:w="60"/>
              <w:right w:type="dxa" w:w="100"/>
            </w:tcMar>
          </w:tcPr>
          <w:p>
            <w:r>
              <w:rPr>
                <w:sz w:val="17"/>
                <w:szCs w:val="17"/>
              </w:rPr>
              <w:t xml:space="preserve">Channels &amp; Revenue / kanali i prihod</w:t>
            </w:r>
          </w:p>
        </w:tc>
      </w:tr>
      <w:tr>
        <w:tc>
          <w:tcPr>
            <w:tcW w:type="dxa" w:w="3400"/>
            <w:tcMar>
              <w:top w:type="dxa" w:w="60"/>
              <w:left w:type="dxa" w:w="100"/>
              <w:bottom w:type="dxa" w:w="60"/>
              <w:right w:type="dxa" w:w="100"/>
            </w:tcMar>
          </w:tcPr>
          <w:p>
            <w:r>
              <w:rPr>
                <w:sz w:val="17"/>
                <w:szCs w:val="17"/>
              </w:rPr>
              <w:t xml:space="preserve">Operativni Uvidi</w:t>
            </w:r>
          </w:p>
        </w:tc>
        <w:tc>
          <w:tcPr>
            <w:tcW w:type="dxa" w:w="6000"/>
            <w:tcMar>
              <w:top w:type="dxa" w:w="60"/>
              <w:left w:type="dxa" w:w="100"/>
              <w:bottom w:type="dxa" w:w="60"/>
              <w:right w:type="dxa" w:w="100"/>
            </w:tcMar>
          </w:tcPr>
          <w:p>
            <w:r>
              <w:rPr>
                <w:sz w:val="17"/>
                <w:szCs w:val="17"/>
              </w:rPr>
              <w:t xml:space="preserve">Operational Insights / operativni uvidi</w:t>
            </w:r>
          </w:p>
        </w:tc>
      </w:tr>
      <w:tr>
        <w:tc>
          <w:tcPr>
            <w:tcW w:type="dxa" w:w="3400"/>
            <w:tcMar>
              <w:top w:type="dxa" w:w="60"/>
              <w:left w:type="dxa" w:w="100"/>
              <w:bottom w:type="dxa" w:w="60"/>
              <w:right w:type="dxa" w:w="100"/>
            </w:tcMar>
          </w:tcPr>
          <w:p>
            <w:r>
              <w:rPr>
                <w:sz w:val="17"/>
                <w:szCs w:val="17"/>
              </w:rPr>
              <w:t xml:space="preserve">Gradovi</w:t>
            </w:r>
          </w:p>
        </w:tc>
        <w:tc>
          <w:tcPr>
            <w:tcW w:type="dxa" w:w="6000"/>
            <w:tcMar>
              <w:top w:type="dxa" w:w="60"/>
              <w:left w:type="dxa" w:w="100"/>
              <w:bottom w:type="dxa" w:w="60"/>
              <w:right w:type="dxa" w:w="100"/>
            </w:tcMar>
          </w:tcPr>
          <w:p>
            <w:r>
              <w:rPr>
                <w:sz w:val="17"/>
                <w:szCs w:val="17"/>
              </w:rPr>
              <w:t xml:space="preserve">Cities / gradovi</w:t>
            </w:r>
          </w:p>
        </w:tc>
      </w:tr>
      <w:tr>
        <w:tc>
          <w:tcPr>
            <w:tcW w:type="dxa" w:w="3400"/>
            <w:tcMar>
              <w:top w:type="dxa" w:w="60"/>
              <w:left w:type="dxa" w:w="100"/>
              <w:bottom w:type="dxa" w:w="60"/>
              <w:right w:type="dxa" w:w="100"/>
            </w:tcMar>
          </w:tcPr>
          <w:p>
            <w:r>
              <w:rPr>
                <w:sz w:val="17"/>
                <w:szCs w:val="17"/>
              </w:rPr>
              <w:t xml:space="preserve">Free / Paid ture</w:t>
            </w:r>
          </w:p>
        </w:tc>
        <w:tc>
          <w:tcPr>
            <w:tcW w:type="dxa" w:w="6000"/>
            <w:tcMar>
              <w:top w:type="dxa" w:w="60"/>
              <w:left w:type="dxa" w:w="100"/>
              <w:bottom w:type="dxa" w:w="60"/>
              <w:right w:type="dxa" w:w="100"/>
            </w:tcMar>
          </w:tcPr>
          <w:p>
            <w:r>
              <w:rPr>
                <w:sz w:val="17"/>
                <w:szCs w:val="17"/>
              </w:rPr>
              <w:t xml:space="preserve">Besplatne (walking) ture naspram plaćenih tura</w:t>
            </w:r>
          </w:p>
        </w:tc>
      </w:tr>
      <w:tr>
        <w:tc>
          <w:tcPr>
            <w:tcW w:type="dxa" w:w="3400"/>
            <w:tcMar>
              <w:top w:type="dxa" w:w="60"/>
              <w:left w:type="dxa" w:w="100"/>
              <w:bottom w:type="dxa" w:w="60"/>
              <w:right w:type="dxa" w:w="100"/>
            </w:tcMar>
          </w:tcPr>
          <w:p>
            <w:r>
              <w:rPr>
                <w:sz w:val="17"/>
                <w:szCs w:val="17"/>
              </w:rPr>
              <w:t xml:space="preserve">Pax</w:t>
            </w:r>
          </w:p>
        </w:tc>
        <w:tc>
          <w:tcPr>
            <w:tcW w:type="dxa" w:w="6000"/>
            <w:tcMar>
              <w:top w:type="dxa" w:w="60"/>
              <w:left w:type="dxa" w:w="100"/>
              <w:bottom w:type="dxa" w:w="60"/>
              <w:right w:type="dxa" w:w="100"/>
            </w:tcMar>
          </w:tcPr>
          <w:p>
            <w:r>
              <w:rPr>
                <w:sz w:val="17"/>
                <w:szCs w:val="17"/>
              </w:rPr>
              <w:t xml:space="preserve">Broj ljudi/putnika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2026-08-20T14:31:23.892Z</dcterms:created>
  <dcterms:modified xsi:type="dcterms:W3CDTF">2026-08-20T14:31:23.893Z</dcterms:modified>
</cp:coreProperties>
</file>

<file path=docProps/custom.xml><?xml version="1.0" encoding="utf-8"?>
<Properties xmlns="http://schemas.openxmlformats.org/officeDocument/2006/custom-properties" xmlns:vt="http://schemas.openxmlformats.org/officeDocument/2006/docPropsVTypes"/>
</file>