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52D" w:rsidRPr="0016318F" w:rsidRDefault="0066152D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:rsidR="004F6B43" w:rsidRPr="0016318F" w:rsidRDefault="004F6B43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:rsidR="0066152D" w:rsidRPr="0016318F" w:rsidRDefault="0066152D" w:rsidP="0016318F">
      <w:pPr>
        <w:pStyle w:val="Sansinterligne"/>
        <w:spacing w:line="276" w:lineRule="auto"/>
        <w:rPr>
          <w:rFonts w:ascii="Tahoma" w:hAnsi="Tahoma" w:cs="Tahoma"/>
          <w:b/>
          <w:sz w:val="24"/>
          <w:szCs w:val="24"/>
          <w:u w:val="single"/>
        </w:rPr>
      </w:pPr>
      <w:r w:rsidRPr="0016318F">
        <w:rPr>
          <w:rFonts w:ascii="Tahoma" w:hAnsi="Tahoma" w:cs="Tahoma"/>
          <w:b/>
          <w:sz w:val="24"/>
          <w:szCs w:val="24"/>
        </w:rPr>
        <w:t xml:space="preserve">            </w:t>
      </w:r>
      <w:r w:rsidRPr="0016318F">
        <w:rPr>
          <w:rFonts w:ascii="Tahoma" w:hAnsi="Tahoma" w:cs="Tahoma"/>
          <w:b/>
          <w:sz w:val="24"/>
          <w:szCs w:val="24"/>
          <w:u w:val="single"/>
        </w:rPr>
        <w:t>Canevas de proposition</w:t>
      </w:r>
      <w:r w:rsidR="00015856" w:rsidRPr="0016318F">
        <w:rPr>
          <w:rFonts w:ascii="Tahoma" w:hAnsi="Tahoma" w:cs="Tahoma"/>
          <w:b/>
          <w:sz w:val="24"/>
          <w:szCs w:val="24"/>
          <w:u w:val="single"/>
        </w:rPr>
        <w:t>s de</w:t>
      </w:r>
      <w:r w:rsidRPr="0016318F">
        <w:rPr>
          <w:rFonts w:ascii="Tahoma" w:hAnsi="Tahoma" w:cs="Tahoma"/>
          <w:b/>
          <w:sz w:val="24"/>
          <w:szCs w:val="24"/>
          <w:u w:val="single"/>
        </w:rPr>
        <w:t xml:space="preserve"> modifications</w:t>
      </w:r>
      <w:r w:rsidR="00CA5292" w:rsidRPr="0016318F">
        <w:rPr>
          <w:rFonts w:ascii="Tahoma" w:hAnsi="Tahoma" w:cs="Tahoma"/>
          <w:b/>
          <w:sz w:val="24"/>
          <w:szCs w:val="24"/>
          <w:u w:val="single"/>
        </w:rPr>
        <w:t xml:space="preserve"> du CGI ou</w:t>
      </w:r>
      <w:r w:rsidRPr="0016318F">
        <w:rPr>
          <w:rFonts w:ascii="Tahoma" w:hAnsi="Tahoma" w:cs="Tahoma"/>
          <w:b/>
          <w:sz w:val="24"/>
          <w:szCs w:val="24"/>
          <w:u w:val="single"/>
        </w:rPr>
        <w:t xml:space="preserve"> du LPF</w:t>
      </w:r>
    </w:p>
    <w:p w:rsidR="007F026C" w:rsidRPr="0016318F" w:rsidRDefault="007F026C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tbl>
      <w:tblPr>
        <w:tblStyle w:val="Grilledutableau"/>
        <w:tblpPr w:leftFromText="141" w:rightFromText="141" w:vertAnchor="text" w:horzAnchor="margin" w:tblpXSpec="center" w:tblpY="264"/>
        <w:tblW w:w="0" w:type="auto"/>
        <w:tblLook w:val="04A0" w:firstRow="1" w:lastRow="0" w:firstColumn="1" w:lastColumn="0" w:noHBand="0" w:noVBand="1"/>
      </w:tblPr>
      <w:tblGrid>
        <w:gridCol w:w="2177"/>
        <w:gridCol w:w="6411"/>
      </w:tblGrid>
      <w:tr w:rsidR="0066152D" w:rsidRPr="0016318F" w:rsidTr="0066152D">
        <w:trPr>
          <w:trHeight w:val="742"/>
        </w:trPr>
        <w:tc>
          <w:tcPr>
            <w:tcW w:w="2177" w:type="dxa"/>
          </w:tcPr>
          <w:p w:rsidR="0066152D" w:rsidRPr="0016318F" w:rsidRDefault="0078654B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 xml:space="preserve">Article </w:t>
            </w:r>
            <w:r w:rsidR="00DE284D" w:rsidRPr="0016318F">
              <w:rPr>
                <w:rFonts w:ascii="Tahoma" w:hAnsi="Tahoma" w:cs="Tahoma"/>
                <w:b/>
                <w:sz w:val="24"/>
                <w:szCs w:val="24"/>
              </w:rPr>
              <w:t>103 du CGI</w:t>
            </w:r>
          </w:p>
        </w:tc>
        <w:tc>
          <w:tcPr>
            <w:tcW w:w="6411" w:type="dxa"/>
          </w:tcPr>
          <w:p w:rsidR="0066152D" w:rsidRPr="0016318F" w:rsidRDefault="00DE284D" w:rsidP="0016318F">
            <w:pPr>
              <w:tabs>
                <w:tab w:val="left" w:pos="0"/>
                <w:tab w:val="left" w:pos="301"/>
              </w:tabs>
              <w:spacing w:before="180" w:line="276" w:lineRule="auto"/>
              <w:jc w:val="both"/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t>Ne sont pas déductibles :</w:t>
            </w:r>
          </w:p>
          <w:p w:rsidR="00DE284D" w:rsidRPr="0016318F" w:rsidRDefault="00DE284D" w:rsidP="0016318F">
            <w:pPr>
              <w:tabs>
                <w:tab w:val="left" w:pos="0"/>
                <w:tab w:val="left" w:pos="142"/>
              </w:tabs>
              <w:spacing w:before="180" w:line="276" w:lineRule="auto"/>
              <w:jc w:val="left"/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t>les amortissements des voitures de tourisme pour la fraction de un tiers (1/3) correspondant à un usage réputé non professionnel. Cette limite s'applique à l'ensemble des véhicules immatriculés dans la catégorie des voitures particulières ; la fraction de l'amortissement des véhicules de tourisme exclue des charges déductibles par les limitations ci-dessus est néanmoins retenue pour la détermination des plus-values ou moins-values résultant de la vente ultérieure des véhicules ainsi amortis ;</w:t>
            </w:r>
          </w:p>
        </w:tc>
      </w:tr>
      <w:tr w:rsidR="0066152D" w:rsidRPr="0016318F" w:rsidTr="0066152D">
        <w:trPr>
          <w:trHeight w:val="761"/>
        </w:trPr>
        <w:tc>
          <w:tcPr>
            <w:tcW w:w="2177" w:type="dxa"/>
          </w:tcPr>
          <w:p w:rsidR="0066152D" w:rsidRPr="0016318F" w:rsidRDefault="0066152D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N° de l’article</w:t>
            </w:r>
            <w:r w:rsidR="00DE284D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103 du CGI</w:t>
            </w:r>
          </w:p>
        </w:tc>
        <w:tc>
          <w:tcPr>
            <w:tcW w:w="6411" w:type="dxa"/>
          </w:tcPr>
          <w:p w:rsidR="0066152D" w:rsidRPr="0016318F" w:rsidRDefault="0066152D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Difficultés rencontrées</w:t>
            </w:r>
          </w:p>
          <w:p w:rsidR="0066152D" w:rsidRPr="0016318F" w:rsidRDefault="00DE284D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Certaines entreprises nous opposent le fait que leurs véhicules de tourisme n’ont pas</w:t>
            </w:r>
            <w:r w:rsidR="0016318F">
              <w:rPr>
                <w:rFonts w:ascii="Tahoma" w:hAnsi="Tahoma" w:cs="Tahoma"/>
                <w:sz w:val="24"/>
                <w:szCs w:val="24"/>
              </w:rPr>
              <w:t xml:space="preserve"> toujours</w:t>
            </w:r>
            <w:r w:rsidRPr="0016318F">
              <w:rPr>
                <w:rFonts w:ascii="Tahoma" w:hAnsi="Tahoma" w:cs="Tahoma"/>
                <w:sz w:val="24"/>
                <w:szCs w:val="24"/>
              </w:rPr>
              <w:t xml:space="preserve"> un usage non professionnel.  De plus en cas d’usage non professionnel (mise à disposition du véhicule à un agent ou à un dirigeant), il y aura double taxation dans la mesure ou les avantages en nature liées à la mise à disposition du véhicule ont été imposés entre les mains du bénéficiaire.</w:t>
            </w:r>
          </w:p>
        </w:tc>
      </w:tr>
      <w:tr w:rsidR="008E6C6F" w:rsidRPr="0016318F" w:rsidTr="0066152D">
        <w:trPr>
          <w:trHeight w:val="761"/>
        </w:trPr>
        <w:tc>
          <w:tcPr>
            <w:tcW w:w="2177" w:type="dxa"/>
          </w:tcPr>
          <w:p w:rsidR="008E6C6F" w:rsidRPr="0016318F" w:rsidRDefault="008E6C6F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Exposé des motifs</w:t>
            </w:r>
          </w:p>
        </w:tc>
        <w:tc>
          <w:tcPr>
            <w:tcW w:w="6411" w:type="dxa"/>
          </w:tcPr>
          <w:p w:rsidR="008E6C6F" w:rsidRPr="0016318F" w:rsidRDefault="00DE284D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A titre d’exemple, lorsqu’une socié</w:t>
            </w:r>
            <w:r w:rsidR="0016318F">
              <w:rPr>
                <w:rFonts w:ascii="Tahoma" w:hAnsi="Tahoma" w:cs="Tahoma"/>
                <w:sz w:val="24"/>
                <w:szCs w:val="24"/>
              </w:rPr>
              <w:t xml:space="preserve">té loue un immeuble et qu’il met </w:t>
            </w:r>
            <w:r w:rsidRPr="0016318F">
              <w:rPr>
                <w:rFonts w:ascii="Tahoma" w:hAnsi="Tahoma" w:cs="Tahoma"/>
                <w:sz w:val="24"/>
                <w:szCs w:val="24"/>
              </w:rPr>
              <w:t xml:space="preserve">une partie à la disposition d’un dirigeant, la charge du loyer est déductible totalement et la partie du loyer qui a bénéficié au dirigeant est taxée entre ses mains comme avantage en nature. Si l’avantage en nature n’est pas imposé alors le loyer de la partie du local mis à disposition du dirigeant est à rapporter au résultat fiscal.  </w:t>
            </w:r>
          </w:p>
        </w:tc>
      </w:tr>
      <w:tr w:rsidR="0066152D" w:rsidRPr="0016318F" w:rsidTr="0066152D">
        <w:trPr>
          <w:trHeight w:val="361"/>
        </w:trPr>
        <w:tc>
          <w:tcPr>
            <w:tcW w:w="2177" w:type="dxa"/>
          </w:tcPr>
          <w:p w:rsidR="0066152D" w:rsidRPr="0016318F" w:rsidRDefault="0066152D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N° de l’article</w:t>
            </w:r>
            <w:r w:rsidR="00DE284D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103 du CGI</w:t>
            </w:r>
          </w:p>
        </w:tc>
        <w:tc>
          <w:tcPr>
            <w:tcW w:w="6411" w:type="dxa"/>
          </w:tcPr>
          <w:p w:rsidR="0066152D" w:rsidRPr="0016318F" w:rsidRDefault="0066152D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Propositions de réécriture</w:t>
            </w:r>
          </w:p>
          <w:p w:rsidR="00DE284D" w:rsidRPr="0016318F" w:rsidRDefault="00DE284D" w:rsidP="0016318F">
            <w:pPr>
              <w:tabs>
                <w:tab w:val="left" w:pos="0"/>
                <w:tab w:val="left" w:pos="142"/>
              </w:tabs>
              <w:spacing w:before="180" w:line="276" w:lineRule="auto"/>
              <w:jc w:val="both"/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t>Ne sont pas déductibles :</w:t>
            </w:r>
          </w:p>
          <w:p w:rsidR="004F6B43" w:rsidRPr="0016318F" w:rsidRDefault="00DE284D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>les amortissements des voitures de tourisme pour la fraction de leur prix d’acquisition qui dépasse 20 000 000</w:t>
            </w:r>
            <w:r w:rsidRPr="0016318F">
              <w:rPr>
                <w:rFonts w:ascii="Tahoma" w:hAnsi="Tahoma" w:cs="Tahoma"/>
                <w:sz w:val="24"/>
                <w:szCs w:val="24"/>
              </w:rPr>
              <w:t>. Cette limite s'applique à l'ensemble des véhicules immatriculés dans la catégorie des voitures particulières ; la fraction de l'amortissement des véhicules de tourisme exclue des charges déductibles par les limitations ci-dessus est néanmoins retenue pour la détermination des plus-</w:t>
            </w:r>
            <w:r w:rsidRPr="0016318F">
              <w:rPr>
                <w:rFonts w:ascii="Tahoma" w:hAnsi="Tahoma" w:cs="Tahoma"/>
                <w:sz w:val="24"/>
                <w:szCs w:val="24"/>
              </w:rPr>
              <w:lastRenderedPageBreak/>
              <w:t>values ou moins-values résultant de la vente ultérieure des véhicules ainsi amortis ;</w:t>
            </w:r>
          </w:p>
          <w:p w:rsidR="004F6B43" w:rsidRPr="0016318F" w:rsidRDefault="004F6B43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:rsidR="007F026C" w:rsidRPr="0016318F" w:rsidRDefault="007F026C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:rsidR="00DE284D" w:rsidRPr="0016318F" w:rsidRDefault="00DE284D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:rsidR="00DE284D" w:rsidRPr="0016318F" w:rsidRDefault="00DE284D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:rsidR="00DE284D" w:rsidRPr="0016318F" w:rsidRDefault="00DE284D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tbl>
      <w:tblPr>
        <w:tblStyle w:val="Grilledutableau"/>
        <w:tblpPr w:leftFromText="141" w:rightFromText="141" w:vertAnchor="text" w:horzAnchor="margin" w:tblpXSpec="center" w:tblpY="264"/>
        <w:tblW w:w="0" w:type="auto"/>
        <w:tblLook w:val="04A0" w:firstRow="1" w:lastRow="0" w:firstColumn="1" w:lastColumn="0" w:noHBand="0" w:noVBand="1"/>
      </w:tblPr>
      <w:tblGrid>
        <w:gridCol w:w="2177"/>
        <w:gridCol w:w="6411"/>
      </w:tblGrid>
      <w:tr w:rsidR="00DE284D" w:rsidRPr="0016318F" w:rsidTr="008E07E1">
        <w:trPr>
          <w:trHeight w:val="742"/>
        </w:trPr>
        <w:tc>
          <w:tcPr>
            <w:tcW w:w="2177" w:type="dxa"/>
          </w:tcPr>
          <w:p w:rsidR="00DE284D" w:rsidRPr="0016318F" w:rsidRDefault="00DE284D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 xml:space="preserve">Article </w:t>
            </w:r>
            <w:r w:rsidR="000C0CAE" w:rsidRPr="0016318F">
              <w:rPr>
                <w:rFonts w:ascii="Tahoma" w:hAnsi="Tahoma" w:cs="Tahoma"/>
                <w:b/>
                <w:sz w:val="24"/>
                <w:szCs w:val="24"/>
              </w:rPr>
              <w:t>20</w:t>
            </w:r>
            <w:r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du CGI</w:t>
            </w:r>
          </w:p>
        </w:tc>
        <w:tc>
          <w:tcPr>
            <w:tcW w:w="6411" w:type="dxa"/>
          </w:tcPr>
          <w:p w:rsidR="00DE284D" w:rsidRPr="0016318F" w:rsidRDefault="000C0CAE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left"/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t>(….) Sont constitutifs d’avantages en nature le logement, la domesticité, l’eau, l’électricité, le téléphone, la mise à disposition d’un véhicule, la prise en charge des frais de voyage et de séjour-congé et la nourriture.</w:t>
            </w: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br/>
              <w:t>Les avantages en nature sont pris en compte pour leur montant réel.</w:t>
            </w: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br/>
              <w:t>En ce qui concerne la mise à disposition d’un logement, la valeur retenue est le loyer ou la valeur locative cadastrale.</w:t>
            </w: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br/>
              <w:t xml:space="preserve">En ce qui concerne la mise à disposition d’un véhicule, la valeur retenue est de 10% du salaire </w:t>
            </w:r>
            <w:bookmarkStart w:id="0" w:name="_GoBack"/>
            <w:bookmarkEnd w:id="0"/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t>brut taxable.</w:t>
            </w:r>
          </w:p>
        </w:tc>
      </w:tr>
      <w:tr w:rsidR="00DE284D" w:rsidRPr="0016318F" w:rsidTr="008E07E1">
        <w:trPr>
          <w:trHeight w:val="761"/>
        </w:trPr>
        <w:tc>
          <w:tcPr>
            <w:tcW w:w="2177" w:type="dxa"/>
          </w:tcPr>
          <w:p w:rsidR="00DE284D" w:rsidRPr="0016318F" w:rsidRDefault="00DE284D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N° de l’article</w:t>
            </w:r>
            <w:r w:rsidR="00137376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20</w:t>
            </w:r>
            <w:r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du CGI</w:t>
            </w:r>
          </w:p>
        </w:tc>
        <w:tc>
          <w:tcPr>
            <w:tcW w:w="6411" w:type="dxa"/>
          </w:tcPr>
          <w:p w:rsidR="00DE284D" w:rsidRPr="0016318F" w:rsidRDefault="00DE284D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Difficultés rencontrées</w:t>
            </w:r>
          </w:p>
          <w:p w:rsidR="00DE284D" w:rsidRPr="0016318F" w:rsidRDefault="000C0CAE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Le montant de 10% du salaire brut taxable ne reflète pas la juste valeur des avantages en nature. Dans le cas des salaires élevés, cette estimation est exagérée dans le cas contraire elle est sous-évaluée.</w:t>
            </w:r>
          </w:p>
        </w:tc>
      </w:tr>
      <w:tr w:rsidR="00DE284D" w:rsidRPr="0016318F" w:rsidTr="008E07E1">
        <w:trPr>
          <w:trHeight w:val="761"/>
        </w:trPr>
        <w:tc>
          <w:tcPr>
            <w:tcW w:w="2177" w:type="dxa"/>
          </w:tcPr>
          <w:p w:rsidR="00DE284D" w:rsidRPr="0016318F" w:rsidRDefault="00DE284D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Exposé des motifs</w:t>
            </w:r>
          </w:p>
        </w:tc>
        <w:tc>
          <w:tcPr>
            <w:tcW w:w="6411" w:type="dxa"/>
          </w:tcPr>
          <w:p w:rsidR="00DE284D" w:rsidRPr="0016318F" w:rsidRDefault="0016318F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Pour taxer de manière</w:t>
            </w:r>
            <w:r w:rsidR="000C0CAE" w:rsidRPr="0016318F">
              <w:rPr>
                <w:rFonts w:ascii="Tahoma" w:hAnsi="Tahoma" w:cs="Tahoma"/>
                <w:sz w:val="24"/>
                <w:szCs w:val="24"/>
              </w:rPr>
              <w:t xml:space="preserve"> juste </w:t>
            </w:r>
            <w:r w:rsidRPr="0016318F">
              <w:rPr>
                <w:rFonts w:ascii="Tahoma" w:hAnsi="Tahoma" w:cs="Tahoma"/>
                <w:sz w:val="24"/>
                <w:szCs w:val="24"/>
              </w:rPr>
              <w:t xml:space="preserve">la mise </w:t>
            </w:r>
            <w:r w:rsidR="000C0CAE" w:rsidRPr="0016318F">
              <w:rPr>
                <w:rFonts w:ascii="Tahoma" w:hAnsi="Tahoma" w:cs="Tahoma"/>
                <w:sz w:val="24"/>
                <w:szCs w:val="24"/>
              </w:rPr>
              <w:t>à disposition, il faut calquer le montant de l’avantage en nature sur les dépenses afférant au véhicule y compris ses charges d’amortissement déductibles.</w:t>
            </w:r>
          </w:p>
        </w:tc>
      </w:tr>
      <w:tr w:rsidR="00137376" w:rsidRPr="0016318F" w:rsidTr="008E07E1">
        <w:trPr>
          <w:trHeight w:val="361"/>
        </w:trPr>
        <w:tc>
          <w:tcPr>
            <w:tcW w:w="2177" w:type="dxa"/>
          </w:tcPr>
          <w:p w:rsidR="00137376" w:rsidRPr="0016318F" w:rsidRDefault="00137376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N° de l’article 20 du CGI</w:t>
            </w:r>
          </w:p>
        </w:tc>
        <w:tc>
          <w:tcPr>
            <w:tcW w:w="6411" w:type="dxa"/>
          </w:tcPr>
          <w:p w:rsidR="0016318F" w:rsidRDefault="00137376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(….) Sont constitutifs d’avantages en nature le logement, la domesticité, l’eau, l’électricité, le téléphone, la mise à disposition d’un véhicule, la prise en charge des frais de voyage et de séjour-congé et la nourriture.</w:t>
            </w:r>
          </w:p>
          <w:p w:rsidR="0016318F" w:rsidRDefault="00137376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Les avantages en nature sont pris en compte pour leur montant réel.</w:t>
            </w:r>
          </w:p>
          <w:p w:rsidR="00137376" w:rsidRPr="0016318F" w:rsidRDefault="00137376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 xml:space="preserve">En ce qui concerne la mise à disposition d’un logement, </w:t>
            </w: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>il y a lieu de prendre en considération la valeur locative réelle stipulée dans le contrat de bail ou à défaut retenir la valeur locative cadastrale.</w:t>
            </w:r>
          </w:p>
          <w:p w:rsidR="00137376" w:rsidRPr="0016318F" w:rsidRDefault="00137376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 xml:space="preserve">En ce qui concerne la mise à disposition d’un véhicule, </w:t>
            </w: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>il y a lieu de prendre en considération le tiers</w:t>
            </w:r>
            <w:r w:rsidR="00AA1DE5"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 xml:space="preserve"> (1/3)</w:t>
            </w: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 xml:space="preserve"> des charges liées au véhicule (amortissement admis en déduction, frais de carburant, frais d’entretien et de réparation et assurance).</w:t>
            </w:r>
          </w:p>
        </w:tc>
      </w:tr>
    </w:tbl>
    <w:p w:rsidR="007F026C" w:rsidRPr="0016318F" w:rsidRDefault="007F026C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tbl>
      <w:tblPr>
        <w:tblStyle w:val="Grilledutableau"/>
        <w:tblpPr w:leftFromText="141" w:rightFromText="141" w:vertAnchor="text" w:horzAnchor="margin" w:tblpXSpec="center" w:tblpY="264"/>
        <w:tblW w:w="0" w:type="auto"/>
        <w:tblLook w:val="04A0" w:firstRow="1" w:lastRow="0" w:firstColumn="1" w:lastColumn="0" w:noHBand="0" w:noVBand="1"/>
      </w:tblPr>
      <w:tblGrid>
        <w:gridCol w:w="2177"/>
        <w:gridCol w:w="6411"/>
      </w:tblGrid>
      <w:tr w:rsidR="00137376" w:rsidRPr="0016318F" w:rsidTr="008E07E1">
        <w:trPr>
          <w:trHeight w:val="742"/>
        </w:trPr>
        <w:tc>
          <w:tcPr>
            <w:tcW w:w="2177" w:type="dxa"/>
          </w:tcPr>
          <w:p w:rsidR="00137376" w:rsidRPr="0016318F" w:rsidRDefault="00137376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lastRenderedPageBreak/>
              <w:t>Article 38 du CGI</w:t>
            </w:r>
          </w:p>
        </w:tc>
        <w:tc>
          <w:tcPr>
            <w:tcW w:w="6411" w:type="dxa"/>
          </w:tcPr>
          <w:p w:rsidR="00137376" w:rsidRPr="0016318F" w:rsidRDefault="00137376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left"/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t>Sous réserve des dispositions particulières ci-après, le bénéfice imposable est déterminé dans les mêmes conditions que celles prévues en matière d’impôt sur les sociétés. (…)</w:t>
            </w:r>
          </w:p>
          <w:p w:rsidR="00137376" w:rsidRPr="0016318F" w:rsidRDefault="00137376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left"/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t>Lorsque les dépenses revêtent un caractère mixte, usage privé et professionnel, un tiers (1/3) desdites dépenses est réputé correspondre à un usage non professionnel.</w:t>
            </w:r>
          </w:p>
        </w:tc>
      </w:tr>
      <w:tr w:rsidR="00137376" w:rsidRPr="0016318F" w:rsidTr="008E07E1">
        <w:trPr>
          <w:trHeight w:val="761"/>
        </w:trPr>
        <w:tc>
          <w:tcPr>
            <w:tcW w:w="2177" w:type="dxa"/>
          </w:tcPr>
          <w:p w:rsidR="00137376" w:rsidRPr="0016318F" w:rsidRDefault="00137376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N° de l’article</w:t>
            </w:r>
            <w:r w:rsidR="00A20765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38</w:t>
            </w:r>
            <w:r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du CGI</w:t>
            </w:r>
          </w:p>
        </w:tc>
        <w:tc>
          <w:tcPr>
            <w:tcW w:w="6411" w:type="dxa"/>
          </w:tcPr>
          <w:p w:rsidR="00137376" w:rsidRPr="0016318F" w:rsidRDefault="00137376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Difficultés rencontrées</w:t>
            </w:r>
          </w:p>
          <w:p w:rsidR="00137376" w:rsidRPr="0016318F" w:rsidRDefault="00A20765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La réintégration du tiers des dépenses à caractère mixte dans le cas des mises à disposition des véhicules entrainera une double imposition de ces charges lorsque l’avantage en nature a été imposé entre les mains du bénéficiaire.</w:t>
            </w:r>
          </w:p>
        </w:tc>
      </w:tr>
      <w:tr w:rsidR="00137376" w:rsidRPr="0016318F" w:rsidTr="008E07E1">
        <w:trPr>
          <w:trHeight w:val="761"/>
        </w:trPr>
        <w:tc>
          <w:tcPr>
            <w:tcW w:w="2177" w:type="dxa"/>
          </w:tcPr>
          <w:p w:rsidR="00137376" w:rsidRPr="0016318F" w:rsidRDefault="00137376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Exposé des motifs</w:t>
            </w:r>
          </w:p>
        </w:tc>
        <w:tc>
          <w:tcPr>
            <w:tcW w:w="6411" w:type="dxa"/>
          </w:tcPr>
          <w:p w:rsidR="00137376" w:rsidRPr="0016318F" w:rsidRDefault="00A20765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 xml:space="preserve">Pour éviter la cette double taxation, il convient de préciser que lorsque la partie des dépenses à caractère mixte, réputée à usage non professionnelle  a été imposé dans les mains des bénéficiaires comme avantage en nature conformément aux dispositions de l’article 20 du CGI, il n’y a plus lieu de considérer le caractère mixte des dépenses. </w:t>
            </w:r>
          </w:p>
        </w:tc>
      </w:tr>
      <w:tr w:rsidR="00137376" w:rsidRPr="0016318F" w:rsidTr="008E07E1">
        <w:trPr>
          <w:trHeight w:val="361"/>
        </w:trPr>
        <w:tc>
          <w:tcPr>
            <w:tcW w:w="2177" w:type="dxa"/>
          </w:tcPr>
          <w:p w:rsidR="00137376" w:rsidRPr="0016318F" w:rsidRDefault="00137376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N° de l’article</w:t>
            </w:r>
            <w:r w:rsidR="00A20765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38</w:t>
            </w:r>
            <w:r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du CGI</w:t>
            </w:r>
          </w:p>
        </w:tc>
        <w:tc>
          <w:tcPr>
            <w:tcW w:w="6411" w:type="dxa"/>
          </w:tcPr>
          <w:p w:rsidR="00137376" w:rsidRPr="0016318F" w:rsidRDefault="00137376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left"/>
              <w:rPr>
                <w:rStyle w:val="fontstyle01"/>
                <w:rFonts w:ascii="Tahoma" w:hAnsi="Tahoma" w:cs="Tahoma"/>
                <w:sz w:val="24"/>
                <w:szCs w:val="24"/>
              </w:rPr>
            </w:pPr>
            <w:r w:rsidRPr="0016318F">
              <w:rPr>
                <w:rStyle w:val="fontstyle01"/>
                <w:rFonts w:ascii="Tahoma" w:hAnsi="Tahoma" w:cs="Tahoma"/>
                <w:sz w:val="24"/>
                <w:szCs w:val="24"/>
              </w:rPr>
              <w:t>Sous réserve des dispositions particulières ci-après, le bénéfice imposable est déterminé dans</w:t>
            </w:r>
            <w:r w:rsidRPr="0016318F">
              <w:rPr>
                <w:rFonts w:ascii="Tahoma" w:hAnsi="Tahoma" w:cs="Tahoma"/>
                <w:color w:val="000000"/>
                <w:sz w:val="24"/>
                <w:szCs w:val="24"/>
              </w:rPr>
              <w:t xml:space="preserve"> </w:t>
            </w:r>
            <w:r w:rsidRPr="0016318F">
              <w:rPr>
                <w:rStyle w:val="fontstyle01"/>
                <w:rFonts w:ascii="Tahoma" w:hAnsi="Tahoma" w:cs="Tahoma"/>
                <w:sz w:val="24"/>
                <w:szCs w:val="24"/>
              </w:rPr>
              <w:t>les mêmes conditions que celles prévues en matière d’impôt sur les sociétés. (…)</w:t>
            </w:r>
          </w:p>
          <w:p w:rsidR="00A20765" w:rsidRPr="0016318F" w:rsidRDefault="00137376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Lorsque les dépenses revêtent un caractère mixte, usage privé et professionnel, un tiers (1/3) desdites dépenses est réputé correspondre à un usage non professionnel.</w:t>
            </w:r>
            <w:r w:rsidR="00A20765" w:rsidRPr="0016318F">
              <w:rPr>
                <w:rFonts w:ascii="Tahoma" w:hAnsi="Tahoma" w:cs="Tahoma"/>
                <w:sz w:val="24"/>
                <w:szCs w:val="24"/>
              </w:rPr>
              <w:t xml:space="preserve"> </w:t>
            </w:r>
          </w:p>
          <w:p w:rsidR="00137376" w:rsidRPr="0016318F" w:rsidRDefault="00A20765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i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>Toutefois lorsque le tiers</w:t>
            </w:r>
            <w:r w:rsidR="00AA1DE5"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 xml:space="preserve"> (1/3)</w:t>
            </w: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 xml:space="preserve"> des dépenses lié</w:t>
            </w:r>
            <w:r w:rsidR="00AA1DE5"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>e</w:t>
            </w: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>s à la mise à disposition de véhicules a été imposé comme avantage en nature en application des dispositions de l’article 20 du présent code, il n’y a pas lieu de rapporter cette fraction au résultat fiscal de l’exercice en cause.</w:t>
            </w:r>
          </w:p>
        </w:tc>
      </w:tr>
    </w:tbl>
    <w:p w:rsidR="00137376" w:rsidRPr="0016318F" w:rsidRDefault="00137376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:rsidR="00A20765" w:rsidRPr="0016318F" w:rsidRDefault="00A20765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tbl>
      <w:tblPr>
        <w:tblStyle w:val="Grilledutableau"/>
        <w:tblpPr w:leftFromText="141" w:rightFromText="141" w:vertAnchor="text" w:horzAnchor="margin" w:tblpXSpec="center" w:tblpY="264"/>
        <w:tblW w:w="0" w:type="auto"/>
        <w:tblLook w:val="04A0" w:firstRow="1" w:lastRow="0" w:firstColumn="1" w:lastColumn="0" w:noHBand="0" w:noVBand="1"/>
      </w:tblPr>
      <w:tblGrid>
        <w:gridCol w:w="2177"/>
        <w:gridCol w:w="6411"/>
      </w:tblGrid>
      <w:tr w:rsidR="00A20765" w:rsidRPr="0016318F" w:rsidTr="008E07E1">
        <w:trPr>
          <w:trHeight w:val="742"/>
        </w:trPr>
        <w:tc>
          <w:tcPr>
            <w:tcW w:w="2177" w:type="dxa"/>
          </w:tcPr>
          <w:p w:rsidR="00A20765" w:rsidRPr="0016318F" w:rsidRDefault="00A20765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 xml:space="preserve">Article  </w:t>
            </w:r>
            <w:r w:rsidR="005026C7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36 </w:t>
            </w:r>
            <w:r w:rsidR="0071421F" w:rsidRPr="0016318F">
              <w:rPr>
                <w:rFonts w:ascii="Tahoma" w:hAnsi="Tahoma" w:cs="Tahoma"/>
                <w:b/>
                <w:sz w:val="24"/>
                <w:szCs w:val="24"/>
              </w:rPr>
              <w:t>du LPF</w:t>
            </w:r>
          </w:p>
        </w:tc>
        <w:tc>
          <w:tcPr>
            <w:tcW w:w="6411" w:type="dxa"/>
          </w:tcPr>
          <w:p w:rsidR="005026C7" w:rsidRPr="0016318F" w:rsidRDefault="005026C7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pacing w:val="-4"/>
                <w:sz w:val="24"/>
                <w:szCs w:val="24"/>
              </w:rPr>
              <w:t xml:space="preserve">Toute personne, société ou association recevant habituellement en dépôt des valeurs </w:t>
            </w:r>
            <w:r w:rsidRPr="0016318F">
              <w:rPr>
                <w:rFonts w:ascii="Tahoma" w:hAnsi="Tahoma" w:cs="Tahoma"/>
                <w:sz w:val="24"/>
                <w:szCs w:val="24"/>
              </w:rPr>
              <w:t xml:space="preserve">mobilières, est tenue d'adresser au Commissaire des impôts ou à défaut au responsable de l'Administration fiscale territorialement compétent, les avis d'ouverture et de clôture de tout </w:t>
            </w:r>
            <w:r w:rsidRPr="0016318F">
              <w:rPr>
                <w:rFonts w:ascii="Tahoma" w:hAnsi="Tahoma" w:cs="Tahoma"/>
                <w:sz w:val="24"/>
                <w:szCs w:val="24"/>
              </w:rPr>
              <w:lastRenderedPageBreak/>
              <w:t>compte de dépôt de titres, valeurs ou espèces, compte courant et autres.</w:t>
            </w:r>
          </w:p>
          <w:p w:rsidR="00A20765" w:rsidRPr="0016318F" w:rsidRDefault="005026C7" w:rsidP="0016318F">
            <w:pPr>
              <w:tabs>
                <w:tab w:val="left" w:pos="0"/>
                <w:tab w:val="left" w:pos="142"/>
              </w:tabs>
              <w:spacing w:before="216"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pacing w:val="1"/>
                <w:sz w:val="24"/>
                <w:szCs w:val="24"/>
              </w:rPr>
              <w:t xml:space="preserve">Les contrevenants aux dispositions du présent article sont passibles des sanctions prévues par </w:t>
            </w:r>
            <w:r w:rsidRPr="0016318F">
              <w:rPr>
                <w:rFonts w:ascii="Tahoma" w:hAnsi="Tahoma" w:cs="Tahoma"/>
                <w:sz w:val="24"/>
                <w:szCs w:val="24"/>
              </w:rPr>
              <w:t>le présent livre.</w:t>
            </w:r>
          </w:p>
        </w:tc>
      </w:tr>
      <w:tr w:rsidR="00A20765" w:rsidRPr="0016318F" w:rsidTr="008E07E1">
        <w:trPr>
          <w:trHeight w:val="761"/>
        </w:trPr>
        <w:tc>
          <w:tcPr>
            <w:tcW w:w="2177" w:type="dxa"/>
          </w:tcPr>
          <w:p w:rsidR="00A20765" w:rsidRPr="0016318F" w:rsidRDefault="00A20765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lastRenderedPageBreak/>
              <w:t>N° de l’article</w:t>
            </w:r>
            <w:r w:rsidR="005026C7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36</w:t>
            </w:r>
            <w:r w:rsidR="0071421F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du </w:t>
            </w:r>
            <w:r w:rsidR="004013F0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LPF</w:t>
            </w:r>
          </w:p>
        </w:tc>
        <w:tc>
          <w:tcPr>
            <w:tcW w:w="6411" w:type="dxa"/>
          </w:tcPr>
          <w:p w:rsidR="00A20765" w:rsidRPr="0016318F" w:rsidRDefault="00A20765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Difficultés rencontrées</w:t>
            </w:r>
          </w:p>
          <w:p w:rsidR="00A20765" w:rsidRPr="0016318F" w:rsidRDefault="005026C7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L’imputation de la retenue à la source sur les revenus de capitaux mobiliers non libératoire n’a pas été prévue.</w:t>
            </w:r>
          </w:p>
          <w:p w:rsidR="005026C7" w:rsidRPr="0016318F" w:rsidRDefault="005026C7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En plus le sort des retenues à la source subies à l’étranger  par les sociétés domiciliées au Togo n’est pas précisé.</w:t>
            </w:r>
          </w:p>
        </w:tc>
      </w:tr>
      <w:tr w:rsidR="00A20765" w:rsidRPr="0016318F" w:rsidTr="008E07E1">
        <w:trPr>
          <w:trHeight w:val="761"/>
        </w:trPr>
        <w:tc>
          <w:tcPr>
            <w:tcW w:w="2177" w:type="dxa"/>
          </w:tcPr>
          <w:p w:rsidR="00A20765" w:rsidRPr="0016318F" w:rsidRDefault="00A20765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Exposé des motifs</w:t>
            </w:r>
          </w:p>
        </w:tc>
        <w:tc>
          <w:tcPr>
            <w:tcW w:w="6411" w:type="dxa"/>
          </w:tcPr>
          <w:p w:rsidR="00A20765" w:rsidRPr="0016318F" w:rsidRDefault="005026C7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 xml:space="preserve">Pour permettre aux contribuables ayant subi la retenue à la source sur les revenus de capitaux mobiliers de bénéficier du crédit d’impôt, il faut une disposition qui le stipule. Et prévoir le sort des retenues </w:t>
            </w:r>
            <w:r w:rsidR="00EA1FBC" w:rsidRPr="0016318F">
              <w:rPr>
                <w:rFonts w:ascii="Tahoma" w:hAnsi="Tahoma" w:cs="Tahoma"/>
                <w:sz w:val="24"/>
                <w:szCs w:val="24"/>
              </w:rPr>
              <w:t>à la source subie</w:t>
            </w:r>
            <w:r w:rsidRPr="0016318F">
              <w:rPr>
                <w:rFonts w:ascii="Tahoma" w:hAnsi="Tahoma" w:cs="Tahoma"/>
                <w:sz w:val="24"/>
                <w:szCs w:val="24"/>
              </w:rPr>
              <w:t xml:space="preserve"> à l’étranger par les sociétés domiciliées au Togo.</w:t>
            </w:r>
          </w:p>
        </w:tc>
      </w:tr>
      <w:tr w:rsidR="00A20765" w:rsidRPr="0016318F" w:rsidTr="008E07E1">
        <w:trPr>
          <w:trHeight w:val="361"/>
        </w:trPr>
        <w:tc>
          <w:tcPr>
            <w:tcW w:w="2177" w:type="dxa"/>
          </w:tcPr>
          <w:p w:rsidR="00A20765" w:rsidRPr="0016318F" w:rsidRDefault="00A20765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N° de l’article</w:t>
            </w:r>
            <w:r w:rsidR="004013F0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36</w:t>
            </w:r>
            <w:r w:rsidR="0071421F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du</w:t>
            </w:r>
            <w:r w:rsidR="004013F0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LPF</w:t>
            </w:r>
          </w:p>
        </w:tc>
        <w:tc>
          <w:tcPr>
            <w:tcW w:w="6411" w:type="dxa"/>
          </w:tcPr>
          <w:p w:rsidR="00EA1FBC" w:rsidRPr="0016318F" w:rsidRDefault="00EA1FBC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pacing w:val="-4"/>
                <w:sz w:val="24"/>
                <w:szCs w:val="24"/>
              </w:rPr>
              <w:t xml:space="preserve">Toute personne, société ou association recevant habituellement en dépôt des valeurs </w:t>
            </w:r>
            <w:r w:rsidRPr="0016318F">
              <w:rPr>
                <w:rFonts w:ascii="Tahoma" w:hAnsi="Tahoma" w:cs="Tahoma"/>
                <w:sz w:val="24"/>
                <w:szCs w:val="24"/>
              </w:rPr>
              <w:t>mobilières, est tenue d'adresser au Commissaire des impôts ou à défaut au responsable de l'Administration fiscale territorialement compétent, les avis d'ouverture et de clôture de tout compte de dépôt de titres, valeurs ou espèces, compte courant et autres.</w:t>
            </w:r>
          </w:p>
          <w:p w:rsidR="00EA1FBC" w:rsidRPr="0016318F" w:rsidRDefault="00EA1FBC" w:rsidP="0016318F">
            <w:pPr>
              <w:tabs>
                <w:tab w:val="left" w:pos="0"/>
                <w:tab w:val="left" w:pos="142"/>
              </w:tabs>
              <w:spacing w:before="288" w:line="276" w:lineRule="auto"/>
              <w:ind w:left="0"/>
              <w:jc w:val="both"/>
              <w:rPr>
                <w:rFonts w:ascii="Tahoma" w:hAnsi="Tahoma" w:cs="Tahoma"/>
                <w:b/>
                <w:i/>
                <w:spacing w:val="-1"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-1"/>
                <w:sz w:val="24"/>
                <w:szCs w:val="24"/>
              </w:rPr>
              <w:t xml:space="preserve">Les versements donnent droit, à des attestations individuelles de retenues que la partie versante </w:t>
            </w: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>est tenue de remettre aux personnes ayant fait l'objet de retenue.</w:t>
            </w:r>
          </w:p>
          <w:p w:rsidR="00A20765" w:rsidRPr="0016318F" w:rsidRDefault="00EA1FBC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b/>
                <w:i/>
                <w:spacing w:val="-1"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-1"/>
                <w:sz w:val="24"/>
                <w:szCs w:val="24"/>
              </w:rPr>
              <w:t xml:space="preserve">Ces dernières peuvent faire valoir ces attestations sur les cotisations d'impôts qui sont à leur charge. </w:t>
            </w:r>
          </w:p>
          <w:p w:rsidR="00EA1FBC" w:rsidRPr="0016318F" w:rsidRDefault="00EA1FBC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  <w:t xml:space="preserve">Le système d'imputation impôt sur impôt est applicable : </w:t>
            </w:r>
          </w:p>
          <w:p w:rsidR="00EA1FBC" w:rsidRPr="0016318F" w:rsidRDefault="00EA1FBC" w:rsidP="0016318F">
            <w:pPr>
              <w:pStyle w:val="Paragraphedeliste"/>
              <w:numPr>
                <w:ilvl w:val="0"/>
                <w:numId w:val="7"/>
              </w:numPr>
              <w:tabs>
                <w:tab w:val="left" w:pos="0"/>
                <w:tab w:val="left" w:pos="142"/>
              </w:tabs>
              <w:spacing w:before="180" w:line="276" w:lineRule="auto"/>
              <w:jc w:val="both"/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</w:pPr>
            <w:r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>aux revenus mobiliers qui entrent dans le champ d'application de la retenue à la source et notamment aux revenus d'obligations, d'effets publics et autres titres d'emprunt négociables ;</w:t>
            </w:r>
          </w:p>
          <w:p w:rsidR="00EA1FBC" w:rsidRPr="0016318F" w:rsidRDefault="00EA1FBC" w:rsidP="0016318F">
            <w:pPr>
              <w:pStyle w:val="Paragraphedeliste"/>
              <w:numPr>
                <w:ilvl w:val="0"/>
                <w:numId w:val="7"/>
              </w:numPr>
              <w:tabs>
                <w:tab w:val="left" w:pos="0"/>
                <w:tab w:val="left" w:pos="142"/>
              </w:tabs>
              <w:spacing w:before="180" w:line="276" w:lineRule="auto"/>
              <w:jc w:val="both"/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</w:pPr>
            <w:r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>aux revenus de valeurs mobilières étrangères lorsqu'ils sont mis en paiement par des sociétés ayant leur siège dans</w:t>
            </w:r>
            <w:r w:rsidR="0071421F"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 xml:space="preserve"> </w:t>
            </w:r>
            <w:r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>des pays liés au Togo par une convention internationale.</w:t>
            </w:r>
          </w:p>
          <w:p w:rsidR="00EA1FBC" w:rsidRPr="0016318F" w:rsidRDefault="00EA1FBC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  <w:t xml:space="preserve">Les sociétés togolaises qui perçoivent ces revenus bénéficient d'une déduction impôt sur impôt qui est </w:t>
            </w:r>
            <w:r w:rsidRPr="0016318F"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  <w:lastRenderedPageBreak/>
              <w:t>limitée au montant du crédit correspondant à l'impôt retenu à la source à l'étranger tel qu'il est prévu par les conventions internationales.</w:t>
            </w:r>
          </w:p>
          <w:p w:rsidR="00EA1FBC" w:rsidRPr="0016318F" w:rsidRDefault="00EA1FBC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  <w:t xml:space="preserve">Ne peuvent pas bénéficier de l'imputation impôt sur impôt, les sociétés ou collectivités suivantes : </w:t>
            </w:r>
          </w:p>
          <w:p w:rsidR="00EA1FBC" w:rsidRPr="0016318F" w:rsidRDefault="00EA1FBC" w:rsidP="0016318F">
            <w:pPr>
              <w:pStyle w:val="Paragraphedeliste"/>
              <w:numPr>
                <w:ilvl w:val="0"/>
                <w:numId w:val="7"/>
              </w:numPr>
              <w:tabs>
                <w:tab w:val="left" w:pos="0"/>
                <w:tab w:val="left" w:pos="142"/>
              </w:tabs>
              <w:spacing w:before="180" w:line="276" w:lineRule="auto"/>
              <w:jc w:val="both"/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</w:pPr>
            <w:r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>les établissements publics, associations et autres collectivités assujetties à l'impôt sur les sociétés en vertu de</w:t>
            </w:r>
            <w:r w:rsidR="0071421F"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 xml:space="preserve"> l'article </w:t>
            </w:r>
            <w:r w:rsidR="004013F0"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 xml:space="preserve">92-j du </w:t>
            </w:r>
            <w:r w:rsidR="0071421F"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>code</w:t>
            </w:r>
            <w:r w:rsidR="004013F0"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 xml:space="preserve"> général des impôts</w:t>
            </w:r>
            <w:r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 xml:space="preserve"> ;</w:t>
            </w:r>
          </w:p>
          <w:p w:rsidR="0071421F" w:rsidRPr="0016318F" w:rsidRDefault="00EA1FBC" w:rsidP="0016318F">
            <w:pPr>
              <w:pStyle w:val="Paragraphedeliste"/>
              <w:numPr>
                <w:ilvl w:val="0"/>
                <w:numId w:val="7"/>
              </w:numPr>
              <w:tabs>
                <w:tab w:val="left" w:pos="0"/>
                <w:tab w:val="left" w:pos="142"/>
              </w:tabs>
              <w:spacing w:before="180" w:line="276" w:lineRule="auto"/>
              <w:jc w:val="both"/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</w:pPr>
            <w:r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>les sociétés mères pour les dividendes de leurs filiales déductibles du bénéfi</w:t>
            </w:r>
            <w:r w:rsidR="0071421F"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 xml:space="preserve">ce net en vertu de l'article 107 du </w:t>
            </w:r>
            <w:r w:rsidR="004013F0"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 xml:space="preserve">code général des impôts </w:t>
            </w:r>
            <w:r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>;</w:t>
            </w:r>
          </w:p>
          <w:p w:rsidR="00EA1FBC" w:rsidRPr="0016318F" w:rsidRDefault="00EA1FBC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  <w:t>En outre, lorsqu'un exercice est déficitaire, les crédits d'impôt attachés aux revenus mobiliers compris dans les</w:t>
            </w:r>
            <w:r w:rsidR="0071421F" w:rsidRPr="0016318F"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  <w:t xml:space="preserve"> </w:t>
            </w:r>
            <w:r w:rsidRPr="0016318F"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  <w:t>résultats dudit exercice ne peuvent être ni imputés, ni reportés, ni restitués et tombent donc en non-valeur.</w:t>
            </w:r>
          </w:p>
          <w:p w:rsidR="0071421F" w:rsidRPr="0016318F" w:rsidRDefault="0071421F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  <w:t>Les entreprises qui entendent bénéficier des crédits d'impôt attachés aux revenus mobiliers qu'elles ont encaissés sont tenues :</w:t>
            </w:r>
          </w:p>
          <w:p w:rsidR="0071421F" w:rsidRPr="0016318F" w:rsidRDefault="0071421F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  <w:t>- d'une part, de mentionner dans leur déclaration de résultats, le montant de la somme à imputer ;</w:t>
            </w:r>
          </w:p>
          <w:p w:rsidR="0071421F" w:rsidRPr="0016318F" w:rsidRDefault="0071421F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  <w:t>- d'autre part, de joindre à leur déclaration les certificats de crédit d'impôt remis par les établissements payeurs.</w:t>
            </w:r>
          </w:p>
          <w:p w:rsidR="0071421F" w:rsidRPr="0016318F" w:rsidRDefault="0071421F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  <w:t>Elles doivent en outre tenir à la disposition de l'Administration chargée de l'assiette de l'impôt toutes justifications utiles ainsi que tous documents employés ou établis par elles pour effectuer ce calcul.</w:t>
            </w:r>
          </w:p>
          <w:p w:rsidR="004013F0" w:rsidRPr="0016318F" w:rsidRDefault="004013F0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spacing w:val="-4"/>
                <w:sz w:val="24"/>
                <w:szCs w:val="24"/>
              </w:rPr>
            </w:pPr>
            <w:r w:rsidRPr="0016318F">
              <w:rPr>
                <w:rFonts w:ascii="Tahoma" w:hAnsi="Tahoma" w:cs="Tahoma"/>
                <w:spacing w:val="1"/>
                <w:sz w:val="24"/>
                <w:szCs w:val="24"/>
              </w:rPr>
              <w:t xml:space="preserve">Les contrevenants aux dispositions du présent article sont passibles des sanctions prévues par </w:t>
            </w:r>
            <w:r w:rsidRPr="0016318F">
              <w:rPr>
                <w:rFonts w:ascii="Tahoma" w:hAnsi="Tahoma" w:cs="Tahoma"/>
                <w:sz w:val="24"/>
                <w:szCs w:val="24"/>
              </w:rPr>
              <w:t>le présent livre.</w:t>
            </w:r>
          </w:p>
        </w:tc>
      </w:tr>
    </w:tbl>
    <w:p w:rsidR="00A20765" w:rsidRPr="0016318F" w:rsidRDefault="00A20765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:rsidR="004013F0" w:rsidRPr="0016318F" w:rsidRDefault="004013F0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tbl>
      <w:tblPr>
        <w:tblStyle w:val="Grilledutableau"/>
        <w:tblpPr w:leftFromText="141" w:rightFromText="141" w:vertAnchor="text" w:horzAnchor="margin" w:tblpXSpec="center" w:tblpY="264"/>
        <w:tblW w:w="0" w:type="auto"/>
        <w:tblLook w:val="04A0" w:firstRow="1" w:lastRow="0" w:firstColumn="1" w:lastColumn="0" w:noHBand="0" w:noVBand="1"/>
      </w:tblPr>
      <w:tblGrid>
        <w:gridCol w:w="2177"/>
        <w:gridCol w:w="6411"/>
      </w:tblGrid>
      <w:tr w:rsidR="004013F0" w:rsidRPr="0016318F" w:rsidTr="008E07E1">
        <w:trPr>
          <w:trHeight w:val="742"/>
        </w:trPr>
        <w:tc>
          <w:tcPr>
            <w:tcW w:w="2177" w:type="dxa"/>
          </w:tcPr>
          <w:p w:rsidR="004013F0" w:rsidRPr="0016318F" w:rsidRDefault="004013F0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Article 121 du LPF</w:t>
            </w:r>
          </w:p>
        </w:tc>
        <w:tc>
          <w:tcPr>
            <w:tcW w:w="6411" w:type="dxa"/>
          </w:tcPr>
          <w:p w:rsidR="004013F0" w:rsidRPr="0016318F" w:rsidRDefault="004013F0" w:rsidP="0016318F">
            <w:pPr>
              <w:tabs>
                <w:tab w:val="left" w:pos="0"/>
                <w:tab w:val="left" w:pos="142"/>
              </w:tabs>
              <w:spacing w:before="216" w:line="276" w:lineRule="auto"/>
              <w:ind w:left="0"/>
              <w:jc w:val="both"/>
              <w:rPr>
                <w:rFonts w:ascii="Tahoma" w:hAnsi="Tahoma" w:cs="Tahoma"/>
                <w:b/>
                <w:spacing w:val="-1"/>
                <w:sz w:val="24"/>
                <w:szCs w:val="24"/>
              </w:rPr>
            </w:pPr>
            <w:r w:rsidRPr="0016318F">
              <w:rPr>
                <w:rFonts w:ascii="Tahoma" w:hAnsi="Tahoma" w:cs="Tahoma"/>
                <w:spacing w:val="-1"/>
                <w:sz w:val="24"/>
                <w:szCs w:val="24"/>
              </w:rPr>
              <w:t xml:space="preserve">En cas de taxation d'office à défaut de déclaration dans les délais prescrits, les droits </w:t>
            </w:r>
            <w:r w:rsidRPr="0016318F">
              <w:rPr>
                <w:rFonts w:ascii="Tahoma" w:hAnsi="Tahoma" w:cs="Tahoma"/>
                <w:spacing w:val="2"/>
                <w:sz w:val="24"/>
                <w:szCs w:val="24"/>
              </w:rPr>
              <w:t xml:space="preserve">mis à la charge du contribuable sont majorés de 10% des droits dus pour chaque période </w:t>
            </w:r>
            <w:r w:rsidRPr="0016318F">
              <w:rPr>
                <w:rFonts w:ascii="Tahoma" w:hAnsi="Tahoma" w:cs="Tahoma"/>
                <w:sz w:val="24"/>
                <w:szCs w:val="24"/>
              </w:rPr>
              <w:t xml:space="preserve">d'imposition si la situation est régularisée dans les quinze </w:t>
            </w:r>
            <w:r w:rsidRPr="0016318F">
              <w:rPr>
                <w:rFonts w:ascii="Tahoma" w:hAnsi="Tahoma" w:cs="Tahoma"/>
                <w:sz w:val="24"/>
                <w:szCs w:val="24"/>
              </w:rPr>
              <w:lastRenderedPageBreak/>
              <w:t xml:space="preserve">(15) jours d'une mise en demeure </w:t>
            </w:r>
            <w:r w:rsidRPr="0016318F">
              <w:rPr>
                <w:rFonts w:ascii="Tahoma" w:hAnsi="Tahoma" w:cs="Tahoma"/>
                <w:spacing w:val="5"/>
                <w:sz w:val="24"/>
                <w:szCs w:val="24"/>
              </w:rPr>
              <w:t xml:space="preserve">envoyée par l'Administration fiscale. La majoration est de 30% si la situation n'est pas </w:t>
            </w:r>
            <w:r w:rsidRPr="0016318F">
              <w:rPr>
                <w:rFonts w:ascii="Tahoma" w:hAnsi="Tahoma" w:cs="Tahoma"/>
                <w:sz w:val="24"/>
                <w:szCs w:val="24"/>
              </w:rPr>
              <w:t>régularisée dans les quinze (15) jours de la mise en demeure.</w:t>
            </w:r>
          </w:p>
          <w:p w:rsidR="004013F0" w:rsidRPr="0016318F" w:rsidRDefault="004013F0" w:rsidP="0016318F">
            <w:pPr>
              <w:tabs>
                <w:tab w:val="left" w:pos="0"/>
                <w:tab w:val="left" w:pos="142"/>
              </w:tabs>
              <w:spacing w:before="144"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pacing w:val="6"/>
                <w:sz w:val="24"/>
                <w:szCs w:val="24"/>
              </w:rPr>
              <w:t xml:space="preserve">Dans le cas d'évaluation d'office des bases d'imposition suite à une dissimulation, les </w:t>
            </w:r>
            <w:r w:rsidRPr="0016318F">
              <w:rPr>
                <w:rFonts w:ascii="Tahoma" w:hAnsi="Tahoma" w:cs="Tahoma"/>
                <w:sz w:val="24"/>
                <w:szCs w:val="24"/>
              </w:rPr>
              <w:t>suppléments de droits mis à la charge du contribuable sont assortis d'une majoration de 80%.</w:t>
            </w:r>
          </w:p>
        </w:tc>
      </w:tr>
      <w:tr w:rsidR="004013F0" w:rsidRPr="0016318F" w:rsidTr="008E07E1">
        <w:trPr>
          <w:trHeight w:val="761"/>
        </w:trPr>
        <w:tc>
          <w:tcPr>
            <w:tcW w:w="2177" w:type="dxa"/>
          </w:tcPr>
          <w:p w:rsidR="004013F0" w:rsidRPr="0016318F" w:rsidRDefault="004013F0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lastRenderedPageBreak/>
              <w:t xml:space="preserve">N° de l’article </w:t>
            </w:r>
            <w:r w:rsidR="0016318F" w:rsidRPr="0016318F">
              <w:rPr>
                <w:rFonts w:ascii="Tahoma" w:hAnsi="Tahoma" w:cs="Tahoma"/>
                <w:b/>
                <w:sz w:val="24"/>
                <w:szCs w:val="24"/>
              </w:rPr>
              <w:t>121 du LPF</w:t>
            </w:r>
          </w:p>
        </w:tc>
        <w:tc>
          <w:tcPr>
            <w:tcW w:w="6411" w:type="dxa"/>
          </w:tcPr>
          <w:p w:rsidR="004013F0" w:rsidRPr="0016318F" w:rsidRDefault="004013F0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Difficultés rencontrées</w:t>
            </w:r>
          </w:p>
          <w:p w:rsidR="004013F0" w:rsidRPr="0016318F" w:rsidRDefault="00AA1DE5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Lorsque la situation est régularisée dans les 15 jours d’une mise en demeure, le processus n’aboutira pas à une taxation d’office alors que la rédaction de l’article commence avec « en cas de taxation d’office</w:t>
            </w:r>
            <w:r w:rsidR="00C572D1" w:rsidRPr="0016318F">
              <w:rPr>
                <w:rFonts w:ascii="Tahoma" w:hAnsi="Tahoma" w:cs="Tahoma"/>
                <w:sz w:val="24"/>
                <w:szCs w:val="24"/>
              </w:rPr>
              <w:t> ». Elle ne prévoit pas non plus le cas des régularisations hors délai de mise en demeure et avant taxation d’office comme c’est le cas à l’article 113 du LPF relative au dépôt des états financiers.</w:t>
            </w:r>
          </w:p>
        </w:tc>
      </w:tr>
      <w:tr w:rsidR="004013F0" w:rsidRPr="0016318F" w:rsidTr="008E07E1">
        <w:trPr>
          <w:trHeight w:val="761"/>
        </w:trPr>
        <w:tc>
          <w:tcPr>
            <w:tcW w:w="2177" w:type="dxa"/>
          </w:tcPr>
          <w:p w:rsidR="004013F0" w:rsidRPr="0016318F" w:rsidRDefault="004013F0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Exposé des motifs</w:t>
            </w:r>
          </w:p>
        </w:tc>
        <w:tc>
          <w:tcPr>
            <w:tcW w:w="6411" w:type="dxa"/>
          </w:tcPr>
          <w:p w:rsidR="004013F0" w:rsidRPr="0016318F" w:rsidRDefault="00C572D1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Reprendre la rédaction de l’article comme c’est le cas au niveau de l’article 113 du LPF concernant le défaut des déclarations annuelles de revenu.</w:t>
            </w:r>
          </w:p>
        </w:tc>
      </w:tr>
      <w:tr w:rsidR="004013F0" w:rsidRPr="0016318F" w:rsidTr="008E07E1">
        <w:trPr>
          <w:trHeight w:val="361"/>
        </w:trPr>
        <w:tc>
          <w:tcPr>
            <w:tcW w:w="2177" w:type="dxa"/>
          </w:tcPr>
          <w:p w:rsidR="004013F0" w:rsidRPr="0016318F" w:rsidRDefault="004013F0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 xml:space="preserve">N° de l’article </w:t>
            </w:r>
            <w:r w:rsidR="0016318F" w:rsidRPr="0016318F">
              <w:rPr>
                <w:rFonts w:ascii="Tahoma" w:hAnsi="Tahoma" w:cs="Tahoma"/>
                <w:b/>
                <w:sz w:val="24"/>
                <w:szCs w:val="24"/>
              </w:rPr>
              <w:t>121 du LPF</w:t>
            </w:r>
          </w:p>
        </w:tc>
        <w:tc>
          <w:tcPr>
            <w:tcW w:w="6411" w:type="dxa"/>
          </w:tcPr>
          <w:p w:rsidR="00AA1DE5" w:rsidRPr="0016318F" w:rsidRDefault="00AA1DE5" w:rsidP="0016318F">
            <w:pPr>
              <w:tabs>
                <w:tab w:val="left" w:pos="0"/>
                <w:tab w:val="left" w:pos="142"/>
              </w:tabs>
              <w:spacing w:before="216" w:line="276" w:lineRule="auto"/>
              <w:ind w:left="0"/>
              <w:jc w:val="both"/>
              <w:rPr>
                <w:rFonts w:ascii="Tahoma" w:hAnsi="Tahoma" w:cs="Tahoma"/>
                <w:b/>
                <w:i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 xml:space="preserve">Le défaut de déclaration soit pour absence de base taxable en toute matière fiscale, soit pour </w:t>
            </w:r>
            <w:r w:rsidRPr="0016318F">
              <w:rPr>
                <w:rFonts w:ascii="Tahoma" w:hAnsi="Tahoma" w:cs="Tahoma"/>
                <w:b/>
                <w:i/>
                <w:spacing w:val="-3"/>
                <w:sz w:val="24"/>
                <w:szCs w:val="24"/>
              </w:rPr>
              <w:t xml:space="preserve">TVA créditrice, est sanctionné par une amende de cinquante mille (50 000) francs CFA sauf </w:t>
            </w: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>dispositions contraires.</w:t>
            </w:r>
          </w:p>
          <w:p w:rsidR="00AA1DE5" w:rsidRPr="0016318F" w:rsidRDefault="00AA1DE5" w:rsidP="0016318F">
            <w:pPr>
              <w:tabs>
                <w:tab w:val="left" w:pos="0"/>
                <w:tab w:val="left" w:pos="142"/>
              </w:tabs>
              <w:spacing w:before="288" w:line="276" w:lineRule="auto"/>
              <w:ind w:left="0"/>
              <w:jc w:val="both"/>
              <w:rPr>
                <w:rFonts w:ascii="Tahoma" w:hAnsi="Tahoma" w:cs="Tahoma"/>
                <w:b/>
                <w:i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>l'Administration fiscale peut adresser par pli recommandé avec avis de réception, une mise en demeure d'avoir à fournir les documents susmentionnés dans un délai de quinze (15) jours.</w:t>
            </w:r>
          </w:p>
          <w:p w:rsidR="00AA1DE5" w:rsidRPr="0016318F" w:rsidRDefault="00AA1DE5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b/>
                <w:i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1"/>
                <w:sz w:val="24"/>
                <w:szCs w:val="24"/>
              </w:rPr>
              <w:t xml:space="preserve">Si la régularisation intervient dans le délai, l'amende est majorée de 10% des sommes dues. </w:t>
            </w: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>Au-delà, la majoration est de 20%.</w:t>
            </w:r>
          </w:p>
          <w:p w:rsidR="00AA1DE5" w:rsidRPr="0016318F" w:rsidRDefault="00AA1DE5" w:rsidP="0016318F">
            <w:pPr>
              <w:tabs>
                <w:tab w:val="left" w:pos="0"/>
                <w:tab w:val="left" w:pos="142"/>
              </w:tabs>
              <w:spacing w:before="216" w:line="276" w:lineRule="auto"/>
              <w:ind w:left="0"/>
              <w:jc w:val="both"/>
              <w:rPr>
                <w:rFonts w:ascii="Tahoma" w:hAnsi="Tahoma" w:cs="Tahoma"/>
                <w:b/>
                <w:i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-1"/>
                <w:sz w:val="24"/>
                <w:szCs w:val="24"/>
              </w:rPr>
              <w:t>En cas de taxation d'office pour défaut de déclaration dans les délais prescrits</w:t>
            </w:r>
            <w:r w:rsidR="00C572D1"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>, la majoration est de 30%</w:t>
            </w:r>
          </w:p>
          <w:p w:rsidR="004013F0" w:rsidRPr="0016318F" w:rsidRDefault="00C572D1" w:rsidP="0016318F">
            <w:pPr>
              <w:tabs>
                <w:tab w:val="left" w:pos="0"/>
                <w:tab w:val="left" w:pos="142"/>
              </w:tabs>
              <w:spacing w:before="144" w:line="276" w:lineRule="auto"/>
              <w:ind w:left="0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spacing w:val="6"/>
                <w:sz w:val="24"/>
                <w:szCs w:val="24"/>
              </w:rPr>
              <w:t xml:space="preserve">Dans le cas d'évaluation d'office des bases d'imposition suite à une dissimulation, les </w:t>
            </w:r>
            <w:r w:rsidRPr="0016318F">
              <w:rPr>
                <w:rFonts w:ascii="Tahoma" w:hAnsi="Tahoma" w:cs="Tahoma"/>
                <w:sz w:val="24"/>
                <w:szCs w:val="24"/>
              </w:rPr>
              <w:t>suppléments de droits mis à la charge du contribuable sont assortis d'une majoration de 80%.</w:t>
            </w:r>
          </w:p>
        </w:tc>
      </w:tr>
      <w:tr w:rsidR="00C572D1" w:rsidRPr="0016318F" w:rsidTr="0072532B">
        <w:trPr>
          <w:trHeight w:val="742"/>
        </w:trPr>
        <w:tc>
          <w:tcPr>
            <w:tcW w:w="2177" w:type="dxa"/>
          </w:tcPr>
          <w:p w:rsidR="00C572D1" w:rsidRPr="0016318F" w:rsidRDefault="00C572D1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lastRenderedPageBreak/>
              <w:t>Article 113 du LPF</w:t>
            </w:r>
          </w:p>
        </w:tc>
        <w:tc>
          <w:tcPr>
            <w:tcW w:w="6411" w:type="dxa"/>
          </w:tcPr>
          <w:p w:rsidR="00C572D1" w:rsidRPr="0016318F" w:rsidRDefault="00C572D1" w:rsidP="0016318F">
            <w:pPr>
              <w:tabs>
                <w:tab w:val="left" w:pos="0"/>
                <w:tab w:val="left" w:pos="142"/>
              </w:tabs>
              <w:spacing w:after="0"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 xml:space="preserve">(……)  Le défaut de déclaration soit pour absence de base taxable en toute matière fiscale, soit pour </w:t>
            </w:r>
            <w:r w:rsidRPr="0016318F">
              <w:rPr>
                <w:rFonts w:ascii="Tahoma" w:hAnsi="Tahoma" w:cs="Tahoma"/>
                <w:spacing w:val="-3"/>
                <w:sz w:val="24"/>
                <w:szCs w:val="24"/>
              </w:rPr>
              <w:t xml:space="preserve">TVA créditrice, est sanctionné par une amende de cinquante mille (50 000) francs CFA sauf </w:t>
            </w:r>
            <w:r w:rsidRPr="0016318F">
              <w:rPr>
                <w:rFonts w:ascii="Tahoma" w:hAnsi="Tahoma" w:cs="Tahoma"/>
                <w:sz w:val="24"/>
                <w:szCs w:val="24"/>
              </w:rPr>
              <w:t>dispositions contraires.</w:t>
            </w:r>
          </w:p>
        </w:tc>
      </w:tr>
      <w:tr w:rsidR="00C572D1" w:rsidRPr="0016318F" w:rsidTr="0072532B">
        <w:trPr>
          <w:trHeight w:val="761"/>
        </w:trPr>
        <w:tc>
          <w:tcPr>
            <w:tcW w:w="2177" w:type="dxa"/>
          </w:tcPr>
          <w:p w:rsidR="00C572D1" w:rsidRPr="0016318F" w:rsidRDefault="0016318F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N° de l’article 113 du LPF</w:t>
            </w:r>
          </w:p>
        </w:tc>
        <w:tc>
          <w:tcPr>
            <w:tcW w:w="6411" w:type="dxa"/>
          </w:tcPr>
          <w:p w:rsidR="00C572D1" w:rsidRPr="0016318F" w:rsidRDefault="00C572D1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Difficultés rencontrées</w:t>
            </w:r>
          </w:p>
          <w:p w:rsidR="00C572D1" w:rsidRPr="0016318F" w:rsidRDefault="00C572D1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 xml:space="preserve">L’article 113 est celle qui parle des dépôts des Etats financiers. Pour des raisons de cohérence au niveau de l’article 121 ci-dessus modifié, le dernier paragraphe de cet article doit être supprimé </w:t>
            </w:r>
          </w:p>
        </w:tc>
      </w:tr>
      <w:tr w:rsidR="00C572D1" w:rsidRPr="0016318F" w:rsidTr="0072532B">
        <w:trPr>
          <w:trHeight w:val="761"/>
        </w:trPr>
        <w:tc>
          <w:tcPr>
            <w:tcW w:w="2177" w:type="dxa"/>
          </w:tcPr>
          <w:p w:rsidR="00C572D1" w:rsidRPr="0016318F" w:rsidRDefault="00C572D1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Exposé des motifs</w:t>
            </w:r>
          </w:p>
        </w:tc>
        <w:tc>
          <w:tcPr>
            <w:tcW w:w="6411" w:type="dxa"/>
          </w:tcPr>
          <w:p w:rsidR="00C572D1" w:rsidRPr="0016318F" w:rsidRDefault="00C572D1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déplacé le contenu du dernier paragraphe au niveau de l’article 121 pour des raisons de cohérence.</w:t>
            </w:r>
          </w:p>
        </w:tc>
      </w:tr>
      <w:tr w:rsidR="00C572D1" w:rsidRPr="0016318F" w:rsidTr="0072532B">
        <w:trPr>
          <w:trHeight w:val="361"/>
        </w:trPr>
        <w:tc>
          <w:tcPr>
            <w:tcW w:w="2177" w:type="dxa"/>
          </w:tcPr>
          <w:p w:rsidR="00C572D1" w:rsidRPr="0016318F" w:rsidRDefault="0016318F" w:rsidP="0016318F">
            <w:pPr>
              <w:pStyle w:val="Sansinterligne"/>
              <w:numPr>
                <w:ilvl w:val="0"/>
                <w:numId w:val="9"/>
              </w:numPr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LPF</w:t>
            </w:r>
          </w:p>
        </w:tc>
        <w:tc>
          <w:tcPr>
            <w:tcW w:w="6411" w:type="dxa"/>
          </w:tcPr>
          <w:p w:rsidR="0016318F" w:rsidRPr="0016318F" w:rsidRDefault="0016318F" w:rsidP="0016318F">
            <w:pPr>
              <w:tabs>
                <w:tab w:val="left" w:pos="0"/>
                <w:tab w:val="left" w:pos="142"/>
              </w:tabs>
              <w:spacing w:before="252" w:line="276" w:lineRule="auto"/>
              <w:ind w:left="0"/>
              <w:jc w:val="both"/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t>Le défaut de la déclaration des résultats dans les délais prescrits est sanctionné par une amende de :</w:t>
            </w:r>
          </w:p>
          <w:p w:rsidR="0016318F" w:rsidRPr="0016318F" w:rsidRDefault="0016318F" w:rsidP="0016318F">
            <w:pPr>
              <w:pStyle w:val="Paragraphedeliste"/>
              <w:numPr>
                <w:ilvl w:val="0"/>
                <w:numId w:val="8"/>
              </w:numPr>
              <w:tabs>
                <w:tab w:val="left" w:pos="0"/>
                <w:tab w:val="left" w:pos="142"/>
              </w:tabs>
              <w:spacing w:before="252" w:line="276" w:lineRule="auto"/>
              <w:jc w:val="both"/>
              <w:rPr>
                <w:rFonts w:ascii="Tahoma" w:eastAsiaTheme="minorEastAsia" w:hAnsi="Tahoma" w:cs="Tahoma"/>
                <w:sz w:val="24"/>
                <w:szCs w:val="24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</w:rPr>
              <w:t>cent cinquante mille (150 000) francs CFA pour les contribuables relevant du système normal de comptabilité ;</w:t>
            </w:r>
          </w:p>
          <w:p w:rsidR="0016318F" w:rsidRPr="0016318F" w:rsidRDefault="0016318F" w:rsidP="0016318F">
            <w:pPr>
              <w:pStyle w:val="Paragraphedeliste"/>
              <w:numPr>
                <w:ilvl w:val="0"/>
                <w:numId w:val="8"/>
              </w:numPr>
              <w:tabs>
                <w:tab w:val="left" w:pos="0"/>
                <w:tab w:val="left" w:pos="142"/>
              </w:tabs>
              <w:spacing w:before="252" w:line="276" w:lineRule="auto"/>
              <w:jc w:val="both"/>
              <w:rPr>
                <w:rFonts w:ascii="Tahoma" w:eastAsiaTheme="minorEastAsia" w:hAnsi="Tahoma" w:cs="Tahoma"/>
                <w:sz w:val="24"/>
                <w:szCs w:val="24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  <w:lang w:val="fr-FR"/>
              </w:rPr>
              <w:t>cent mille (100 000) francs CFA pour ceux relevant du système minimal de trésorerie dont le chiffre d'affaires est supérieur à trente millions (30 000 000) de francs CFA ;</w:t>
            </w:r>
          </w:p>
          <w:p w:rsidR="0016318F" w:rsidRPr="0016318F" w:rsidRDefault="0016318F" w:rsidP="0016318F">
            <w:pPr>
              <w:pStyle w:val="Paragraphedeliste"/>
              <w:numPr>
                <w:ilvl w:val="0"/>
                <w:numId w:val="8"/>
              </w:numPr>
              <w:tabs>
                <w:tab w:val="left" w:pos="0"/>
                <w:tab w:val="left" w:pos="142"/>
              </w:tabs>
              <w:spacing w:before="252" w:line="276" w:lineRule="auto"/>
              <w:jc w:val="both"/>
              <w:rPr>
                <w:rFonts w:ascii="Tahoma" w:eastAsiaTheme="minorEastAsia" w:hAnsi="Tahoma" w:cs="Tahoma"/>
                <w:sz w:val="24"/>
                <w:szCs w:val="24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</w:rPr>
              <w:t xml:space="preserve"> </w:t>
            </w:r>
            <w:r w:rsidRPr="0016318F">
              <w:rPr>
                <w:rFonts w:ascii="Tahoma" w:eastAsiaTheme="minorEastAsia" w:hAnsi="Tahoma" w:cs="Tahoma"/>
                <w:sz w:val="24"/>
                <w:szCs w:val="24"/>
                <w:lang w:val="fr-FR"/>
              </w:rPr>
              <w:t>vingt-cinq mille (25 000) francs CFA en ce qui concerne le système minimal de trésorerie dont le chiffre d'affaires est inférieur à trente millions (30 000 000) de francs CFA.</w:t>
            </w:r>
          </w:p>
          <w:p w:rsidR="0016318F" w:rsidRPr="0016318F" w:rsidRDefault="0016318F" w:rsidP="0016318F">
            <w:pPr>
              <w:tabs>
                <w:tab w:val="left" w:pos="0"/>
                <w:tab w:val="left" w:pos="142"/>
              </w:tabs>
              <w:spacing w:before="288" w:line="276" w:lineRule="auto"/>
              <w:jc w:val="both"/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t>2- l'Administration fiscale peut adresser par pli recommandé avec avis de réception, une mise en demeure d'avoir à fournir les documents susmentionnés dans un délai de quinze (15) jours.</w:t>
            </w:r>
          </w:p>
          <w:p w:rsidR="0016318F" w:rsidRPr="0016318F" w:rsidRDefault="0016318F" w:rsidP="0016318F">
            <w:pPr>
              <w:tabs>
                <w:tab w:val="left" w:pos="0"/>
                <w:tab w:val="left" w:pos="142"/>
              </w:tabs>
              <w:spacing w:before="180" w:line="276" w:lineRule="auto"/>
              <w:jc w:val="both"/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t>Si la régularisation intervient dans le délai, l'amende est majorée de 10% des sommes dues. Au-delà, la majoration est de 20%.</w:t>
            </w:r>
          </w:p>
          <w:p w:rsidR="0016318F" w:rsidRPr="0016318F" w:rsidRDefault="0016318F" w:rsidP="0016318F">
            <w:pPr>
              <w:tabs>
                <w:tab w:val="left" w:pos="0"/>
                <w:tab w:val="left" w:pos="142"/>
              </w:tabs>
              <w:spacing w:before="180" w:line="276" w:lineRule="auto"/>
              <w:jc w:val="both"/>
              <w:rPr>
                <w:rFonts w:ascii="Tahoma" w:eastAsiaTheme="minorEastAsia" w:hAnsi="Tahoma" w:cs="Tahoma"/>
                <w:b/>
                <w:i/>
                <w:sz w:val="24"/>
                <w:szCs w:val="24"/>
                <w:lang w:eastAsia="fr-FR"/>
              </w:rPr>
            </w:pPr>
            <w:r w:rsidRPr="0016318F">
              <w:rPr>
                <w:rFonts w:ascii="Tahoma" w:eastAsiaTheme="minorEastAsia" w:hAnsi="Tahoma" w:cs="Tahoma"/>
                <w:b/>
                <w:i/>
                <w:sz w:val="24"/>
                <w:szCs w:val="24"/>
                <w:lang w:eastAsia="fr-FR"/>
              </w:rPr>
              <w:t>(Suite supprimé)</w:t>
            </w:r>
          </w:p>
          <w:p w:rsidR="00C572D1" w:rsidRPr="0016318F" w:rsidRDefault="00C572D1" w:rsidP="0016318F">
            <w:pPr>
              <w:tabs>
                <w:tab w:val="left" w:pos="0"/>
                <w:tab w:val="left" w:pos="142"/>
              </w:tabs>
              <w:spacing w:before="144" w:line="276" w:lineRule="auto"/>
              <w:ind w:left="0"/>
              <w:jc w:val="both"/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</w:pPr>
          </w:p>
        </w:tc>
      </w:tr>
    </w:tbl>
    <w:p w:rsidR="004013F0" w:rsidRPr="0016318F" w:rsidRDefault="004013F0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sectPr w:rsidR="004013F0" w:rsidRPr="0016318F" w:rsidSect="0066152D">
      <w:pgSz w:w="11906" w:h="16838"/>
      <w:pgMar w:top="1417" w:right="1274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IDFont+F1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018C0"/>
    <w:multiLevelType w:val="hybridMultilevel"/>
    <w:tmpl w:val="F0E66CEA"/>
    <w:lvl w:ilvl="0" w:tplc="D0D2C3FA">
      <w:start w:val="98"/>
      <w:numFmt w:val="bullet"/>
      <w:lvlText w:val="-"/>
      <w:lvlJc w:val="left"/>
      <w:pPr>
        <w:ind w:left="720" w:hanging="360"/>
      </w:pPr>
      <w:rPr>
        <w:rFonts w:ascii="Arial Narrow" w:eastAsiaTheme="minorEastAsia" w:hAnsi="Arial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F23A5"/>
    <w:multiLevelType w:val="multilevel"/>
    <w:tmpl w:val="652CD032"/>
    <w:lvl w:ilvl="0">
      <w:start w:val="1"/>
      <w:numFmt w:val="bullet"/>
      <w:lvlText w:val="-"/>
      <w:lvlJc w:val="left"/>
      <w:pPr>
        <w:tabs>
          <w:tab w:val="decimal" w:pos="432"/>
        </w:tabs>
        <w:ind w:left="720"/>
      </w:pPr>
      <w:rPr>
        <w:rFonts w:ascii="Symbol" w:hAnsi="Symbol"/>
        <w:strike w:val="0"/>
        <w:color w:val="000000"/>
        <w:spacing w:val="0"/>
        <w:w w:val="100"/>
        <w:sz w:val="24"/>
        <w:vertAlign w:val="baseline"/>
        <w:lang w:val="fr-F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5F62E50"/>
    <w:multiLevelType w:val="hybridMultilevel"/>
    <w:tmpl w:val="8F96DF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0240E"/>
    <w:multiLevelType w:val="hybridMultilevel"/>
    <w:tmpl w:val="97145274"/>
    <w:lvl w:ilvl="0" w:tplc="8A7E6644">
      <w:start w:val="3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431FB0"/>
    <w:multiLevelType w:val="hybridMultilevel"/>
    <w:tmpl w:val="0150D512"/>
    <w:lvl w:ilvl="0" w:tplc="0C08F4A4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6F6F16"/>
    <w:multiLevelType w:val="hybridMultilevel"/>
    <w:tmpl w:val="01CC4BD0"/>
    <w:lvl w:ilvl="0" w:tplc="01E87B12">
      <w:start w:val="113"/>
      <w:numFmt w:val="decimal"/>
      <w:lvlText w:val="%1"/>
      <w:lvlJc w:val="left"/>
      <w:pPr>
        <w:ind w:left="828" w:hanging="46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407822"/>
    <w:multiLevelType w:val="hybridMultilevel"/>
    <w:tmpl w:val="01DA4F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1D0704"/>
    <w:multiLevelType w:val="hybridMultilevel"/>
    <w:tmpl w:val="FC7A86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4C4EB0"/>
    <w:multiLevelType w:val="hybridMultilevel"/>
    <w:tmpl w:val="0CA0BA6E"/>
    <w:lvl w:ilvl="0" w:tplc="E76A4A84">
      <w:start w:val="98"/>
      <w:numFmt w:val="bullet"/>
      <w:lvlText w:val="-"/>
      <w:lvlJc w:val="left"/>
      <w:pPr>
        <w:ind w:left="720" w:hanging="360"/>
      </w:pPr>
      <w:rPr>
        <w:rFonts w:ascii="Arial Narrow" w:eastAsiaTheme="minorEastAsia" w:hAnsi="Arial Narrow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6"/>
  </w:num>
  <w:num w:numId="5">
    <w:abstractNumId w:val="0"/>
  </w:num>
  <w:num w:numId="6">
    <w:abstractNumId w:val="8"/>
  </w:num>
  <w:num w:numId="7">
    <w:abstractNumId w:val="3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45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26C"/>
    <w:rsid w:val="00015856"/>
    <w:rsid w:val="00021E2C"/>
    <w:rsid w:val="0002236D"/>
    <w:rsid w:val="000243A6"/>
    <w:rsid w:val="0003181C"/>
    <w:rsid w:val="000C0CAE"/>
    <w:rsid w:val="000C34DA"/>
    <w:rsid w:val="00137376"/>
    <w:rsid w:val="00154FD0"/>
    <w:rsid w:val="0016318F"/>
    <w:rsid w:val="001C07EB"/>
    <w:rsid w:val="001D7164"/>
    <w:rsid w:val="00224EAD"/>
    <w:rsid w:val="0027017A"/>
    <w:rsid w:val="002D0652"/>
    <w:rsid w:val="003167BA"/>
    <w:rsid w:val="00353076"/>
    <w:rsid w:val="00393C70"/>
    <w:rsid w:val="003E28FB"/>
    <w:rsid w:val="003E292F"/>
    <w:rsid w:val="004013F0"/>
    <w:rsid w:val="004752CB"/>
    <w:rsid w:val="00495FB5"/>
    <w:rsid w:val="004B0368"/>
    <w:rsid w:val="004D38C1"/>
    <w:rsid w:val="004F6B43"/>
    <w:rsid w:val="005026C7"/>
    <w:rsid w:val="00564622"/>
    <w:rsid w:val="00597CA8"/>
    <w:rsid w:val="005F568B"/>
    <w:rsid w:val="00603AC7"/>
    <w:rsid w:val="0065390D"/>
    <w:rsid w:val="0066152D"/>
    <w:rsid w:val="00667D47"/>
    <w:rsid w:val="006E3CE0"/>
    <w:rsid w:val="0071421F"/>
    <w:rsid w:val="007345DC"/>
    <w:rsid w:val="007560D3"/>
    <w:rsid w:val="007712C5"/>
    <w:rsid w:val="007759F6"/>
    <w:rsid w:val="0078654B"/>
    <w:rsid w:val="007A1098"/>
    <w:rsid w:val="007E7AC6"/>
    <w:rsid w:val="007F026C"/>
    <w:rsid w:val="00806A12"/>
    <w:rsid w:val="008251F8"/>
    <w:rsid w:val="0085506B"/>
    <w:rsid w:val="00856575"/>
    <w:rsid w:val="008A0324"/>
    <w:rsid w:val="008A1766"/>
    <w:rsid w:val="008E6C6F"/>
    <w:rsid w:val="009359AB"/>
    <w:rsid w:val="009A16D9"/>
    <w:rsid w:val="009C23C4"/>
    <w:rsid w:val="00A20765"/>
    <w:rsid w:val="00A263B2"/>
    <w:rsid w:val="00A855B4"/>
    <w:rsid w:val="00AA1DE5"/>
    <w:rsid w:val="00AB7A0A"/>
    <w:rsid w:val="00AC400C"/>
    <w:rsid w:val="00B30858"/>
    <w:rsid w:val="00B62A50"/>
    <w:rsid w:val="00B82DDA"/>
    <w:rsid w:val="00B841CF"/>
    <w:rsid w:val="00B8537F"/>
    <w:rsid w:val="00B954BE"/>
    <w:rsid w:val="00BE357A"/>
    <w:rsid w:val="00C127FD"/>
    <w:rsid w:val="00C30B62"/>
    <w:rsid w:val="00C572D1"/>
    <w:rsid w:val="00C775A4"/>
    <w:rsid w:val="00CA5292"/>
    <w:rsid w:val="00CC41E4"/>
    <w:rsid w:val="00D4432F"/>
    <w:rsid w:val="00D62092"/>
    <w:rsid w:val="00D95FC3"/>
    <w:rsid w:val="00DE284D"/>
    <w:rsid w:val="00DF7BFC"/>
    <w:rsid w:val="00E17A4A"/>
    <w:rsid w:val="00E21847"/>
    <w:rsid w:val="00EA1FBC"/>
    <w:rsid w:val="00ED7825"/>
    <w:rsid w:val="00EE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7F709"/>
  <w15:chartTrackingRefBased/>
  <w15:docId w15:val="{C3824F44-059F-4D9C-B145-2D840469C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026C"/>
    <w:pPr>
      <w:spacing w:after="200" w:line="360" w:lineRule="auto"/>
      <w:ind w:left="301"/>
      <w:jc w:val="center"/>
    </w:pPr>
  </w:style>
  <w:style w:type="paragraph" w:styleId="Titre1">
    <w:name w:val="heading 1"/>
    <w:basedOn w:val="Normal"/>
    <w:next w:val="Normal"/>
    <w:link w:val="Titre1Car"/>
    <w:uiPriority w:val="9"/>
    <w:qFormat/>
    <w:rsid w:val="007F02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02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ansinterligne">
    <w:name w:val="No Spacing"/>
    <w:link w:val="SansinterligneCar"/>
    <w:uiPriority w:val="1"/>
    <w:qFormat/>
    <w:rsid w:val="007F026C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7F026C"/>
    <w:rPr>
      <w:rFonts w:eastAsiaTheme="minorEastAsia"/>
      <w:lang w:eastAsia="fr-FR"/>
    </w:rPr>
  </w:style>
  <w:style w:type="paragraph" w:styleId="En-tte">
    <w:name w:val="header"/>
    <w:basedOn w:val="Normal"/>
    <w:link w:val="En-tteCar"/>
    <w:uiPriority w:val="99"/>
    <w:rsid w:val="007F026C"/>
    <w:pPr>
      <w:tabs>
        <w:tab w:val="center" w:pos="4536"/>
        <w:tab w:val="right" w:pos="9072"/>
      </w:tabs>
      <w:spacing w:after="0" w:line="240" w:lineRule="auto"/>
      <w:ind w:left="0"/>
      <w:jc w:val="left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En-tteCar">
    <w:name w:val="En-tête Car"/>
    <w:basedOn w:val="Policepardfaut"/>
    <w:link w:val="En-tte"/>
    <w:uiPriority w:val="99"/>
    <w:rsid w:val="007F026C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aragraphedeliste">
    <w:name w:val="List Paragraph"/>
    <w:aliases w:val="Bullets,References,List Paragraph (numbered (a)),Numbered List Paragraph"/>
    <w:basedOn w:val="Normal"/>
    <w:link w:val="ParagraphedelisteCar"/>
    <w:uiPriority w:val="34"/>
    <w:qFormat/>
    <w:rsid w:val="00ED7825"/>
    <w:pPr>
      <w:spacing w:after="160" w:line="259" w:lineRule="auto"/>
      <w:ind w:left="720"/>
      <w:contextualSpacing/>
      <w:jc w:val="left"/>
    </w:pPr>
    <w:rPr>
      <w:rFonts w:ascii="Calibri" w:eastAsia="Times New Roman" w:hAnsi="Calibri" w:cs="Times New Roman"/>
      <w:lang w:val="fr-BE" w:eastAsia="fr-FR"/>
    </w:rPr>
  </w:style>
  <w:style w:type="character" w:customStyle="1" w:styleId="ParagraphedelisteCar">
    <w:name w:val="Paragraphe de liste Car"/>
    <w:aliases w:val="Bullets Car,References Car,List Paragraph (numbered (a)) Car,Numbered List Paragraph Car"/>
    <w:link w:val="Paragraphedeliste"/>
    <w:uiPriority w:val="34"/>
    <w:locked/>
    <w:rsid w:val="00ED7825"/>
    <w:rPr>
      <w:rFonts w:ascii="Calibri" w:eastAsia="Times New Roman" w:hAnsi="Calibri" w:cs="Times New Roman"/>
      <w:lang w:val="fr-BE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17A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17A4A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756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A855B4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A855B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A855B4"/>
    <w:rPr>
      <w:color w:val="954F72" w:themeColor="followedHyperlink"/>
      <w:u w:val="single"/>
    </w:rPr>
  </w:style>
  <w:style w:type="character" w:customStyle="1" w:styleId="fontstyle01">
    <w:name w:val="fontstyle01"/>
    <w:basedOn w:val="Policepardfaut"/>
    <w:rsid w:val="00DE284D"/>
    <w:rPr>
      <w:rFonts w:ascii="CIDFont+F1" w:hAnsi="CIDFont+F1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1959</Words>
  <Characters>10777</Characters>
  <Application>Microsoft Office Word</Application>
  <DocSecurity>0</DocSecurity>
  <Lines>89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OTR</Company>
  <LinksUpToDate>false</LinksUpToDate>
  <CharactersWithSpaces>12711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Pidénam KADJA</dc:creator>
  <cp:keywords/>
  <dc:description/>
  <cp:lastModifiedBy>Dodema BITENIWE</cp:lastModifiedBy>
  <cp:revision>2</cp:revision>
  <cp:lastPrinted>2021-06-04T17:03:00Z</cp:lastPrinted>
  <dcterms:created xsi:type="dcterms:W3CDTF">2022-08-03T08:03:00Z</dcterms:created>
  <dcterms:modified xsi:type="dcterms:W3CDTF">2022-08-03T08:03:00Z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422789682</vt:i4>
  </property>
</Properties>
</file>