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152D" w:rsidRPr="0016318F" w:rsidRDefault="0066152D" w:rsidP="0016318F">
      <w:pPr>
        <w:pStyle w:val="Sansinterligne"/>
        <w:spacing w:line="276" w:lineRule="auto"/>
        <w:jc w:val="both"/>
        <w:rPr>
          <w:rFonts w:ascii="Tahoma" w:hAnsi="Tahoma" w:cs="Tahoma"/>
          <w:b/>
          <w:sz w:val="24"/>
          <w:szCs w:val="24"/>
          <w:u w:val="single"/>
        </w:rPr>
      </w:pPr>
      <w:bookmarkStart w:id="0" w:name="_GoBack"/>
      <w:bookmarkEnd w:id="0"/>
    </w:p>
    <w:p w:rsidR="004F6B43" w:rsidRPr="0016318F" w:rsidRDefault="004F6B43" w:rsidP="0016318F">
      <w:pPr>
        <w:pStyle w:val="Sansinterligne"/>
        <w:spacing w:line="276" w:lineRule="auto"/>
        <w:jc w:val="both"/>
        <w:rPr>
          <w:rFonts w:ascii="Tahoma" w:hAnsi="Tahoma" w:cs="Tahoma"/>
          <w:b/>
          <w:sz w:val="24"/>
          <w:szCs w:val="24"/>
          <w:u w:val="single"/>
        </w:rPr>
      </w:pPr>
    </w:p>
    <w:p w:rsidR="0066152D" w:rsidRPr="0016318F" w:rsidRDefault="0066152D" w:rsidP="0016318F">
      <w:pPr>
        <w:pStyle w:val="Sansinterligne"/>
        <w:spacing w:line="276" w:lineRule="auto"/>
        <w:rPr>
          <w:rFonts w:ascii="Tahoma" w:hAnsi="Tahoma" w:cs="Tahoma"/>
          <w:b/>
          <w:sz w:val="24"/>
          <w:szCs w:val="24"/>
          <w:u w:val="single"/>
        </w:rPr>
      </w:pPr>
      <w:r w:rsidRPr="0016318F">
        <w:rPr>
          <w:rFonts w:ascii="Tahoma" w:hAnsi="Tahoma" w:cs="Tahoma"/>
          <w:b/>
          <w:sz w:val="24"/>
          <w:szCs w:val="24"/>
        </w:rPr>
        <w:t xml:space="preserve">            </w:t>
      </w:r>
      <w:r w:rsidRPr="0016318F">
        <w:rPr>
          <w:rFonts w:ascii="Tahoma" w:hAnsi="Tahoma" w:cs="Tahoma"/>
          <w:b/>
          <w:sz w:val="24"/>
          <w:szCs w:val="24"/>
          <w:u w:val="single"/>
        </w:rPr>
        <w:t>Canevas de proposition</w:t>
      </w:r>
      <w:r w:rsidR="00015856" w:rsidRPr="0016318F">
        <w:rPr>
          <w:rFonts w:ascii="Tahoma" w:hAnsi="Tahoma" w:cs="Tahoma"/>
          <w:b/>
          <w:sz w:val="24"/>
          <w:szCs w:val="24"/>
          <w:u w:val="single"/>
        </w:rPr>
        <w:t>s de</w:t>
      </w:r>
      <w:r w:rsidRPr="0016318F">
        <w:rPr>
          <w:rFonts w:ascii="Tahoma" w:hAnsi="Tahoma" w:cs="Tahoma"/>
          <w:b/>
          <w:sz w:val="24"/>
          <w:szCs w:val="24"/>
          <w:u w:val="single"/>
        </w:rPr>
        <w:t xml:space="preserve"> modifications</w:t>
      </w:r>
      <w:r w:rsidR="00CA5292" w:rsidRPr="0016318F">
        <w:rPr>
          <w:rFonts w:ascii="Tahoma" w:hAnsi="Tahoma" w:cs="Tahoma"/>
          <w:b/>
          <w:sz w:val="24"/>
          <w:szCs w:val="24"/>
          <w:u w:val="single"/>
        </w:rPr>
        <w:t xml:space="preserve"> du CGI ou</w:t>
      </w:r>
      <w:r w:rsidRPr="0016318F">
        <w:rPr>
          <w:rFonts w:ascii="Tahoma" w:hAnsi="Tahoma" w:cs="Tahoma"/>
          <w:b/>
          <w:sz w:val="24"/>
          <w:szCs w:val="24"/>
          <w:u w:val="single"/>
        </w:rPr>
        <w:t xml:space="preserve"> du LPF</w:t>
      </w:r>
    </w:p>
    <w:p w:rsidR="007F026C" w:rsidRPr="0016318F" w:rsidRDefault="007F026C" w:rsidP="0016318F">
      <w:pPr>
        <w:pStyle w:val="Sansinterligne"/>
        <w:spacing w:line="276" w:lineRule="auto"/>
        <w:jc w:val="both"/>
        <w:rPr>
          <w:rFonts w:ascii="Tahoma" w:hAnsi="Tahoma" w:cs="Tahoma"/>
          <w:b/>
          <w:sz w:val="24"/>
          <w:szCs w:val="24"/>
          <w:u w:val="single"/>
        </w:rPr>
      </w:pPr>
    </w:p>
    <w:tbl>
      <w:tblPr>
        <w:tblStyle w:val="Grilledutableau"/>
        <w:tblpPr w:leftFromText="141" w:rightFromText="141" w:vertAnchor="text" w:horzAnchor="margin" w:tblpXSpec="center" w:tblpY="264"/>
        <w:tblW w:w="0" w:type="auto"/>
        <w:tblLook w:val="04A0" w:firstRow="1" w:lastRow="0" w:firstColumn="1" w:lastColumn="0" w:noHBand="0" w:noVBand="1"/>
      </w:tblPr>
      <w:tblGrid>
        <w:gridCol w:w="2177"/>
        <w:gridCol w:w="6411"/>
      </w:tblGrid>
      <w:tr w:rsidR="0066152D" w:rsidRPr="0016318F" w:rsidTr="0066152D">
        <w:trPr>
          <w:trHeight w:val="742"/>
        </w:trPr>
        <w:tc>
          <w:tcPr>
            <w:tcW w:w="2177" w:type="dxa"/>
          </w:tcPr>
          <w:p w:rsidR="0066152D" w:rsidRPr="0016318F" w:rsidRDefault="0078654B" w:rsidP="0016318F">
            <w:pPr>
              <w:pStyle w:val="Sansinterligne"/>
              <w:spacing w:line="276" w:lineRule="auto"/>
              <w:jc w:val="both"/>
              <w:rPr>
                <w:rFonts w:ascii="Tahoma" w:hAnsi="Tahoma" w:cs="Tahoma"/>
                <w:b/>
                <w:sz w:val="24"/>
                <w:szCs w:val="24"/>
              </w:rPr>
            </w:pPr>
            <w:r w:rsidRPr="0016318F">
              <w:rPr>
                <w:rFonts w:ascii="Tahoma" w:hAnsi="Tahoma" w:cs="Tahoma"/>
                <w:b/>
                <w:sz w:val="24"/>
                <w:szCs w:val="24"/>
              </w:rPr>
              <w:t xml:space="preserve">Article </w:t>
            </w:r>
            <w:r w:rsidR="00DE284D" w:rsidRPr="0016318F">
              <w:rPr>
                <w:rFonts w:ascii="Tahoma" w:hAnsi="Tahoma" w:cs="Tahoma"/>
                <w:b/>
                <w:sz w:val="24"/>
                <w:szCs w:val="24"/>
              </w:rPr>
              <w:t>103 du CGI</w:t>
            </w:r>
          </w:p>
        </w:tc>
        <w:tc>
          <w:tcPr>
            <w:tcW w:w="6411" w:type="dxa"/>
          </w:tcPr>
          <w:p w:rsidR="0066152D" w:rsidRPr="0016318F" w:rsidRDefault="00DE284D" w:rsidP="0016318F">
            <w:pPr>
              <w:tabs>
                <w:tab w:val="left" w:pos="0"/>
                <w:tab w:val="left" w:pos="301"/>
              </w:tabs>
              <w:spacing w:before="180" w:line="276" w:lineRule="auto"/>
              <w:jc w:val="both"/>
              <w:rPr>
                <w:rFonts w:ascii="Tahoma" w:eastAsiaTheme="minorEastAsia" w:hAnsi="Tahoma" w:cs="Tahoma"/>
                <w:sz w:val="24"/>
                <w:szCs w:val="24"/>
                <w:lang w:eastAsia="fr-FR"/>
              </w:rPr>
            </w:pPr>
            <w:r w:rsidRPr="0016318F">
              <w:rPr>
                <w:rFonts w:ascii="Tahoma" w:eastAsiaTheme="minorEastAsia" w:hAnsi="Tahoma" w:cs="Tahoma"/>
                <w:sz w:val="24"/>
                <w:szCs w:val="24"/>
                <w:lang w:eastAsia="fr-FR"/>
              </w:rPr>
              <w:t>Ne sont pas déductibles :</w:t>
            </w:r>
          </w:p>
          <w:p w:rsidR="00DE284D" w:rsidRPr="0016318F" w:rsidRDefault="00DE284D" w:rsidP="0016318F">
            <w:pPr>
              <w:tabs>
                <w:tab w:val="left" w:pos="0"/>
                <w:tab w:val="left" w:pos="142"/>
              </w:tabs>
              <w:spacing w:before="180" w:line="276" w:lineRule="auto"/>
              <w:jc w:val="left"/>
              <w:rPr>
                <w:rFonts w:ascii="Tahoma" w:eastAsiaTheme="minorEastAsia" w:hAnsi="Tahoma" w:cs="Tahoma"/>
                <w:sz w:val="24"/>
                <w:szCs w:val="24"/>
                <w:lang w:eastAsia="fr-FR"/>
              </w:rPr>
            </w:pPr>
            <w:r w:rsidRPr="0016318F">
              <w:rPr>
                <w:rFonts w:ascii="Tahoma" w:eastAsiaTheme="minorEastAsia" w:hAnsi="Tahoma" w:cs="Tahoma"/>
                <w:sz w:val="24"/>
                <w:szCs w:val="24"/>
                <w:lang w:eastAsia="fr-FR"/>
              </w:rPr>
              <w:t>les amortissements des voitures de tourisme pour la fraction de un tiers (1/3) correspondant à un usage réputé non professionnel. Cette limite s'applique à l'ensemble des véhicules immatriculés dans la catégorie des voitures particulières ; la fraction de l'amortissement des véhicules de tourisme exclue des charges déductibles par les limitations ci-dessus est néanmoins retenue pour la détermination des plus-values ou moins-values résultant de la vente ultérieure des véhicules ainsi amortis ;</w:t>
            </w:r>
          </w:p>
        </w:tc>
      </w:tr>
      <w:tr w:rsidR="0066152D" w:rsidRPr="0016318F" w:rsidTr="0066152D">
        <w:trPr>
          <w:trHeight w:val="761"/>
        </w:trPr>
        <w:tc>
          <w:tcPr>
            <w:tcW w:w="2177" w:type="dxa"/>
          </w:tcPr>
          <w:p w:rsidR="0066152D" w:rsidRPr="0016318F" w:rsidRDefault="0066152D" w:rsidP="0016318F">
            <w:pPr>
              <w:pStyle w:val="Sansinterligne"/>
              <w:spacing w:line="276" w:lineRule="auto"/>
              <w:jc w:val="both"/>
              <w:rPr>
                <w:rFonts w:ascii="Tahoma" w:hAnsi="Tahoma" w:cs="Tahoma"/>
                <w:b/>
                <w:sz w:val="24"/>
                <w:szCs w:val="24"/>
              </w:rPr>
            </w:pPr>
            <w:r w:rsidRPr="0016318F">
              <w:rPr>
                <w:rFonts w:ascii="Tahoma" w:hAnsi="Tahoma" w:cs="Tahoma"/>
                <w:b/>
                <w:sz w:val="24"/>
                <w:szCs w:val="24"/>
              </w:rPr>
              <w:t>N° de l’article</w:t>
            </w:r>
            <w:r w:rsidR="00DE284D" w:rsidRPr="0016318F">
              <w:rPr>
                <w:rFonts w:ascii="Tahoma" w:hAnsi="Tahoma" w:cs="Tahoma"/>
                <w:b/>
                <w:sz w:val="24"/>
                <w:szCs w:val="24"/>
              </w:rPr>
              <w:t xml:space="preserve"> 103 du CGI</w:t>
            </w:r>
          </w:p>
        </w:tc>
        <w:tc>
          <w:tcPr>
            <w:tcW w:w="6411" w:type="dxa"/>
          </w:tcPr>
          <w:p w:rsidR="0066152D" w:rsidRPr="0016318F" w:rsidRDefault="0066152D" w:rsidP="0016318F">
            <w:pPr>
              <w:pStyle w:val="Sansinterligne"/>
              <w:spacing w:line="276" w:lineRule="auto"/>
              <w:jc w:val="both"/>
              <w:rPr>
                <w:rFonts w:ascii="Tahoma" w:hAnsi="Tahoma" w:cs="Tahoma"/>
                <w:b/>
                <w:sz w:val="24"/>
                <w:szCs w:val="24"/>
              </w:rPr>
            </w:pPr>
            <w:r w:rsidRPr="0016318F">
              <w:rPr>
                <w:rFonts w:ascii="Tahoma" w:hAnsi="Tahoma" w:cs="Tahoma"/>
                <w:b/>
                <w:sz w:val="24"/>
                <w:szCs w:val="24"/>
              </w:rPr>
              <w:t>Difficultés rencontrées</w:t>
            </w:r>
          </w:p>
          <w:p w:rsidR="0066152D" w:rsidRPr="0016318F" w:rsidRDefault="00DE284D" w:rsidP="0016318F">
            <w:pPr>
              <w:pStyle w:val="Sansinterligne"/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16318F">
              <w:rPr>
                <w:rFonts w:ascii="Tahoma" w:hAnsi="Tahoma" w:cs="Tahoma"/>
                <w:sz w:val="24"/>
                <w:szCs w:val="24"/>
              </w:rPr>
              <w:t>Certaines entreprises nous opposent le fait que leurs véhicules de tourisme n’ont pas</w:t>
            </w:r>
            <w:r w:rsidR="0016318F">
              <w:rPr>
                <w:rFonts w:ascii="Tahoma" w:hAnsi="Tahoma" w:cs="Tahoma"/>
                <w:sz w:val="24"/>
                <w:szCs w:val="24"/>
              </w:rPr>
              <w:t xml:space="preserve"> toujours</w:t>
            </w:r>
            <w:r w:rsidRPr="0016318F">
              <w:rPr>
                <w:rFonts w:ascii="Tahoma" w:hAnsi="Tahoma" w:cs="Tahoma"/>
                <w:sz w:val="24"/>
                <w:szCs w:val="24"/>
              </w:rPr>
              <w:t xml:space="preserve"> un usage non professionnel.  De plus en cas d’usage non professionnel (mise à disposition du véhicule à un agent ou à un dirigeant), il y aura double taxation dans la mesure ou les avantages en nature liées à la mise à disposition du véhicule ont été imposés entre les mains du bénéficiaire.</w:t>
            </w:r>
          </w:p>
        </w:tc>
      </w:tr>
      <w:tr w:rsidR="008E6C6F" w:rsidRPr="0016318F" w:rsidTr="0066152D">
        <w:trPr>
          <w:trHeight w:val="761"/>
        </w:trPr>
        <w:tc>
          <w:tcPr>
            <w:tcW w:w="2177" w:type="dxa"/>
          </w:tcPr>
          <w:p w:rsidR="008E6C6F" w:rsidRPr="0016318F" w:rsidRDefault="008E6C6F" w:rsidP="0016318F">
            <w:pPr>
              <w:pStyle w:val="Sansinterligne"/>
              <w:spacing w:line="276" w:lineRule="auto"/>
              <w:jc w:val="both"/>
              <w:rPr>
                <w:rFonts w:ascii="Tahoma" w:hAnsi="Tahoma" w:cs="Tahoma"/>
                <w:b/>
                <w:sz w:val="24"/>
                <w:szCs w:val="24"/>
              </w:rPr>
            </w:pPr>
            <w:r w:rsidRPr="0016318F">
              <w:rPr>
                <w:rFonts w:ascii="Tahoma" w:hAnsi="Tahoma" w:cs="Tahoma"/>
                <w:b/>
                <w:sz w:val="24"/>
                <w:szCs w:val="24"/>
              </w:rPr>
              <w:t>Exposé des motifs</w:t>
            </w:r>
          </w:p>
        </w:tc>
        <w:tc>
          <w:tcPr>
            <w:tcW w:w="6411" w:type="dxa"/>
          </w:tcPr>
          <w:p w:rsidR="008E6C6F" w:rsidRPr="0016318F" w:rsidRDefault="00DE284D" w:rsidP="0016318F">
            <w:pPr>
              <w:pStyle w:val="Sansinterligne"/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16318F">
              <w:rPr>
                <w:rFonts w:ascii="Tahoma" w:hAnsi="Tahoma" w:cs="Tahoma"/>
                <w:sz w:val="24"/>
                <w:szCs w:val="24"/>
              </w:rPr>
              <w:t>A titre d’exemple, lorsqu’une socié</w:t>
            </w:r>
            <w:r w:rsidR="0016318F">
              <w:rPr>
                <w:rFonts w:ascii="Tahoma" w:hAnsi="Tahoma" w:cs="Tahoma"/>
                <w:sz w:val="24"/>
                <w:szCs w:val="24"/>
              </w:rPr>
              <w:t xml:space="preserve">té loue un immeuble et qu’il met </w:t>
            </w:r>
            <w:r w:rsidRPr="0016318F">
              <w:rPr>
                <w:rFonts w:ascii="Tahoma" w:hAnsi="Tahoma" w:cs="Tahoma"/>
                <w:sz w:val="24"/>
                <w:szCs w:val="24"/>
              </w:rPr>
              <w:t xml:space="preserve">une partie à la disposition d’un dirigeant, la charge du loyer est déductible totalement et la partie du loyer qui a bénéficié au dirigeant est taxée entre ses mains comme avantage en nature. Si l’avantage en nature n’est pas imposé alors le loyer de la partie du local mis à disposition du dirigeant est à rapporter au résultat fiscal.  </w:t>
            </w:r>
          </w:p>
        </w:tc>
      </w:tr>
      <w:tr w:rsidR="0066152D" w:rsidRPr="0016318F" w:rsidTr="0066152D">
        <w:trPr>
          <w:trHeight w:val="361"/>
        </w:trPr>
        <w:tc>
          <w:tcPr>
            <w:tcW w:w="2177" w:type="dxa"/>
          </w:tcPr>
          <w:p w:rsidR="0066152D" w:rsidRPr="0016318F" w:rsidRDefault="0066152D" w:rsidP="0016318F">
            <w:pPr>
              <w:pStyle w:val="Sansinterligne"/>
              <w:spacing w:line="276" w:lineRule="auto"/>
              <w:jc w:val="both"/>
              <w:rPr>
                <w:rFonts w:ascii="Tahoma" w:hAnsi="Tahoma" w:cs="Tahoma"/>
                <w:b/>
                <w:sz w:val="24"/>
                <w:szCs w:val="24"/>
              </w:rPr>
            </w:pPr>
            <w:r w:rsidRPr="0016318F">
              <w:rPr>
                <w:rFonts w:ascii="Tahoma" w:hAnsi="Tahoma" w:cs="Tahoma"/>
                <w:b/>
                <w:sz w:val="24"/>
                <w:szCs w:val="24"/>
              </w:rPr>
              <w:t>N° de l’article</w:t>
            </w:r>
            <w:r w:rsidR="00DE284D" w:rsidRPr="0016318F">
              <w:rPr>
                <w:rFonts w:ascii="Tahoma" w:hAnsi="Tahoma" w:cs="Tahoma"/>
                <w:b/>
                <w:sz w:val="24"/>
                <w:szCs w:val="24"/>
              </w:rPr>
              <w:t xml:space="preserve"> 103 du CGI</w:t>
            </w:r>
          </w:p>
        </w:tc>
        <w:tc>
          <w:tcPr>
            <w:tcW w:w="6411" w:type="dxa"/>
          </w:tcPr>
          <w:p w:rsidR="0066152D" w:rsidRPr="0016318F" w:rsidRDefault="0066152D" w:rsidP="0016318F">
            <w:pPr>
              <w:pStyle w:val="Sansinterligne"/>
              <w:spacing w:line="276" w:lineRule="auto"/>
              <w:jc w:val="both"/>
              <w:rPr>
                <w:rFonts w:ascii="Tahoma" w:hAnsi="Tahoma" w:cs="Tahoma"/>
                <w:b/>
                <w:sz w:val="24"/>
                <w:szCs w:val="24"/>
              </w:rPr>
            </w:pPr>
            <w:r w:rsidRPr="0016318F">
              <w:rPr>
                <w:rFonts w:ascii="Tahoma" w:hAnsi="Tahoma" w:cs="Tahoma"/>
                <w:b/>
                <w:sz w:val="24"/>
                <w:szCs w:val="24"/>
              </w:rPr>
              <w:t>Propositions de réécriture</w:t>
            </w:r>
          </w:p>
          <w:p w:rsidR="00DE284D" w:rsidRPr="0016318F" w:rsidRDefault="00DE284D" w:rsidP="0016318F">
            <w:pPr>
              <w:tabs>
                <w:tab w:val="left" w:pos="0"/>
                <w:tab w:val="left" w:pos="142"/>
              </w:tabs>
              <w:spacing w:before="180" w:line="276" w:lineRule="auto"/>
              <w:jc w:val="both"/>
              <w:rPr>
                <w:rFonts w:ascii="Tahoma" w:eastAsiaTheme="minorEastAsia" w:hAnsi="Tahoma" w:cs="Tahoma"/>
                <w:sz w:val="24"/>
                <w:szCs w:val="24"/>
                <w:lang w:eastAsia="fr-FR"/>
              </w:rPr>
            </w:pPr>
            <w:r w:rsidRPr="0016318F">
              <w:rPr>
                <w:rFonts w:ascii="Tahoma" w:eastAsiaTheme="minorEastAsia" w:hAnsi="Tahoma" w:cs="Tahoma"/>
                <w:sz w:val="24"/>
                <w:szCs w:val="24"/>
                <w:lang w:eastAsia="fr-FR"/>
              </w:rPr>
              <w:t>Ne sont pas déductibles :</w:t>
            </w:r>
          </w:p>
          <w:p w:rsidR="004F6B43" w:rsidRPr="0016318F" w:rsidRDefault="00DE284D" w:rsidP="0016318F">
            <w:pPr>
              <w:pStyle w:val="Sansinterligne"/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16318F">
              <w:rPr>
                <w:rFonts w:ascii="Tahoma" w:hAnsi="Tahoma" w:cs="Tahoma"/>
                <w:b/>
                <w:i/>
                <w:sz w:val="24"/>
                <w:szCs w:val="24"/>
              </w:rPr>
              <w:t>les amortissements des voitures de tourisme pour la fraction de leur prix d’acquisition qui dépasse 20 000 000</w:t>
            </w:r>
            <w:r w:rsidRPr="0016318F">
              <w:rPr>
                <w:rFonts w:ascii="Tahoma" w:hAnsi="Tahoma" w:cs="Tahoma"/>
                <w:sz w:val="24"/>
                <w:szCs w:val="24"/>
              </w:rPr>
              <w:t>. Cette limite s'applique à l'ensemble des véhicules immatriculés dans la catégorie des voitures particulières ; la fraction de l'amortissement des véhicules de tourisme exclue des charges déductibles par les limitations ci-dessus est néanmoins retenue pour la détermination des plus-</w:t>
            </w:r>
            <w:r w:rsidRPr="0016318F">
              <w:rPr>
                <w:rFonts w:ascii="Tahoma" w:hAnsi="Tahoma" w:cs="Tahoma"/>
                <w:sz w:val="24"/>
                <w:szCs w:val="24"/>
              </w:rPr>
              <w:lastRenderedPageBreak/>
              <w:t>values ou moins-values résultant de la vente ultérieure des véhicules ainsi amortis ;</w:t>
            </w:r>
          </w:p>
          <w:p w:rsidR="004F6B43" w:rsidRPr="0016318F" w:rsidRDefault="004F6B43" w:rsidP="0016318F">
            <w:pPr>
              <w:pStyle w:val="Sansinterligne"/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</w:tbl>
    <w:p w:rsidR="007F026C" w:rsidRPr="0016318F" w:rsidRDefault="007F026C" w:rsidP="0016318F">
      <w:pPr>
        <w:pStyle w:val="Sansinterligne"/>
        <w:spacing w:line="276" w:lineRule="auto"/>
        <w:jc w:val="both"/>
        <w:rPr>
          <w:rFonts w:ascii="Tahoma" w:hAnsi="Tahoma" w:cs="Tahoma"/>
          <w:b/>
          <w:sz w:val="24"/>
          <w:szCs w:val="24"/>
          <w:u w:val="single"/>
        </w:rPr>
      </w:pPr>
    </w:p>
    <w:p w:rsidR="00DE284D" w:rsidRPr="0016318F" w:rsidRDefault="00DE284D" w:rsidP="0016318F">
      <w:pPr>
        <w:pStyle w:val="Sansinterligne"/>
        <w:spacing w:line="276" w:lineRule="auto"/>
        <w:jc w:val="both"/>
        <w:rPr>
          <w:rFonts w:ascii="Tahoma" w:hAnsi="Tahoma" w:cs="Tahoma"/>
          <w:b/>
          <w:sz w:val="24"/>
          <w:szCs w:val="24"/>
          <w:u w:val="single"/>
        </w:rPr>
      </w:pPr>
    </w:p>
    <w:p w:rsidR="00DE284D" w:rsidRPr="0016318F" w:rsidRDefault="00DE284D" w:rsidP="0016318F">
      <w:pPr>
        <w:pStyle w:val="Sansinterligne"/>
        <w:spacing w:line="276" w:lineRule="auto"/>
        <w:jc w:val="both"/>
        <w:rPr>
          <w:rFonts w:ascii="Tahoma" w:hAnsi="Tahoma" w:cs="Tahoma"/>
          <w:b/>
          <w:sz w:val="24"/>
          <w:szCs w:val="24"/>
          <w:u w:val="single"/>
        </w:rPr>
      </w:pPr>
    </w:p>
    <w:p w:rsidR="00DE284D" w:rsidRPr="0016318F" w:rsidRDefault="00DE284D" w:rsidP="0016318F">
      <w:pPr>
        <w:pStyle w:val="Sansinterligne"/>
        <w:spacing w:line="276" w:lineRule="auto"/>
        <w:jc w:val="both"/>
        <w:rPr>
          <w:rFonts w:ascii="Tahoma" w:hAnsi="Tahoma" w:cs="Tahoma"/>
          <w:b/>
          <w:sz w:val="24"/>
          <w:szCs w:val="24"/>
          <w:u w:val="single"/>
        </w:rPr>
      </w:pPr>
    </w:p>
    <w:tbl>
      <w:tblPr>
        <w:tblStyle w:val="Grilledutableau"/>
        <w:tblpPr w:leftFromText="141" w:rightFromText="141" w:vertAnchor="text" w:horzAnchor="margin" w:tblpXSpec="center" w:tblpY="264"/>
        <w:tblW w:w="0" w:type="auto"/>
        <w:tblLook w:val="04A0" w:firstRow="1" w:lastRow="0" w:firstColumn="1" w:lastColumn="0" w:noHBand="0" w:noVBand="1"/>
      </w:tblPr>
      <w:tblGrid>
        <w:gridCol w:w="2177"/>
        <w:gridCol w:w="6411"/>
      </w:tblGrid>
      <w:tr w:rsidR="00DE284D" w:rsidRPr="0016318F" w:rsidTr="008E07E1">
        <w:trPr>
          <w:trHeight w:val="742"/>
        </w:trPr>
        <w:tc>
          <w:tcPr>
            <w:tcW w:w="2177" w:type="dxa"/>
          </w:tcPr>
          <w:p w:rsidR="00DE284D" w:rsidRPr="0016318F" w:rsidRDefault="00DE284D" w:rsidP="0016318F">
            <w:pPr>
              <w:pStyle w:val="Sansinterligne"/>
              <w:spacing w:line="276" w:lineRule="auto"/>
              <w:jc w:val="both"/>
              <w:rPr>
                <w:rFonts w:ascii="Tahoma" w:hAnsi="Tahoma" w:cs="Tahoma"/>
                <w:b/>
                <w:sz w:val="24"/>
                <w:szCs w:val="24"/>
              </w:rPr>
            </w:pPr>
            <w:r w:rsidRPr="0016318F">
              <w:rPr>
                <w:rFonts w:ascii="Tahoma" w:hAnsi="Tahoma" w:cs="Tahoma"/>
                <w:b/>
                <w:sz w:val="24"/>
                <w:szCs w:val="24"/>
              </w:rPr>
              <w:t xml:space="preserve">Article </w:t>
            </w:r>
            <w:r w:rsidR="000C0CAE" w:rsidRPr="0016318F">
              <w:rPr>
                <w:rFonts w:ascii="Tahoma" w:hAnsi="Tahoma" w:cs="Tahoma"/>
                <w:b/>
                <w:sz w:val="24"/>
                <w:szCs w:val="24"/>
              </w:rPr>
              <w:t>20</w:t>
            </w:r>
            <w:r w:rsidRPr="0016318F">
              <w:rPr>
                <w:rFonts w:ascii="Tahoma" w:hAnsi="Tahoma" w:cs="Tahoma"/>
                <w:b/>
                <w:sz w:val="24"/>
                <w:szCs w:val="24"/>
              </w:rPr>
              <w:t xml:space="preserve"> du CGI</w:t>
            </w:r>
          </w:p>
        </w:tc>
        <w:tc>
          <w:tcPr>
            <w:tcW w:w="6411" w:type="dxa"/>
          </w:tcPr>
          <w:p w:rsidR="00DE284D" w:rsidRPr="0016318F" w:rsidRDefault="000C0CAE" w:rsidP="0016318F">
            <w:pPr>
              <w:tabs>
                <w:tab w:val="left" w:pos="0"/>
                <w:tab w:val="left" w:pos="142"/>
              </w:tabs>
              <w:spacing w:before="180" w:line="276" w:lineRule="auto"/>
              <w:ind w:left="0"/>
              <w:jc w:val="left"/>
              <w:rPr>
                <w:rFonts w:ascii="Tahoma" w:eastAsiaTheme="minorEastAsia" w:hAnsi="Tahoma" w:cs="Tahoma"/>
                <w:sz w:val="24"/>
                <w:szCs w:val="24"/>
                <w:lang w:eastAsia="fr-FR"/>
              </w:rPr>
            </w:pPr>
            <w:r w:rsidRPr="0016318F">
              <w:rPr>
                <w:rFonts w:ascii="Tahoma" w:eastAsiaTheme="minorEastAsia" w:hAnsi="Tahoma" w:cs="Tahoma"/>
                <w:sz w:val="24"/>
                <w:szCs w:val="24"/>
                <w:lang w:eastAsia="fr-FR"/>
              </w:rPr>
              <w:t>(….) Sont constitutifs d’avantages en nature le logement, la domesticité, l’eau, l’électricité, le téléphone, la mise à disposition d’un véhicule, la prise en charge des frais de voyage et de séjour-congé et la nourriture.</w:t>
            </w:r>
            <w:r w:rsidRPr="0016318F">
              <w:rPr>
                <w:rFonts w:ascii="Tahoma" w:eastAsiaTheme="minorEastAsia" w:hAnsi="Tahoma" w:cs="Tahoma"/>
                <w:sz w:val="24"/>
                <w:szCs w:val="24"/>
                <w:lang w:eastAsia="fr-FR"/>
              </w:rPr>
              <w:br/>
              <w:t>Les avantages en nature sont pris en compte pour leur montant réel.</w:t>
            </w:r>
            <w:r w:rsidRPr="0016318F">
              <w:rPr>
                <w:rFonts w:ascii="Tahoma" w:eastAsiaTheme="minorEastAsia" w:hAnsi="Tahoma" w:cs="Tahoma"/>
                <w:sz w:val="24"/>
                <w:szCs w:val="24"/>
                <w:lang w:eastAsia="fr-FR"/>
              </w:rPr>
              <w:br/>
              <w:t>En ce qui concerne la mise à disposition d’un logement, la valeur retenue est le loyer ou la valeur locative cadastrale.</w:t>
            </w:r>
            <w:r w:rsidRPr="0016318F">
              <w:rPr>
                <w:rFonts w:ascii="Tahoma" w:eastAsiaTheme="minorEastAsia" w:hAnsi="Tahoma" w:cs="Tahoma"/>
                <w:sz w:val="24"/>
                <w:szCs w:val="24"/>
                <w:lang w:eastAsia="fr-FR"/>
              </w:rPr>
              <w:br/>
              <w:t>En ce qui concerne la mise à disposition d’un véhicule, la valeur retenue est de 10% du salaire brut taxable.</w:t>
            </w:r>
          </w:p>
        </w:tc>
      </w:tr>
      <w:tr w:rsidR="00DE284D" w:rsidRPr="0016318F" w:rsidTr="008E07E1">
        <w:trPr>
          <w:trHeight w:val="761"/>
        </w:trPr>
        <w:tc>
          <w:tcPr>
            <w:tcW w:w="2177" w:type="dxa"/>
          </w:tcPr>
          <w:p w:rsidR="00DE284D" w:rsidRPr="0016318F" w:rsidRDefault="00DE284D" w:rsidP="0016318F">
            <w:pPr>
              <w:pStyle w:val="Sansinterligne"/>
              <w:spacing w:line="276" w:lineRule="auto"/>
              <w:jc w:val="both"/>
              <w:rPr>
                <w:rFonts w:ascii="Tahoma" w:hAnsi="Tahoma" w:cs="Tahoma"/>
                <w:b/>
                <w:sz w:val="24"/>
                <w:szCs w:val="24"/>
              </w:rPr>
            </w:pPr>
            <w:r w:rsidRPr="0016318F">
              <w:rPr>
                <w:rFonts w:ascii="Tahoma" w:hAnsi="Tahoma" w:cs="Tahoma"/>
                <w:b/>
                <w:sz w:val="24"/>
                <w:szCs w:val="24"/>
              </w:rPr>
              <w:t>N° de l’article</w:t>
            </w:r>
            <w:r w:rsidR="00137376" w:rsidRPr="0016318F">
              <w:rPr>
                <w:rFonts w:ascii="Tahoma" w:hAnsi="Tahoma" w:cs="Tahoma"/>
                <w:b/>
                <w:sz w:val="24"/>
                <w:szCs w:val="24"/>
              </w:rPr>
              <w:t xml:space="preserve"> 20</w:t>
            </w:r>
            <w:r w:rsidRPr="0016318F">
              <w:rPr>
                <w:rFonts w:ascii="Tahoma" w:hAnsi="Tahoma" w:cs="Tahoma"/>
                <w:b/>
                <w:sz w:val="24"/>
                <w:szCs w:val="24"/>
              </w:rPr>
              <w:t xml:space="preserve"> du CGI</w:t>
            </w:r>
          </w:p>
        </w:tc>
        <w:tc>
          <w:tcPr>
            <w:tcW w:w="6411" w:type="dxa"/>
          </w:tcPr>
          <w:p w:rsidR="00DE284D" w:rsidRPr="0016318F" w:rsidRDefault="00DE284D" w:rsidP="0016318F">
            <w:pPr>
              <w:pStyle w:val="Sansinterligne"/>
              <w:spacing w:line="276" w:lineRule="auto"/>
              <w:jc w:val="both"/>
              <w:rPr>
                <w:rFonts w:ascii="Tahoma" w:hAnsi="Tahoma" w:cs="Tahoma"/>
                <w:b/>
                <w:sz w:val="24"/>
                <w:szCs w:val="24"/>
              </w:rPr>
            </w:pPr>
            <w:r w:rsidRPr="0016318F">
              <w:rPr>
                <w:rFonts w:ascii="Tahoma" w:hAnsi="Tahoma" w:cs="Tahoma"/>
                <w:b/>
                <w:sz w:val="24"/>
                <w:szCs w:val="24"/>
              </w:rPr>
              <w:t>Difficultés rencontrées</w:t>
            </w:r>
          </w:p>
          <w:p w:rsidR="00DE284D" w:rsidRPr="0016318F" w:rsidRDefault="000C0CAE" w:rsidP="0016318F">
            <w:pPr>
              <w:pStyle w:val="Sansinterligne"/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16318F">
              <w:rPr>
                <w:rFonts w:ascii="Tahoma" w:hAnsi="Tahoma" w:cs="Tahoma"/>
                <w:sz w:val="24"/>
                <w:szCs w:val="24"/>
              </w:rPr>
              <w:t>Le montant de 10% du salaire brut taxable ne reflète pas la juste valeur des avantages en nature. Dans le cas des salaires élevés, cette estimation est exagérée dans le cas contraire elle est sous-évaluée.</w:t>
            </w:r>
          </w:p>
        </w:tc>
      </w:tr>
      <w:tr w:rsidR="00DE284D" w:rsidRPr="0016318F" w:rsidTr="008E07E1">
        <w:trPr>
          <w:trHeight w:val="761"/>
        </w:trPr>
        <w:tc>
          <w:tcPr>
            <w:tcW w:w="2177" w:type="dxa"/>
          </w:tcPr>
          <w:p w:rsidR="00DE284D" w:rsidRPr="0016318F" w:rsidRDefault="00DE284D" w:rsidP="0016318F">
            <w:pPr>
              <w:pStyle w:val="Sansinterligne"/>
              <w:spacing w:line="276" w:lineRule="auto"/>
              <w:jc w:val="both"/>
              <w:rPr>
                <w:rFonts w:ascii="Tahoma" w:hAnsi="Tahoma" w:cs="Tahoma"/>
                <w:b/>
                <w:sz w:val="24"/>
                <w:szCs w:val="24"/>
              </w:rPr>
            </w:pPr>
            <w:r w:rsidRPr="0016318F">
              <w:rPr>
                <w:rFonts w:ascii="Tahoma" w:hAnsi="Tahoma" w:cs="Tahoma"/>
                <w:b/>
                <w:sz w:val="24"/>
                <w:szCs w:val="24"/>
              </w:rPr>
              <w:t>Exposé des motifs</w:t>
            </w:r>
          </w:p>
        </w:tc>
        <w:tc>
          <w:tcPr>
            <w:tcW w:w="6411" w:type="dxa"/>
          </w:tcPr>
          <w:p w:rsidR="00DE284D" w:rsidRPr="0016318F" w:rsidRDefault="0016318F" w:rsidP="0016318F">
            <w:pPr>
              <w:pStyle w:val="Sansinterligne"/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16318F">
              <w:rPr>
                <w:rFonts w:ascii="Tahoma" w:hAnsi="Tahoma" w:cs="Tahoma"/>
                <w:sz w:val="24"/>
                <w:szCs w:val="24"/>
              </w:rPr>
              <w:t>Pour taxer de manière</w:t>
            </w:r>
            <w:r w:rsidR="000C0CAE" w:rsidRPr="0016318F">
              <w:rPr>
                <w:rFonts w:ascii="Tahoma" w:hAnsi="Tahoma" w:cs="Tahoma"/>
                <w:sz w:val="24"/>
                <w:szCs w:val="24"/>
              </w:rPr>
              <w:t xml:space="preserve"> juste </w:t>
            </w:r>
            <w:r w:rsidRPr="0016318F">
              <w:rPr>
                <w:rFonts w:ascii="Tahoma" w:hAnsi="Tahoma" w:cs="Tahoma"/>
                <w:sz w:val="24"/>
                <w:szCs w:val="24"/>
              </w:rPr>
              <w:t xml:space="preserve">la mise </w:t>
            </w:r>
            <w:r w:rsidR="000C0CAE" w:rsidRPr="0016318F">
              <w:rPr>
                <w:rFonts w:ascii="Tahoma" w:hAnsi="Tahoma" w:cs="Tahoma"/>
                <w:sz w:val="24"/>
                <w:szCs w:val="24"/>
              </w:rPr>
              <w:t>à disposition, il faut calquer le montant de l’avantage en nature sur les dépenses afférant au véhicule y compris ses charges d’amortissement déductibles.</w:t>
            </w:r>
          </w:p>
        </w:tc>
      </w:tr>
      <w:tr w:rsidR="00137376" w:rsidRPr="0016318F" w:rsidTr="008E07E1">
        <w:trPr>
          <w:trHeight w:val="361"/>
        </w:trPr>
        <w:tc>
          <w:tcPr>
            <w:tcW w:w="2177" w:type="dxa"/>
          </w:tcPr>
          <w:p w:rsidR="00137376" w:rsidRPr="0016318F" w:rsidRDefault="00137376" w:rsidP="0016318F">
            <w:pPr>
              <w:pStyle w:val="Sansinterligne"/>
              <w:spacing w:line="276" w:lineRule="auto"/>
              <w:jc w:val="both"/>
              <w:rPr>
                <w:rFonts w:ascii="Tahoma" w:hAnsi="Tahoma" w:cs="Tahoma"/>
                <w:b/>
                <w:sz w:val="24"/>
                <w:szCs w:val="24"/>
              </w:rPr>
            </w:pPr>
            <w:r w:rsidRPr="0016318F">
              <w:rPr>
                <w:rFonts w:ascii="Tahoma" w:hAnsi="Tahoma" w:cs="Tahoma"/>
                <w:b/>
                <w:sz w:val="24"/>
                <w:szCs w:val="24"/>
              </w:rPr>
              <w:t>N° de l’article 20 du CGI</w:t>
            </w:r>
          </w:p>
        </w:tc>
        <w:tc>
          <w:tcPr>
            <w:tcW w:w="6411" w:type="dxa"/>
          </w:tcPr>
          <w:p w:rsidR="0016318F" w:rsidRDefault="00137376" w:rsidP="0016318F">
            <w:pPr>
              <w:pStyle w:val="Sansinterligne"/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16318F">
              <w:rPr>
                <w:rFonts w:ascii="Tahoma" w:hAnsi="Tahoma" w:cs="Tahoma"/>
                <w:sz w:val="24"/>
                <w:szCs w:val="24"/>
              </w:rPr>
              <w:t>(….) Sont constitutifs d’avantages en nature le logement, la domesticité, l’eau, l’électricité, le téléphone, la mise à disposition d’un véhicule, la prise en charge des frais de voyage et de séjour-congé et la nourriture.</w:t>
            </w:r>
          </w:p>
          <w:p w:rsidR="0016318F" w:rsidRDefault="00137376" w:rsidP="0016318F">
            <w:pPr>
              <w:pStyle w:val="Sansinterligne"/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16318F">
              <w:rPr>
                <w:rFonts w:ascii="Tahoma" w:hAnsi="Tahoma" w:cs="Tahoma"/>
                <w:sz w:val="24"/>
                <w:szCs w:val="24"/>
              </w:rPr>
              <w:t>Les avantages en nature sont pris en compte pour leur montant réel.</w:t>
            </w:r>
          </w:p>
          <w:p w:rsidR="00137376" w:rsidRPr="0016318F" w:rsidRDefault="00137376" w:rsidP="0016318F">
            <w:pPr>
              <w:pStyle w:val="Sansinterligne"/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16318F">
              <w:rPr>
                <w:rFonts w:ascii="Tahoma" w:hAnsi="Tahoma" w:cs="Tahoma"/>
                <w:sz w:val="24"/>
                <w:szCs w:val="24"/>
              </w:rPr>
              <w:t xml:space="preserve">En ce qui concerne la mise à disposition d’un logement, </w:t>
            </w:r>
            <w:r w:rsidRPr="0016318F">
              <w:rPr>
                <w:rFonts w:ascii="Tahoma" w:hAnsi="Tahoma" w:cs="Tahoma"/>
                <w:b/>
                <w:i/>
                <w:sz w:val="24"/>
                <w:szCs w:val="24"/>
              </w:rPr>
              <w:t>il y a lieu de prendre en considération la valeur locative réelle stipulée dans le contrat de bail ou à défaut retenir la valeur locative cadastrale.</w:t>
            </w:r>
          </w:p>
          <w:p w:rsidR="00137376" w:rsidRPr="0016318F" w:rsidRDefault="00137376" w:rsidP="0016318F">
            <w:pPr>
              <w:pStyle w:val="Sansinterligne"/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16318F">
              <w:rPr>
                <w:rFonts w:ascii="Tahoma" w:hAnsi="Tahoma" w:cs="Tahoma"/>
                <w:sz w:val="24"/>
                <w:szCs w:val="24"/>
              </w:rPr>
              <w:t xml:space="preserve">En ce qui concerne la mise à disposition d’un véhicule, </w:t>
            </w:r>
            <w:r w:rsidRPr="0016318F">
              <w:rPr>
                <w:rFonts w:ascii="Tahoma" w:hAnsi="Tahoma" w:cs="Tahoma"/>
                <w:b/>
                <w:i/>
                <w:sz w:val="24"/>
                <w:szCs w:val="24"/>
              </w:rPr>
              <w:t>il y a lieu de prendre en considération le tiers</w:t>
            </w:r>
            <w:r w:rsidR="00AA1DE5" w:rsidRPr="0016318F">
              <w:rPr>
                <w:rFonts w:ascii="Tahoma" w:hAnsi="Tahoma" w:cs="Tahoma"/>
                <w:b/>
                <w:i/>
                <w:sz w:val="24"/>
                <w:szCs w:val="24"/>
              </w:rPr>
              <w:t xml:space="preserve"> (1/3)</w:t>
            </w:r>
            <w:r w:rsidRPr="0016318F">
              <w:rPr>
                <w:rFonts w:ascii="Tahoma" w:hAnsi="Tahoma" w:cs="Tahoma"/>
                <w:b/>
                <w:i/>
                <w:sz w:val="24"/>
                <w:szCs w:val="24"/>
              </w:rPr>
              <w:t xml:space="preserve"> des charges liées au véhicule (amortissement admis en déduction, frais de carburant, frais d’entretien et de réparation et assurance).</w:t>
            </w:r>
          </w:p>
        </w:tc>
      </w:tr>
    </w:tbl>
    <w:p w:rsidR="007F026C" w:rsidRPr="0016318F" w:rsidRDefault="007F026C" w:rsidP="0016318F">
      <w:pPr>
        <w:pStyle w:val="Sansinterligne"/>
        <w:spacing w:line="276" w:lineRule="auto"/>
        <w:jc w:val="both"/>
        <w:rPr>
          <w:rFonts w:ascii="Tahoma" w:hAnsi="Tahoma" w:cs="Tahoma"/>
          <w:b/>
          <w:sz w:val="24"/>
          <w:szCs w:val="24"/>
          <w:u w:val="single"/>
        </w:rPr>
      </w:pPr>
    </w:p>
    <w:tbl>
      <w:tblPr>
        <w:tblStyle w:val="Grilledutableau"/>
        <w:tblpPr w:leftFromText="141" w:rightFromText="141" w:vertAnchor="text" w:horzAnchor="margin" w:tblpXSpec="center" w:tblpY="264"/>
        <w:tblW w:w="0" w:type="auto"/>
        <w:tblLook w:val="04A0" w:firstRow="1" w:lastRow="0" w:firstColumn="1" w:lastColumn="0" w:noHBand="0" w:noVBand="1"/>
      </w:tblPr>
      <w:tblGrid>
        <w:gridCol w:w="2177"/>
        <w:gridCol w:w="6411"/>
      </w:tblGrid>
      <w:tr w:rsidR="00137376" w:rsidRPr="0016318F" w:rsidTr="008E07E1">
        <w:trPr>
          <w:trHeight w:val="742"/>
        </w:trPr>
        <w:tc>
          <w:tcPr>
            <w:tcW w:w="2177" w:type="dxa"/>
          </w:tcPr>
          <w:p w:rsidR="00137376" w:rsidRPr="0016318F" w:rsidRDefault="00137376" w:rsidP="0016318F">
            <w:pPr>
              <w:pStyle w:val="Sansinterligne"/>
              <w:spacing w:line="276" w:lineRule="auto"/>
              <w:jc w:val="both"/>
              <w:rPr>
                <w:rFonts w:ascii="Tahoma" w:hAnsi="Tahoma" w:cs="Tahoma"/>
                <w:b/>
                <w:sz w:val="24"/>
                <w:szCs w:val="24"/>
              </w:rPr>
            </w:pPr>
            <w:r w:rsidRPr="0016318F">
              <w:rPr>
                <w:rFonts w:ascii="Tahoma" w:hAnsi="Tahoma" w:cs="Tahoma"/>
                <w:b/>
                <w:sz w:val="24"/>
                <w:szCs w:val="24"/>
              </w:rPr>
              <w:lastRenderedPageBreak/>
              <w:t>Article 38 du CGI</w:t>
            </w:r>
          </w:p>
        </w:tc>
        <w:tc>
          <w:tcPr>
            <w:tcW w:w="6411" w:type="dxa"/>
          </w:tcPr>
          <w:p w:rsidR="00137376" w:rsidRPr="0016318F" w:rsidRDefault="00137376" w:rsidP="0016318F">
            <w:pPr>
              <w:tabs>
                <w:tab w:val="left" w:pos="0"/>
                <w:tab w:val="left" w:pos="142"/>
              </w:tabs>
              <w:spacing w:before="180" w:line="276" w:lineRule="auto"/>
              <w:ind w:left="0"/>
              <w:jc w:val="left"/>
              <w:rPr>
                <w:rFonts w:ascii="Tahoma" w:eastAsiaTheme="minorEastAsia" w:hAnsi="Tahoma" w:cs="Tahoma"/>
                <w:sz w:val="24"/>
                <w:szCs w:val="24"/>
                <w:lang w:eastAsia="fr-FR"/>
              </w:rPr>
            </w:pPr>
            <w:r w:rsidRPr="0016318F">
              <w:rPr>
                <w:rFonts w:ascii="Tahoma" w:eastAsiaTheme="minorEastAsia" w:hAnsi="Tahoma" w:cs="Tahoma"/>
                <w:sz w:val="24"/>
                <w:szCs w:val="24"/>
                <w:lang w:eastAsia="fr-FR"/>
              </w:rPr>
              <w:t>Sous réserve des dispositions particulières ci-après, le bénéfice imposable est déterminé dans les mêmes conditions que celles prévues en matière d’impôt sur les sociétés. (…)</w:t>
            </w:r>
          </w:p>
          <w:p w:rsidR="00137376" w:rsidRPr="0016318F" w:rsidRDefault="00137376" w:rsidP="0016318F">
            <w:pPr>
              <w:tabs>
                <w:tab w:val="left" w:pos="0"/>
                <w:tab w:val="left" w:pos="142"/>
              </w:tabs>
              <w:spacing w:before="180" w:line="276" w:lineRule="auto"/>
              <w:ind w:left="0"/>
              <w:jc w:val="left"/>
              <w:rPr>
                <w:rFonts w:ascii="Tahoma" w:eastAsiaTheme="minorEastAsia" w:hAnsi="Tahoma" w:cs="Tahoma"/>
                <w:sz w:val="24"/>
                <w:szCs w:val="24"/>
                <w:lang w:eastAsia="fr-FR"/>
              </w:rPr>
            </w:pPr>
            <w:r w:rsidRPr="0016318F">
              <w:rPr>
                <w:rFonts w:ascii="Tahoma" w:eastAsiaTheme="minorEastAsia" w:hAnsi="Tahoma" w:cs="Tahoma"/>
                <w:sz w:val="24"/>
                <w:szCs w:val="24"/>
                <w:lang w:eastAsia="fr-FR"/>
              </w:rPr>
              <w:t>Lorsque les dépenses revêtent un caractère mixte, usage privé et professionnel, un tiers (1/3) desdites dépenses est réputé correspondre à un usage non professionnel.</w:t>
            </w:r>
          </w:p>
        </w:tc>
      </w:tr>
      <w:tr w:rsidR="00137376" w:rsidRPr="0016318F" w:rsidTr="008E07E1">
        <w:trPr>
          <w:trHeight w:val="761"/>
        </w:trPr>
        <w:tc>
          <w:tcPr>
            <w:tcW w:w="2177" w:type="dxa"/>
          </w:tcPr>
          <w:p w:rsidR="00137376" w:rsidRPr="0016318F" w:rsidRDefault="00137376" w:rsidP="0016318F">
            <w:pPr>
              <w:pStyle w:val="Sansinterligne"/>
              <w:spacing w:line="276" w:lineRule="auto"/>
              <w:jc w:val="both"/>
              <w:rPr>
                <w:rFonts w:ascii="Tahoma" w:hAnsi="Tahoma" w:cs="Tahoma"/>
                <w:b/>
                <w:sz w:val="24"/>
                <w:szCs w:val="24"/>
              </w:rPr>
            </w:pPr>
            <w:r w:rsidRPr="0016318F">
              <w:rPr>
                <w:rFonts w:ascii="Tahoma" w:hAnsi="Tahoma" w:cs="Tahoma"/>
                <w:b/>
                <w:sz w:val="24"/>
                <w:szCs w:val="24"/>
              </w:rPr>
              <w:t>N° de l’article</w:t>
            </w:r>
            <w:r w:rsidR="00A20765" w:rsidRPr="0016318F">
              <w:rPr>
                <w:rFonts w:ascii="Tahoma" w:hAnsi="Tahoma" w:cs="Tahoma"/>
                <w:b/>
                <w:sz w:val="24"/>
                <w:szCs w:val="24"/>
              </w:rPr>
              <w:t xml:space="preserve"> 38</w:t>
            </w:r>
            <w:r w:rsidRPr="0016318F">
              <w:rPr>
                <w:rFonts w:ascii="Tahoma" w:hAnsi="Tahoma" w:cs="Tahoma"/>
                <w:b/>
                <w:sz w:val="24"/>
                <w:szCs w:val="24"/>
              </w:rPr>
              <w:t xml:space="preserve"> du CGI</w:t>
            </w:r>
          </w:p>
        </w:tc>
        <w:tc>
          <w:tcPr>
            <w:tcW w:w="6411" w:type="dxa"/>
          </w:tcPr>
          <w:p w:rsidR="00137376" w:rsidRPr="0016318F" w:rsidRDefault="00137376" w:rsidP="0016318F">
            <w:pPr>
              <w:pStyle w:val="Sansinterligne"/>
              <w:spacing w:line="276" w:lineRule="auto"/>
              <w:jc w:val="both"/>
              <w:rPr>
                <w:rFonts w:ascii="Tahoma" w:hAnsi="Tahoma" w:cs="Tahoma"/>
                <w:b/>
                <w:sz w:val="24"/>
                <w:szCs w:val="24"/>
              </w:rPr>
            </w:pPr>
            <w:r w:rsidRPr="0016318F">
              <w:rPr>
                <w:rFonts w:ascii="Tahoma" w:hAnsi="Tahoma" w:cs="Tahoma"/>
                <w:b/>
                <w:sz w:val="24"/>
                <w:szCs w:val="24"/>
              </w:rPr>
              <w:t>Difficultés rencontrées</w:t>
            </w:r>
          </w:p>
          <w:p w:rsidR="00137376" w:rsidRPr="0016318F" w:rsidRDefault="00A20765" w:rsidP="0016318F">
            <w:pPr>
              <w:pStyle w:val="Sansinterligne"/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16318F">
              <w:rPr>
                <w:rFonts w:ascii="Tahoma" w:hAnsi="Tahoma" w:cs="Tahoma"/>
                <w:sz w:val="24"/>
                <w:szCs w:val="24"/>
              </w:rPr>
              <w:t>La réintégration du tiers des dépenses à caractère mixte dans le cas des mises à disposition des véhicules entrainera une double imposition de ces charges lorsque l’avantage en nature a été imposé entre les mains du bénéficiaire.</w:t>
            </w:r>
          </w:p>
        </w:tc>
      </w:tr>
      <w:tr w:rsidR="00137376" w:rsidRPr="0016318F" w:rsidTr="008E07E1">
        <w:trPr>
          <w:trHeight w:val="761"/>
        </w:trPr>
        <w:tc>
          <w:tcPr>
            <w:tcW w:w="2177" w:type="dxa"/>
          </w:tcPr>
          <w:p w:rsidR="00137376" w:rsidRPr="0016318F" w:rsidRDefault="00137376" w:rsidP="0016318F">
            <w:pPr>
              <w:pStyle w:val="Sansinterligne"/>
              <w:spacing w:line="276" w:lineRule="auto"/>
              <w:jc w:val="both"/>
              <w:rPr>
                <w:rFonts w:ascii="Tahoma" w:hAnsi="Tahoma" w:cs="Tahoma"/>
                <w:b/>
                <w:sz w:val="24"/>
                <w:szCs w:val="24"/>
              </w:rPr>
            </w:pPr>
            <w:r w:rsidRPr="0016318F">
              <w:rPr>
                <w:rFonts w:ascii="Tahoma" w:hAnsi="Tahoma" w:cs="Tahoma"/>
                <w:b/>
                <w:sz w:val="24"/>
                <w:szCs w:val="24"/>
              </w:rPr>
              <w:t>Exposé des motifs</w:t>
            </w:r>
          </w:p>
        </w:tc>
        <w:tc>
          <w:tcPr>
            <w:tcW w:w="6411" w:type="dxa"/>
          </w:tcPr>
          <w:p w:rsidR="00137376" w:rsidRPr="0016318F" w:rsidRDefault="00A20765" w:rsidP="0016318F">
            <w:pPr>
              <w:pStyle w:val="Sansinterligne"/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16318F">
              <w:rPr>
                <w:rFonts w:ascii="Tahoma" w:hAnsi="Tahoma" w:cs="Tahoma"/>
                <w:sz w:val="24"/>
                <w:szCs w:val="24"/>
              </w:rPr>
              <w:t xml:space="preserve">Pour éviter la cette double taxation, il convient de préciser que lorsque la partie des dépenses à caractère mixte, réputée à usage non professionnelle  a été imposé dans les mains des bénéficiaires comme avantage en nature conformément aux dispositions de l’article 20 du CGI, il n’y a plus lieu de considérer le caractère mixte des dépenses. </w:t>
            </w:r>
          </w:p>
        </w:tc>
      </w:tr>
      <w:tr w:rsidR="00137376" w:rsidRPr="0016318F" w:rsidTr="008E07E1">
        <w:trPr>
          <w:trHeight w:val="361"/>
        </w:trPr>
        <w:tc>
          <w:tcPr>
            <w:tcW w:w="2177" w:type="dxa"/>
          </w:tcPr>
          <w:p w:rsidR="00137376" w:rsidRPr="0016318F" w:rsidRDefault="00137376" w:rsidP="0016318F">
            <w:pPr>
              <w:pStyle w:val="Sansinterligne"/>
              <w:spacing w:line="276" w:lineRule="auto"/>
              <w:jc w:val="both"/>
              <w:rPr>
                <w:rFonts w:ascii="Tahoma" w:hAnsi="Tahoma" w:cs="Tahoma"/>
                <w:b/>
                <w:sz w:val="24"/>
                <w:szCs w:val="24"/>
              </w:rPr>
            </w:pPr>
            <w:r w:rsidRPr="0016318F">
              <w:rPr>
                <w:rFonts w:ascii="Tahoma" w:hAnsi="Tahoma" w:cs="Tahoma"/>
                <w:b/>
                <w:sz w:val="24"/>
                <w:szCs w:val="24"/>
              </w:rPr>
              <w:t>N° de l’article</w:t>
            </w:r>
            <w:r w:rsidR="00A20765" w:rsidRPr="0016318F">
              <w:rPr>
                <w:rFonts w:ascii="Tahoma" w:hAnsi="Tahoma" w:cs="Tahoma"/>
                <w:b/>
                <w:sz w:val="24"/>
                <w:szCs w:val="24"/>
              </w:rPr>
              <w:t xml:space="preserve"> 38</w:t>
            </w:r>
            <w:r w:rsidRPr="0016318F">
              <w:rPr>
                <w:rFonts w:ascii="Tahoma" w:hAnsi="Tahoma" w:cs="Tahoma"/>
                <w:b/>
                <w:sz w:val="24"/>
                <w:szCs w:val="24"/>
              </w:rPr>
              <w:t xml:space="preserve"> du CGI</w:t>
            </w:r>
          </w:p>
        </w:tc>
        <w:tc>
          <w:tcPr>
            <w:tcW w:w="6411" w:type="dxa"/>
          </w:tcPr>
          <w:p w:rsidR="00137376" w:rsidRPr="0016318F" w:rsidRDefault="00137376" w:rsidP="0016318F">
            <w:pPr>
              <w:tabs>
                <w:tab w:val="left" w:pos="0"/>
                <w:tab w:val="left" w:pos="142"/>
              </w:tabs>
              <w:spacing w:before="180" w:line="276" w:lineRule="auto"/>
              <w:ind w:left="0"/>
              <w:jc w:val="left"/>
              <w:rPr>
                <w:rStyle w:val="fontstyle01"/>
                <w:rFonts w:ascii="Tahoma" w:hAnsi="Tahoma" w:cs="Tahoma"/>
                <w:sz w:val="24"/>
                <w:szCs w:val="24"/>
              </w:rPr>
            </w:pPr>
            <w:r w:rsidRPr="0016318F">
              <w:rPr>
                <w:rStyle w:val="fontstyle01"/>
                <w:rFonts w:ascii="Tahoma" w:hAnsi="Tahoma" w:cs="Tahoma"/>
                <w:sz w:val="24"/>
                <w:szCs w:val="24"/>
              </w:rPr>
              <w:t>Sous réserve des dispositions particulières ci-après, le bénéfice imposable est déterminé dans</w:t>
            </w:r>
            <w:r w:rsidRPr="0016318F">
              <w:rPr>
                <w:rFonts w:ascii="Tahoma" w:hAnsi="Tahoma" w:cs="Tahoma"/>
                <w:color w:val="000000"/>
                <w:sz w:val="24"/>
                <w:szCs w:val="24"/>
              </w:rPr>
              <w:t xml:space="preserve"> </w:t>
            </w:r>
            <w:r w:rsidRPr="0016318F">
              <w:rPr>
                <w:rStyle w:val="fontstyle01"/>
                <w:rFonts w:ascii="Tahoma" w:hAnsi="Tahoma" w:cs="Tahoma"/>
                <w:sz w:val="24"/>
                <w:szCs w:val="24"/>
              </w:rPr>
              <w:t>les mêmes conditions que celles prévues en matière d’impôt sur les sociétés. (…)</w:t>
            </w:r>
          </w:p>
          <w:p w:rsidR="00A20765" w:rsidRPr="0016318F" w:rsidRDefault="00137376" w:rsidP="0016318F">
            <w:pPr>
              <w:pStyle w:val="Sansinterligne"/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16318F">
              <w:rPr>
                <w:rFonts w:ascii="Tahoma" w:hAnsi="Tahoma" w:cs="Tahoma"/>
                <w:sz w:val="24"/>
                <w:szCs w:val="24"/>
              </w:rPr>
              <w:t>Lorsque les dépenses revêtent un caractère mixte, usage privé et professionnel, un tiers (1/3) desdites dépenses est réputé correspondre à un usage non professionnel.</w:t>
            </w:r>
            <w:r w:rsidR="00A20765" w:rsidRPr="0016318F">
              <w:rPr>
                <w:rFonts w:ascii="Tahoma" w:hAnsi="Tahoma" w:cs="Tahoma"/>
                <w:sz w:val="24"/>
                <w:szCs w:val="24"/>
              </w:rPr>
              <w:t xml:space="preserve"> </w:t>
            </w:r>
          </w:p>
          <w:p w:rsidR="00137376" w:rsidRPr="0016318F" w:rsidRDefault="00A20765" w:rsidP="0016318F">
            <w:pPr>
              <w:pStyle w:val="Sansinterligne"/>
              <w:spacing w:line="276" w:lineRule="auto"/>
              <w:jc w:val="both"/>
              <w:rPr>
                <w:rFonts w:ascii="Tahoma" w:hAnsi="Tahoma" w:cs="Tahoma"/>
                <w:b/>
                <w:i/>
                <w:sz w:val="24"/>
                <w:szCs w:val="24"/>
              </w:rPr>
            </w:pPr>
            <w:r w:rsidRPr="0016318F">
              <w:rPr>
                <w:rFonts w:ascii="Tahoma" w:hAnsi="Tahoma" w:cs="Tahoma"/>
                <w:b/>
                <w:i/>
                <w:sz w:val="24"/>
                <w:szCs w:val="24"/>
              </w:rPr>
              <w:t>Toutefois lorsque le tiers</w:t>
            </w:r>
            <w:r w:rsidR="00AA1DE5" w:rsidRPr="0016318F">
              <w:rPr>
                <w:rFonts w:ascii="Tahoma" w:hAnsi="Tahoma" w:cs="Tahoma"/>
                <w:b/>
                <w:i/>
                <w:sz w:val="24"/>
                <w:szCs w:val="24"/>
              </w:rPr>
              <w:t xml:space="preserve"> (1/3)</w:t>
            </w:r>
            <w:r w:rsidRPr="0016318F">
              <w:rPr>
                <w:rFonts w:ascii="Tahoma" w:hAnsi="Tahoma" w:cs="Tahoma"/>
                <w:b/>
                <w:i/>
                <w:sz w:val="24"/>
                <w:szCs w:val="24"/>
              </w:rPr>
              <w:t xml:space="preserve"> des dépenses lié</w:t>
            </w:r>
            <w:r w:rsidR="00AA1DE5" w:rsidRPr="0016318F">
              <w:rPr>
                <w:rFonts w:ascii="Tahoma" w:hAnsi="Tahoma" w:cs="Tahoma"/>
                <w:b/>
                <w:i/>
                <w:sz w:val="24"/>
                <w:szCs w:val="24"/>
              </w:rPr>
              <w:t>e</w:t>
            </w:r>
            <w:r w:rsidRPr="0016318F">
              <w:rPr>
                <w:rFonts w:ascii="Tahoma" w:hAnsi="Tahoma" w:cs="Tahoma"/>
                <w:b/>
                <w:i/>
                <w:sz w:val="24"/>
                <w:szCs w:val="24"/>
              </w:rPr>
              <w:t>s à la mise à disposition de véhicules a été imposé comme avantage en nature en application des dispositions de l’article 20 du présent code, il n’y a pas lieu de rapporter cette fraction au résultat fiscal de l’exercice en cause.</w:t>
            </w:r>
          </w:p>
        </w:tc>
      </w:tr>
    </w:tbl>
    <w:p w:rsidR="00137376" w:rsidRPr="0016318F" w:rsidRDefault="00137376" w:rsidP="0016318F">
      <w:pPr>
        <w:pStyle w:val="Sansinterligne"/>
        <w:spacing w:line="276" w:lineRule="auto"/>
        <w:jc w:val="both"/>
        <w:rPr>
          <w:rFonts w:ascii="Tahoma" w:hAnsi="Tahoma" w:cs="Tahoma"/>
          <w:b/>
          <w:sz w:val="24"/>
          <w:szCs w:val="24"/>
          <w:u w:val="single"/>
        </w:rPr>
      </w:pPr>
    </w:p>
    <w:p w:rsidR="00A20765" w:rsidRPr="0016318F" w:rsidRDefault="00A20765" w:rsidP="0016318F">
      <w:pPr>
        <w:pStyle w:val="Sansinterligne"/>
        <w:spacing w:line="276" w:lineRule="auto"/>
        <w:jc w:val="both"/>
        <w:rPr>
          <w:rFonts w:ascii="Tahoma" w:hAnsi="Tahoma" w:cs="Tahoma"/>
          <w:b/>
          <w:sz w:val="24"/>
          <w:szCs w:val="24"/>
          <w:u w:val="single"/>
        </w:rPr>
      </w:pPr>
    </w:p>
    <w:tbl>
      <w:tblPr>
        <w:tblStyle w:val="Grilledutableau"/>
        <w:tblpPr w:leftFromText="141" w:rightFromText="141" w:vertAnchor="text" w:horzAnchor="margin" w:tblpXSpec="center" w:tblpY="264"/>
        <w:tblW w:w="0" w:type="auto"/>
        <w:tblLook w:val="04A0" w:firstRow="1" w:lastRow="0" w:firstColumn="1" w:lastColumn="0" w:noHBand="0" w:noVBand="1"/>
      </w:tblPr>
      <w:tblGrid>
        <w:gridCol w:w="2177"/>
        <w:gridCol w:w="6411"/>
      </w:tblGrid>
      <w:tr w:rsidR="00A20765" w:rsidRPr="0016318F" w:rsidTr="008E07E1">
        <w:trPr>
          <w:trHeight w:val="742"/>
        </w:trPr>
        <w:tc>
          <w:tcPr>
            <w:tcW w:w="2177" w:type="dxa"/>
          </w:tcPr>
          <w:p w:rsidR="00A20765" w:rsidRPr="0016318F" w:rsidRDefault="00A20765" w:rsidP="0016318F">
            <w:pPr>
              <w:pStyle w:val="Sansinterligne"/>
              <w:spacing w:line="276" w:lineRule="auto"/>
              <w:jc w:val="both"/>
              <w:rPr>
                <w:rFonts w:ascii="Tahoma" w:hAnsi="Tahoma" w:cs="Tahoma"/>
                <w:b/>
                <w:sz w:val="24"/>
                <w:szCs w:val="24"/>
              </w:rPr>
            </w:pPr>
            <w:r w:rsidRPr="0016318F">
              <w:rPr>
                <w:rFonts w:ascii="Tahoma" w:hAnsi="Tahoma" w:cs="Tahoma"/>
                <w:b/>
                <w:sz w:val="24"/>
                <w:szCs w:val="24"/>
              </w:rPr>
              <w:t xml:space="preserve">Article  </w:t>
            </w:r>
            <w:r w:rsidR="005026C7" w:rsidRPr="0016318F">
              <w:rPr>
                <w:rFonts w:ascii="Tahoma" w:hAnsi="Tahoma" w:cs="Tahoma"/>
                <w:b/>
                <w:sz w:val="24"/>
                <w:szCs w:val="24"/>
              </w:rPr>
              <w:t xml:space="preserve">36 </w:t>
            </w:r>
            <w:r w:rsidR="0071421F" w:rsidRPr="0016318F">
              <w:rPr>
                <w:rFonts w:ascii="Tahoma" w:hAnsi="Tahoma" w:cs="Tahoma"/>
                <w:b/>
                <w:sz w:val="24"/>
                <w:szCs w:val="24"/>
              </w:rPr>
              <w:t>du LPF</w:t>
            </w:r>
          </w:p>
        </w:tc>
        <w:tc>
          <w:tcPr>
            <w:tcW w:w="6411" w:type="dxa"/>
          </w:tcPr>
          <w:p w:rsidR="005026C7" w:rsidRPr="0016318F" w:rsidRDefault="005026C7" w:rsidP="0016318F">
            <w:pPr>
              <w:tabs>
                <w:tab w:val="left" w:pos="0"/>
                <w:tab w:val="left" w:pos="142"/>
              </w:tabs>
              <w:spacing w:before="180" w:line="276" w:lineRule="auto"/>
              <w:ind w:left="0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16318F">
              <w:rPr>
                <w:rFonts w:ascii="Tahoma" w:hAnsi="Tahoma" w:cs="Tahoma"/>
                <w:spacing w:val="-4"/>
                <w:sz w:val="24"/>
                <w:szCs w:val="24"/>
              </w:rPr>
              <w:t xml:space="preserve">Toute personne, société ou association recevant habituellement en dépôt des valeurs </w:t>
            </w:r>
            <w:r w:rsidRPr="0016318F">
              <w:rPr>
                <w:rFonts w:ascii="Tahoma" w:hAnsi="Tahoma" w:cs="Tahoma"/>
                <w:sz w:val="24"/>
                <w:szCs w:val="24"/>
              </w:rPr>
              <w:t xml:space="preserve">mobilières, est tenue d'adresser au Commissaire des impôts ou à défaut au responsable de l'Administration fiscale territorialement compétent, les avis d'ouverture et de clôture de tout </w:t>
            </w:r>
            <w:r w:rsidRPr="0016318F">
              <w:rPr>
                <w:rFonts w:ascii="Tahoma" w:hAnsi="Tahoma" w:cs="Tahoma"/>
                <w:sz w:val="24"/>
                <w:szCs w:val="24"/>
              </w:rPr>
              <w:lastRenderedPageBreak/>
              <w:t>compte de dépôt de titres, valeurs ou espèces, compte courant et autres.</w:t>
            </w:r>
          </w:p>
          <w:p w:rsidR="00A20765" w:rsidRPr="0016318F" w:rsidRDefault="005026C7" w:rsidP="0016318F">
            <w:pPr>
              <w:tabs>
                <w:tab w:val="left" w:pos="0"/>
                <w:tab w:val="left" w:pos="142"/>
              </w:tabs>
              <w:spacing w:before="216" w:line="276" w:lineRule="auto"/>
              <w:ind w:left="0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16318F">
              <w:rPr>
                <w:rFonts w:ascii="Tahoma" w:hAnsi="Tahoma" w:cs="Tahoma"/>
                <w:spacing w:val="1"/>
                <w:sz w:val="24"/>
                <w:szCs w:val="24"/>
              </w:rPr>
              <w:t xml:space="preserve">Les contrevenants aux dispositions du présent article sont passibles des sanctions prévues par </w:t>
            </w:r>
            <w:r w:rsidRPr="0016318F">
              <w:rPr>
                <w:rFonts w:ascii="Tahoma" w:hAnsi="Tahoma" w:cs="Tahoma"/>
                <w:sz w:val="24"/>
                <w:szCs w:val="24"/>
              </w:rPr>
              <w:t>le présent livre.</w:t>
            </w:r>
          </w:p>
        </w:tc>
      </w:tr>
      <w:tr w:rsidR="00A20765" w:rsidRPr="0016318F" w:rsidTr="008E07E1">
        <w:trPr>
          <w:trHeight w:val="761"/>
        </w:trPr>
        <w:tc>
          <w:tcPr>
            <w:tcW w:w="2177" w:type="dxa"/>
          </w:tcPr>
          <w:p w:rsidR="00A20765" w:rsidRPr="0016318F" w:rsidRDefault="00A20765" w:rsidP="0016318F">
            <w:pPr>
              <w:pStyle w:val="Sansinterligne"/>
              <w:spacing w:line="276" w:lineRule="auto"/>
              <w:jc w:val="both"/>
              <w:rPr>
                <w:rFonts w:ascii="Tahoma" w:hAnsi="Tahoma" w:cs="Tahoma"/>
                <w:b/>
                <w:sz w:val="24"/>
                <w:szCs w:val="24"/>
              </w:rPr>
            </w:pPr>
            <w:r w:rsidRPr="0016318F">
              <w:rPr>
                <w:rFonts w:ascii="Tahoma" w:hAnsi="Tahoma" w:cs="Tahoma"/>
                <w:b/>
                <w:sz w:val="24"/>
                <w:szCs w:val="24"/>
              </w:rPr>
              <w:lastRenderedPageBreak/>
              <w:t>N° de l’article</w:t>
            </w:r>
            <w:r w:rsidR="005026C7" w:rsidRPr="0016318F">
              <w:rPr>
                <w:rFonts w:ascii="Tahoma" w:hAnsi="Tahoma" w:cs="Tahoma"/>
                <w:b/>
                <w:sz w:val="24"/>
                <w:szCs w:val="24"/>
              </w:rPr>
              <w:t xml:space="preserve"> 36</w:t>
            </w:r>
            <w:r w:rsidR="0071421F" w:rsidRPr="0016318F">
              <w:rPr>
                <w:rFonts w:ascii="Tahoma" w:hAnsi="Tahoma" w:cs="Tahoma"/>
                <w:b/>
                <w:sz w:val="24"/>
                <w:szCs w:val="24"/>
              </w:rPr>
              <w:t xml:space="preserve"> du </w:t>
            </w:r>
            <w:r w:rsidR="004013F0" w:rsidRPr="0016318F">
              <w:rPr>
                <w:rFonts w:ascii="Tahoma" w:hAnsi="Tahoma" w:cs="Tahoma"/>
                <w:b/>
                <w:sz w:val="24"/>
                <w:szCs w:val="24"/>
              </w:rPr>
              <w:t xml:space="preserve"> LPF</w:t>
            </w:r>
          </w:p>
        </w:tc>
        <w:tc>
          <w:tcPr>
            <w:tcW w:w="6411" w:type="dxa"/>
          </w:tcPr>
          <w:p w:rsidR="00A20765" w:rsidRPr="0016318F" w:rsidRDefault="00A20765" w:rsidP="0016318F">
            <w:pPr>
              <w:pStyle w:val="Sansinterligne"/>
              <w:spacing w:line="276" w:lineRule="auto"/>
              <w:jc w:val="both"/>
              <w:rPr>
                <w:rFonts w:ascii="Tahoma" w:hAnsi="Tahoma" w:cs="Tahoma"/>
                <w:b/>
                <w:sz w:val="24"/>
                <w:szCs w:val="24"/>
              </w:rPr>
            </w:pPr>
            <w:r w:rsidRPr="0016318F">
              <w:rPr>
                <w:rFonts w:ascii="Tahoma" w:hAnsi="Tahoma" w:cs="Tahoma"/>
                <w:b/>
                <w:sz w:val="24"/>
                <w:szCs w:val="24"/>
              </w:rPr>
              <w:t>Difficultés rencontrées</w:t>
            </w:r>
          </w:p>
          <w:p w:rsidR="00A20765" w:rsidRPr="0016318F" w:rsidRDefault="005026C7" w:rsidP="0016318F">
            <w:pPr>
              <w:pStyle w:val="Sansinterligne"/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16318F">
              <w:rPr>
                <w:rFonts w:ascii="Tahoma" w:hAnsi="Tahoma" w:cs="Tahoma"/>
                <w:sz w:val="24"/>
                <w:szCs w:val="24"/>
              </w:rPr>
              <w:t>L’imputation de la retenue à la source sur les revenus de capitaux mobiliers non libératoire n’a pas été prévue.</w:t>
            </w:r>
          </w:p>
          <w:p w:rsidR="005026C7" w:rsidRPr="0016318F" w:rsidRDefault="005026C7" w:rsidP="0016318F">
            <w:pPr>
              <w:pStyle w:val="Sansinterligne"/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16318F">
              <w:rPr>
                <w:rFonts w:ascii="Tahoma" w:hAnsi="Tahoma" w:cs="Tahoma"/>
                <w:sz w:val="24"/>
                <w:szCs w:val="24"/>
              </w:rPr>
              <w:t>En plus le sort des retenues à la source subies à l’étranger  par les sociétés domiciliées au Togo n’est pas précisé.</w:t>
            </w:r>
          </w:p>
        </w:tc>
      </w:tr>
      <w:tr w:rsidR="00A20765" w:rsidRPr="0016318F" w:rsidTr="008E07E1">
        <w:trPr>
          <w:trHeight w:val="761"/>
        </w:trPr>
        <w:tc>
          <w:tcPr>
            <w:tcW w:w="2177" w:type="dxa"/>
          </w:tcPr>
          <w:p w:rsidR="00A20765" w:rsidRPr="0016318F" w:rsidRDefault="00A20765" w:rsidP="0016318F">
            <w:pPr>
              <w:pStyle w:val="Sansinterligne"/>
              <w:spacing w:line="276" w:lineRule="auto"/>
              <w:jc w:val="both"/>
              <w:rPr>
                <w:rFonts w:ascii="Tahoma" w:hAnsi="Tahoma" w:cs="Tahoma"/>
                <w:b/>
                <w:sz w:val="24"/>
                <w:szCs w:val="24"/>
              </w:rPr>
            </w:pPr>
            <w:r w:rsidRPr="0016318F">
              <w:rPr>
                <w:rFonts w:ascii="Tahoma" w:hAnsi="Tahoma" w:cs="Tahoma"/>
                <w:b/>
                <w:sz w:val="24"/>
                <w:szCs w:val="24"/>
              </w:rPr>
              <w:t>Exposé des motifs</w:t>
            </w:r>
          </w:p>
        </w:tc>
        <w:tc>
          <w:tcPr>
            <w:tcW w:w="6411" w:type="dxa"/>
          </w:tcPr>
          <w:p w:rsidR="00A20765" w:rsidRPr="0016318F" w:rsidRDefault="005026C7" w:rsidP="0016318F">
            <w:pPr>
              <w:pStyle w:val="Sansinterligne"/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16318F">
              <w:rPr>
                <w:rFonts w:ascii="Tahoma" w:hAnsi="Tahoma" w:cs="Tahoma"/>
                <w:sz w:val="24"/>
                <w:szCs w:val="24"/>
              </w:rPr>
              <w:t xml:space="preserve">Pour permettre aux contribuables ayant subi la retenue à la source sur les revenus de capitaux mobiliers de bénéficier du crédit d’impôt, il faut une disposition qui le stipule. Et prévoir le sort des retenues </w:t>
            </w:r>
            <w:r w:rsidR="00EA1FBC" w:rsidRPr="0016318F">
              <w:rPr>
                <w:rFonts w:ascii="Tahoma" w:hAnsi="Tahoma" w:cs="Tahoma"/>
                <w:sz w:val="24"/>
                <w:szCs w:val="24"/>
              </w:rPr>
              <w:t>à la source subie</w:t>
            </w:r>
            <w:r w:rsidRPr="0016318F">
              <w:rPr>
                <w:rFonts w:ascii="Tahoma" w:hAnsi="Tahoma" w:cs="Tahoma"/>
                <w:sz w:val="24"/>
                <w:szCs w:val="24"/>
              </w:rPr>
              <w:t xml:space="preserve"> à l’étranger par les sociétés domiciliées au Togo.</w:t>
            </w:r>
          </w:p>
        </w:tc>
      </w:tr>
      <w:tr w:rsidR="00A20765" w:rsidRPr="0016318F" w:rsidTr="008E07E1">
        <w:trPr>
          <w:trHeight w:val="361"/>
        </w:trPr>
        <w:tc>
          <w:tcPr>
            <w:tcW w:w="2177" w:type="dxa"/>
          </w:tcPr>
          <w:p w:rsidR="00A20765" w:rsidRPr="0016318F" w:rsidRDefault="00A20765" w:rsidP="0016318F">
            <w:pPr>
              <w:pStyle w:val="Sansinterligne"/>
              <w:spacing w:line="276" w:lineRule="auto"/>
              <w:jc w:val="both"/>
              <w:rPr>
                <w:rFonts w:ascii="Tahoma" w:hAnsi="Tahoma" w:cs="Tahoma"/>
                <w:b/>
                <w:sz w:val="24"/>
                <w:szCs w:val="24"/>
              </w:rPr>
            </w:pPr>
            <w:r w:rsidRPr="0016318F">
              <w:rPr>
                <w:rFonts w:ascii="Tahoma" w:hAnsi="Tahoma" w:cs="Tahoma"/>
                <w:b/>
                <w:sz w:val="24"/>
                <w:szCs w:val="24"/>
              </w:rPr>
              <w:t>N° de l’article</w:t>
            </w:r>
            <w:r w:rsidR="004013F0" w:rsidRPr="0016318F">
              <w:rPr>
                <w:rFonts w:ascii="Tahoma" w:hAnsi="Tahoma" w:cs="Tahoma"/>
                <w:b/>
                <w:sz w:val="24"/>
                <w:szCs w:val="24"/>
              </w:rPr>
              <w:t xml:space="preserve"> 36</w:t>
            </w:r>
            <w:r w:rsidR="0071421F" w:rsidRPr="0016318F">
              <w:rPr>
                <w:rFonts w:ascii="Tahoma" w:hAnsi="Tahoma" w:cs="Tahoma"/>
                <w:b/>
                <w:sz w:val="24"/>
                <w:szCs w:val="24"/>
              </w:rPr>
              <w:t xml:space="preserve"> du</w:t>
            </w:r>
            <w:r w:rsidR="004013F0" w:rsidRPr="0016318F">
              <w:rPr>
                <w:rFonts w:ascii="Tahoma" w:hAnsi="Tahoma" w:cs="Tahoma"/>
                <w:b/>
                <w:sz w:val="24"/>
                <w:szCs w:val="24"/>
              </w:rPr>
              <w:t xml:space="preserve"> LPF</w:t>
            </w:r>
          </w:p>
        </w:tc>
        <w:tc>
          <w:tcPr>
            <w:tcW w:w="6411" w:type="dxa"/>
          </w:tcPr>
          <w:p w:rsidR="00EA1FBC" w:rsidRPr="0016318F" w:rsidRDefault="00EA1FBC" w:rsidP="0016318F">
            <w:pPr>
              <w:tabs>
                <w:tab w:val="left" w:pos="0"/>
                <w:tab w:val="left" w:pos="142"/>
              </w:tabs>
              <w:spacing w:before="180" w:line="276" w:lineRule="auto"/>
              <w:ind w:left="0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16318F">
              <w:rPr>
                <w:rFonts w:ascii="Tahoma" w:hAnsi="Tahoma" w:cs="Tahoma"/>
                <w:spacing w:val="-4"/>
                <w:sz w:val="24"/>
                <w:szCs w:val="24"/>
              </w:rPr>
              <w:t xml:space="preserve">Toute personne, société ou association recevant habituellement en dépôt des valeurs </w:t>
            </w:r>
            <w:r w:rsidRPr="0016318F">
              <w:rPr>
                <w:rFonts w:ascii="Tahoma" w:hAnsi="Tahoma" w:cs="Tahoma"/>
                <w:sz w:val="24"/>
                <w:szCs w:val="24"/>
              </w:rPr>
              <w:t>mobilières, est tenue d'adresser au Commissaire des impôts ou à défaut au responsable de l'Administration fiscale territorialement compétent, les avis d'ouverture et de clôture de tout compte de dépôt de titres, valeurs ou espèces, compte courant et autres.</w:t>
            </w:r>
          </w:p>
          <w:p w:rsidR="00EA1FBC" w:rsidRPr="0016318F" w:rsidRDefault="00EA1FBC" w:rsidP="0016318F">
            <w:pPr>
              <w:tabs>
                <w:tab w:val="left" w:pos="0"/>
                <w:tab w:val="left" w:pos="142"/>
              </w:tabs>
              <w:spacing w:before="288" w:line="276" w:lineRule="auto"/>
              <w:ind w:left="0"/>
              <w:jc w:val="both"/>
              <w:rPr>
                <w:rFonts w:ascii="Tahoma" w:hAnsi="Tahoma" w:cs="Tahoma"/>
                <w:b/>
                <w:i/>
                <w:spacing w:val="-1"/>
                <w:sz w:val="24"/>
                <w:szCs w:val="24"/>
              </w:rPr>
            </w:pPr>
            <w:r w:rsidRPr="0016318F">
              <w:rPr>
                <w:rFonts w:ascii="Tahoma" w:hAnsi="Tahoma" w:cs="Tahoma"/>
                <w:b/>
                <w:i/>
                <w:spacing w:val="-1"/>
                <w:sz w:val="24"/>
                <w:szCs w:val="24"/>
              </w:rPr>
              <w:t xml:space="preserve">Les versements donnent droit, à des attestations individuelles de retenues que la partie versante </w:t>
            </w:r>
            <w:r w:rsidRPr="0016318F">
              <w:rPr>
                <w:rFonts w:ascii="Tahoma" w:hAnsi="Tahoma" w:cs="Tahoma"/>
                <w:b/>
                <w:i/>
                <w:sz w:val="24"/>
                <w:szCs w:val="24"/>
              </w:rPr>
              <w:t>est tenue de remettre aux personnes ayant fait l'objet de retenue.</w:t>
            </w:r>
          </w:p>
          <w:p w:rsidR="00A20765" w:rsidRPr="0016318F" w:rsidRDefault="00EA1FBC" w:rsidP="0016318F">
            <w:pPr>
              <w:tabs>
                <w:tab w:val="left" w:pos="0"/>
                <w:tab w:val="left" w:pos="142"/>
              </w:tabs>
              <w:spacing w:before="180" w:line="276" w:lineRule="auto"/>
              <w:ind w:left="0"/>
              <w:jc w:val="both"/>
              <w:rPr>
                <w:rFonts w:ascii="Tahoma" w:hAnsi="Tahoma" w:cs="Tahoma"/>
                <w:b/>
                <w:i/>
                <w:spacing w:val="-1"/>
                <w:sz w:val="24"/>
                <w:szCs w:val="24"/>
              </w:rPr>
            </w:pPr>
            <w:r w:rsidRPr="0016318F">
              <w:rPr>
                <w:rFonts w:ascii="Tahoma" w:hAnsi="Tahoma" w:cs="Tahoma"/>
                <w:b/>
                <w:i/>
                <w:spacing w:val="-1"/>
                <w:sz w:val="24"/>
                <w:szCs w:val="24"/>
              </w:rPr>
              <w:t xml:space="preserve">Ces dernières peuvent faire valoir ces attestations sur les cotisations d'impôts qui sont à leur charge. </w:t>
            </w:r>
          </w:p>
          <w:p w:rsidR="00EA1FBC" w:rsidRPr="0016318F" w:rsidRDefault="00EA1FBC" w:rsidP="0016318F">
            <w:pPr>
              <w:tabs>
                <w:tab w:val="left" w:pos="0"/>
                <w:tab w:val="left" w:pos="142"/>
              </w:tabs>
              <w:spacing w:before="180" w:line="276" w:lineRule="auto"/>
              <w:ind w:left="0"/>
              <w:jc w:val="both"/>
              <w:rPr>
                <w:rFonts w:ascii="Tahoma" w:hAnsi="Tahoma" w:cs="Tahoma"/>
                <w:b/>
                <w:i/>
                <w:spacing w:val="-4"/>
                <w:sz w:val="24"/>
                <w:szCs w:val="24"/>
              </w:rPr>
            </w:pPr>
            <w:r w:rsidRPr="0016318F">
              <w:rPr>
                <w:rFonts w:ascii="Tahoma" w:hAnsi="Tahoma" w:cs="Tahoma"/>
                <w:b/>
                <w:i/>
                <w:spacing w:val="-4"/>
                <w:sz w:val="24"/>
                <w:szCs w:val="24"/>
              </w:rPr>
              <w:t xml:space="preserve">Le système d'imputation impôt sur impôt est applicable : </w:t>
            </w:r>
          </w:p>
          <w:p w:rsidR="00EA1FBC" w:rsidRPr="0016318F" w:rsidRDefault="00EA1FBC" w:rsidP="0016318F">
            <w:pPr>
              <w:pStyle w:val="Paragraphedeliste"/>
              <w:numPr>
                <w:ilvl w:val="0"/>
                <w:numId w:val="7"/>
              </w:numPr>
              <w:tabs>
                <w:tab w:val="left" w:pos="0"/>
                <w:tab w:val="left" w:pos="142"/>
              </w:tabs>
              <w:spacing w:before="180" w:line="276" w:lineRule="auto"/>
              <w:jc w:val="both"/>
              <w:rPr>
                <w:rFonts w:ascii="Tahoma" w:eastAsiaTheme="minorHAnsi" w:hAnsi="Tahoma" w:cs="Tahoma"/>
                <w:b/>
                <w:i/>
                <w:spacing w:val="-4"/>
                <w:sz w:val="24"/>
                <w:szCs w:val="24"/>
                <w:lang w:val="fr-FR" w:eastAsia="en-US"/>
              </w:rPr>
            </w:pPr>
            <w:r w:rsidRPr="0016318F">
              <w:rPr>
                <w:rFonts w:ascii="Tahoma" w:eastAsiaTheme="minorHAnsi" w:hAnsi="Tahoma" w:cs="Tahoma"/>
                <w:b/>
                <w:i/>
                <w:spacing w:val="-4"/>
                <w:sz w:val="24"/>
                <w:szCs w:val="24"/>
                <w:lang w:val="fr-FR" w:eastAsia="en-US"/>
              </w:rPr>
              <w:t>aux revenus mobiliers qui entrent dans le champ d'application de la retenue à la source et notamment aux revenus d'obligations, d'effets publics et autres titres d'emprunt négociables ;</w:t>
            </w:r>
          </w:p>
          <w:p w:rsidR="00EA1FBC" w:rsidRPr="0016318F" w:rsidRDefault="00EA1FBC" w:rsidP="0016318F">
            <w:pPr>
              <w:pStyle w:val="Paragraphedeliste"/>
              <w:numPr>
                <w:ilvl w:val="0"/>
                <w:numId w:val="7"/>
              </w:numPr>
              <w:tabs>
                <w:tab w:val="left" w:pos="0"/>
                <w:tab w:val="left" w:pos="142"/>
              </w:tabs>
              <w:spacing w:before="180" w:line="276" w:lineRule="auto"/>
              <w:jc w:val="both"/>
              <w:rPr>
                <w:rFonts w:ascii="Tahoma" w:eastAsiaTheme="minorHAnsi" w:hAnsi="Tahoma" w:cs="Tahoma"/>
                <w:b/>
                <w:i/>
                <w:spacing w:val="-4"/>
                <w:sz w:val="24"/>
                <w:szCs w:val="24"/>
                <w:lang w:val="fr-FR" w:eastAsia="en-US"/>
              </w:rPr>
            </w:pPr>
            <w:r w:rsidRPr="0016318F">
              <w:rPr>
                <w:rFonts w:ascii="Tahoma" w:eastAsiaTheme="minorHAnsi" w:hAnsi="Tahoma" w:cs="Tahoma"/>
                <w:b/>
                <w:i/>
                <w:spacing w:val="-4"/>
                <w:sz w:val="24"/>
                <w:szCs w:val="24"/>
                <w:lang w:val="fr-FR" w:eastAsia="en-US"/>
              </w:rPr>
              <w:t>aux revenus de valeurs mobilières étrangères lorsqu'ils sont mis en paiement par des sociétés ayant leur siège dans</w:t>
            </w:r>
            <w:r w:rsidR="0071421F" w:rsidRPr="0016318F">
              <w:rPr>
                <w:rFonts w:ascii="Tahoma" w:eastAsiaTheme="minorHAnsi" w:hAnsi="Tahoma" w:cs="Tahoma"/>
                <w:b/>
                <w:i/>
                <w:spacing w:val="-4"/>
                <w:sz w:val="24"/>
                <w:szCs w:val="24"/>
                <w:lang w:val="fr-FR" w:eastAsia="en-US"/>
              </w:rPr>
              <w:t xml:space="preserve"> </w:t>
            </w:r>
            <w:r w:rsidRPr="0016318F">
              <w:rPr>
                <w:rFonts w:ascii="Tahoma" w:eastAsiaTheme="minorHAnsi" w:hAnsi="Tahoma" w:cs="Tahoma"/>
                <w:b/>
                <w:i/>
                <w:spacing w:val="-4"/>
                <w:sz w:val="24"/>
                <w:szCs w:val="24"/>
                <w:lang w:val="fr-FR" w:eastAsia="en-US"/>
              </w:rPr>
              <w:t>des pays liés au Togo par une convention internationale.</w:t>
            </w:r>
          </w:p>
          <w:p w:rsidR="00EA1FBC" w:rsidRPr="0016318F" w:rsidRDefault="00EA1FBC" w:rsidP="0016318F">
            <w:pPr>
              <w:tabs>
                <w:tab w:val="left" w:pos="0"/>
                <w:tab w:val="left" w:pos="142"/>
              </w:tabs>
              <w:spacing w:before="180" w:line="276" w:lineRule="auto"/>
              <w:ind w:left="0"/>
              <w:jc w:val="both"/>
              <w:rPr>
                <w:rFonts w:ascii="Tahoma" w:hAnsi="Tahoma" w:cs="Tahoma"/>
                <w:b/>
                <w:i/>
                <w:spacing w:val="-4"/>
                <w:sz w:val="24"/>
                <w:szCs w:val="24"/>
              </w:rPr>
            </w:pPr>
            <w:r w:rsidRPr="0016318F">
              <w:rPr>
                <w:rFonts w:ascii="Tahoma" w:hAnsi="Tahoma" w:cs="Tahoma"/>
                <w:b/>
                <w:i/>
                <w:spacing w:val="-4"/>
                <w:sz w:val="24"/>
                <w:szCs w:val="24"/>
              </w:rPr>
              <w:t xml:space="preserve">Les sociétés togolaises qui perçoivent ces revenus bénéficient d'une déduction impôt sur impôt qui est </w:t>
            </w:r>
            <w:r w:rsidRPr="0016318F">
              <w:rPr>
                <w:rFonts w:ascii="Tahoma" w:hAnsi="Tahoma" w:cs="Tahoma"/>
                <w:b/>
                <w:i/>
                <w:spacing w:val="-4"/>
                <w:sz w:val="24"/>
                <w:szCs w:val="24"/>
              </w:rPr>
              <w:lastRenderedPageBreak/>
              <w:t>limitée au montant du crédit correspondant à l'impôt retenu à la source à l'étranger tel qu'il est prévu par les conventions internationales.</w:t>
            </w:r>
          </w:p>
          <w:p w:rsidR="00EA1FBC" w:rsidRPr="0016318F" w:rsidRDefault="00EA1FBC" w:rsidP="0016318F">
            <w:pPr>
              <w:tabs>
                <w:tab w:val="left" w:pos="0"/>
                <w:tab w:val="left" w:pos="142"/>
              </w:tabs>
              <w:spacing w:before="180" w:line="276" w:lineRule="auto"/>
              <w:ind w:left="0"/>
              <w:jc w:val="both"/>
              <w:rPr>
                <w:rFonts w:ascii="Tahoma" w:hAnsi="Tahoma" w:cs="Tahoma"/>
                <w:b/>
                <w:i/>
                <w:spacing w:val="-4"/>
                <w:sz w:val="24"/>
                <w:szCs w:val="24"/>
              </w:rPr>
            </w:pPr>
            <w:r w:rsidRPr="0016318F">
              <w:rPr>
                <w:rFonts w:ascii="Tahoma" w:hAnsi="Tahoma" w:cs="Tahoma"/>
                <w:b/>
                <w:i/>
                <w:spacing w:val="-4"/>
                <w:sz w:val="24"/>
                <w:szCs w:val="24"/>
              </w:rPr>
              <w:t xml:space="preserve">Ne peuvent pas bénéficier de l'imputation impôt sur impôt, les sociétés ou collectivités suivantes : </w:t>
            </w:r>
          </w:p>
          <w:p w:rsidR="00EA1FBC" w:rsidRPr="0016318F" w:rsidRDefault="00EA1FBC" w:rsidP="0016318F">
            <w:pPr>
              <w:pStyle w:val="Paragraphedeliste"/>
              <w:numPr>
                <w:ilvl w:val="0"/>
                <w:numId w:val="7"/>
              </w:numPr>
              <w:tabs>
                <w:tab w:val="left" w:pos="0"/>
                <w:tab w:val="left" w:pos="142"/>
              </w:tabs>
              <w:spacing w:before="180" w:line="276" w:lineRule="auto"/>
              <w:jc w:val="both"/>
              <w:rPr>
                <w:rFonts w:ascii="Tahoma" w:eastAsiaTheme="minorHAnsi" w:hAnsi="Tahoma" w:cs="Tahoma"/>
                <w:b/>
                <w:i/>
                <w:spacing w:val="-4"/>
                <w:sz w:val="24"/>
                <w:szCs w:val="24"/>
                <w:lang w:val="fr-FR" w:eastAsia="en-US"/>
              </w:rPr>
            </w:pPr>
            <w:r w:rsidRPr="0016318F">
              <w:rPr>
                <w:rFonts w:ascii="Tahoma" w:eastAsiaTheme="minorHAnsi" w:hAnsi="Tahoma" w:cs="Tahoma"/>
                <w:b/>
                <w:i/>
                <w:spacing w:val="-4"/>
                <w:sz w:val="24"/>
                <w:szCs w:val="24"/>
                <w:lang w:val="fr-FR" w:eastAsia="en-US"/>
              </w:rPr>
              <w:t>les établissements publics, associations et autres collectivités assujetties à l'impôt sur les sociétés en vertu de</w:t>
            </w:r>
            <w:r w:rsidR="0071421F" w:rsidRPr="0016318F">
              <w:rPr>
                <w:rFonts w:ascii="Tahoma" w:eastAsiaTheme="minorHAnsi" w:hAnsi="Tahoma" w:cs="Tahoma"/>
                <w:b/>
                <w:i/>
                <w:spacing w:val="-4"/>
                <w:sz w:val="24"/>
                <w:szCs w:val="24"/>
                <w:lang w:val="fr-FR" w:eastAsia="en-US"/>
              </w:rPr>
              <w:t xml:space="preserve"> l'article </w:t>
            </w:r>
            <w:r w:rsidR="004013F0" w:rsidRPr="0016318F">
              <w:rPr>
                <w:rFonts w:ascii="Tahoma" w:eastAsiaTheme="minorHAnsi" w:hAnsi="Tahoma" w:cs="Tahoma"/>
                <w:b/>
                <w:i/>
                <w:spacing w:val="-4"/>
                <w:sz w:val="24"/>
                <w:szCs w:val="24"/>
                <w:lang w:val="fr-FR" w:eastAsia="en-US"/>
              </w:rPr>
              <w:t xml:space="preserve">92-j du </w:t>
            </w:r>
            <w:r w:rsidR="0071421F" w:rsidRPr="0016318F">
              <w:rPr>
                <w:rFonts w:ascii="Tahoma" w:eastAsiaTheme="minorHAnsi" w:hAnsi="Tahoma" w:cs="Tahoma"/>
                <w:b/>
                <w:i/>
                <w:spacing w:val="-4"/>
                <w:sz w:val="24"/>
                <w:szCs w:val="24"/>
                <w:lang w:val="fr-FR" w:eastAsia="en-US"/>
              </w:rPr>
              <w:t>code</w:t>
            </w:r>
            <w:r w:rsidR="004013F0" w:rsidRPr="0016318F">
              <w:rPr>
                <w:rFonts w:ascii="Tahoma" w:eastAsiaTheme="minorHAnsi" w:hAnsi="Tahoma" w:cs="Tahoma"/>
                <w:b/>
                <w:i/>
                <w:spacing w:val="-4"/>
                <w:sz w:val="24"/>
                <w:szCs w:val="24"/>
                <w:lang w:val="fr-FR" w:eastAsia="en-US"/>
              </w:rPr>
              <w:t xml:space="preserve"> général des impôts</w:t>
            </w:r>
            <w:r w:rsidRPr="0016318F">
              <w:rPr>
                <w:rFonts w:ascii="Tahoma" w:eastAsiaTheme="minorHAnsi" w:hAnsi="Tahoma" w:cs="Tahoma"/>
                <w:b/>
                <w:i/>
                <w:spacing w:val="-4"/>
                <w:sz w:val="24"/>
                <w:szCs w:val="24"/>
                <w:lang w:val="fr-FR" w:eastAsia="en-US"/>
              </w:rPr>
              <w:t xml:space="preserve"> ;</w:t>
            </w:r>
          </w:p>
          <w:p w:rsidR="0071421F" w:rsidRPr="0016318F" w:rsidRDefault="00EA1FBC" w:rsidP="0016318F">
            <w:pPr>
              <w:pStyle w:val="Paragraphedeliste"/>
              <w:numPr>
                <w:ilvl w:val="0"/>
                <w:numId w:val="7"/>
              </w:numPr>
              <w:tabs>
                <w:tab w:val="left" w:pos="0"/>
                <w:tab w:val="left" w:pos="142"/>
              </w:tabs>
              <w:spacing w:before="180" w:line="276" w:lineRule="auto"/>
              <w:jc w:val="both"/>
              <w:rPr>
                <w:rFonts w:ascii="Tahoma" w:eastAsiaTheme="minorHAnsi" w:hAnsi="Tahoma" w:cs="Tahoma"/>
                <w:b/>
                <w:i/>
                <w:spacing w:val="-4"/>
                <w:sz w:val="24"/>
                <w:szCs w:val="24"/>
                <w:lang w:val="fr-FR" w:eastAsia="en-US"/>
              </w:rPr>
            </w:pPr>
            <w:r w:rsidRPr="0016318F">
              <w:rPr>
                <w:rFonts w:ascii="Tahoma" w:eastAsiaTheme="minorHAnsi" w:hAnsi="Tahoma" w:cs="Tahoma"/>
                <w:b/>
                <w:i/>
                <w:spacing w:val="-4"/>
                <w:sz w:val="24"/>
                <w:szCs w:val="24"/>
                <w:lang w:val="fr-FR" w:eastAsia="en-US"/>
              </w:rPr>
              <w:t>les sociétés mères pour les dividendes de leurs filiales déductibles du bénéfi</w:t>
            </w:r>
            <w:r w:rsidR="0071421F" w:rsidRPr="0016318F">
              <w:rPr>
                <w:rFonts w:ascii="Tahoma" w:eastAsiaTheme="minorHAnsi" w:hAnsi="Tahoma" w:cs="Tahoma"/>
                <w:b/>
                <w:i/>
                <w:spacing w:val="-4"/>
                <w:sz w:val="24"/>
                <w:szCs w:val="24"/>
                <w:lang w:val="fr-FR" w:eastAsia="en-US"/>
              </w:rPr>
              <w:t xml:space="preserve">ce net en vertu de l'article 107 du </w:t>
            </w:r>
            <w:r w:rsidR="004013F0" w:rsidRPr="0016318F">
              <w:rPr>
                <w:rFonts w:ascii="Tahoma" w:eastAsiaTheme="minorHAnsi" w:hAnsi="Tahoma" w:cs="Tahoma"/>
                <w:b/>
                <w:i/>
                <w:spacing w:val="-4"/>
                <w:sz w:val="24"/>
                <w:szCs w:val="24"/>
                <w:lang w:val="fr-FR" w:eastAsia="en-US"/>
              </w:rPr>
              <w:t xml:space="preserve">code général des impôts </w:t>
            </w:r>
            <w:r w:rsidRPr="0016318F">
              <w:rPr>
                <w:rFonts w:ascii="Tahoma" w:eastAsiaTheme="minorHAnsi" w:hAnsi="Tahoma" w:cs="Tahoma"/>
                <w:b/>
                <w:i/>
                <w:spacing w:val="-4"/>
                <w:sz w:val="24"/>
                <w:szCs w:val="24"/>
                <w:lang w:val="fr-FR" w:eastAsia="en-US"/>
              </w:rPr>
              <w:t>;</w:t>
            </w:r>
          </w:p>
          <w:p w:rsidR="00EA1FBC" w:rsidRPr="0016318F" w:rsidRDefault="00EA1FBC" w:rsidP="0016318F">
            <w:pPr>
              <w:tabs>
                <w:tab w:val="left" w:pos="0"/>
                <w:tab w:val="left" w:pos="142"/>
              </w:tabs>
              <w:spacing w:before="180" w:line="276" w:lineRule="auto"/>
              <w:ind w:left="0"/>
              <w:jc w:val="both"/>
              <w:rPr>
                <w:rFonts w:ascii="Tahoma" w:hAnsi="Tahoma" w:cs="Tahoma"/>
                <w:b/>
                <w:i/>
                <w:spacing w:val="-4"/>
                <w:sz w:val="24"/>
                <w:szCs w:val="24"/>
              </w:rPr>
            </w:pPr>
            <w:r w:rsidRPr="0016318F">
              <w:rPr>
                <w:rFonts w:ascii="Tahoma" w:hAnsi="Tahoma" w:cs="Tahoma"/>
                <w:b/>
                <w:i/>
                <w:spacing w:val="-4"/>
                <w:sz w:val="24"/>
                <w:szCs w:val="24"/>
              </w:rPr>
              <w:t>En outre, lorsqu'un exercice est déficitaire, les crédits d'impôt attachés aux revenus mobiliers compris dans les</w:t>
            </w:r>
            <w:r w:rsidR="0071421F" w:rsidRPr="0016318F">
              <w:rPr>
                <w:rFonts w:ascii="Tahoma" w:hAnsi="Tahoma" w:cs="Tahoma"/>
                <w:b/>
                <w:i/>
                <w:spacing w:val="-4"/>
                <w:sz w:val="24"/>
                <w:szCs w:val="24"/>
              </w:rPr>
              <w:t xml:space="preserve"> </w:t>
            </w:r>
            <w:r w:rsidRPr="0016318F">
              <w:rPr>
                <w:rFonts w:ascii="Tahoma" w:hAnsi="Tahoma" w:cs="Tahoma"/>
                <w:b/>
                <w:i/>
                <w:spacing w:val="-4"/>
                <w:sz w:val="24"/>
                <w:szCs w:val="24"/>
              </w:rPr>
              <w:t>résultats dudit exercice ne peuvent être ni imputés, ni reportés, ni restitués et tombent donc en non-valeur.</w:t>
            </w:r>
          </w:p>
          <w:p w:rsidR="0071421F" w:rsidRPr="0016318F" w:rsidRDefault="0071421F" w:rsidP="0016318F">
            <w:pPr>
              <w:tabs>
                <w:tab w:val="left" w:pos="0"/>
                <w:tab w:val="left" w:pos="142"/>
              </w:tabs>
              <w:spacing w:before="180" w:line="276" w:lineRule="auto"/>
              <w:ind w:left="0"/>
              <w:jc w:val="both"/>
              <w:rPr>
                <w:rFonts w:ascii="Tahoma" w:hAnsi="Tahoma" w:cs="Tahoma"/>
                <w:b/>
                <w:i/>
                <w:spacing w:val="-4"/>
                <w:sz w:val="24"/>
                <w:szCs w:val="24"/>
              </w:rPr>
            </w:pPr>
            <w:r w:rsidRPr="0016318F">
              <w:rPr>
                <w:rFonts w:ascii="Tahoma" w:hAnsi="Tahoma" w:cs="Tahoma"/>
                <w:b/>
                <w:i/>
                <w:spacing w:val="-4"/>
                <w:sz w:val="24"/>
                <w:szCs w:val="24"/>
              </w:rPr>
              <w:t>Les entreprises qui entendent bénéficier des crédits d'impôt attachés aux revenus mobiliers qu'elles ont encaissés sont tenues :</w:t>
            </w:r>
          </w:p>
          <w:p w:rsidR="0071421F" w:rsidRPr="0016318F" w:rsidRDefault="0071421F" w:rsidP="0016318F">
            <w:pPr>
              <w:tabs>
                <w:tab w:val="left" w:pos="0"/>
                <w:tab w:val="left" w:pos="142"/>
              </w:tabs>
              <w:spacing w:before="180" w:line="276" w:lineRule="auto"/>
              <w:ind w:left="0"/>
              <w:jc w:val="both"/>
              <w:rPr>
                <w:rFonts w:ascii="Tahoma" w:hAnsi="Tahoma" w:cs="Tahoma"/>
                <w:b/>
                <w:i/>
                <w:spacing w:val="-4"/>
                <w:sz w:val="24"/>
                <w:szCs w:val="24"/>
              </w:rPr>
            </w:pPr>
            <w:r w:rsidRPr="0016318F">
              <w:rPr>
                <w:rFonts w:ascii="Tahoma" w:hAnsi="Tahoma" w:cs="Tahoma"/>
                <w:b/>
                <w:i/>
                <w:spacing w:val="-4"/>
                <w:sz w:val="24"/>
                <w:szCs w:val="24"/>
              </w:rPr>
              <w:t>- d'une part, de mentionner dans leur déclaration de résultats, le montant de la somme à imputer ;</w:t>
            </w:r>
          </w:p>
          <w:p w:rsidR="0071421F" w:rsidRPr="0016318F" w:rsidRDefault="0071421F" w:rsidP="0016318F">
            <w:pPr>
              <w:tabs>
                <w:tab w:val="left" w:pos="0"/>
                <w:tab w:val="left" w:pos="142"/>
              </w:tabs>
              <w:spacing w:before="180" w:line="276" w:lineRule="auto"/>
              <w:ind w:left="0"/>
              <w:jc w:val="both"/>
              <w:rPr>
                <w:rFonts w:ascii="Tahoma" w:hAnsi="Tahoma" w:cs="Tahoma"/>
                <w:b/>
                <w:i/>
                <w:spacing w:val="-4"/>
                <w:sz w:val="24"/>
                <w:szCs w:val="24"/>
              </w:rPr>
            </w:pPr>
            <w:r w:rsidRPr="0016318F">
              <w:rPr>
                <w:rFonts w:ascii="Tahoma" w:hAnsi="Tahoma" w:cs="Tahoma"/>
                <w:b/>
                <w:i/>
                <w:spacing w:val="-4"/>
                <w:sz w:val="24"/>
                <w:szCs w:val="24"/>
              </w:rPr>
              <w:t>- d'autre part, de joindre à leur déclaration les certificats de crédit d'impôt remis par les établissements payeurs.</w:t>
            </w:r>
          </w:p>
          <w:p w:rsidR="0071421F" w:rsidRPr="0016318F" w:rsidRDefault="0071421F" w:rsidP="0016318F">
            <w:pPr>
              <w:tabs>
                <w:tab w:val="left" w:pos="0"/>
                <w:tab w:val="left" w:pos="142"/>
              </w:tabs>
              <w:spacing w:before="180" w:line="276" w:lineRule="auto"/>
              <w:ind w:left="0"/>
              <w:jc w:val="both"/>
              <w:rPr>
                <w:rFonts w:ascii="Tahoma" w:hAnsi="Tahoma" w:cs="Tahoma"/>
                <w:b/>
                <w:i/>
                <w:spacing w:val="-4"/>
                <w:sz w:val="24"/>
                <w:szCs w:val="24"/>
              </w:rPr>
            </w:pPr>
            <w:r w:rsidRPr="0016318F">
              <w:rPr>
                <w:rFonts w:ascii="Tahoma" w:hAnsi="Tahoma" w:cs="Tahoma"/>
                <w:b/>
                <w:i/>
                <w:spacing w:val="-4"/>
                <w:sz w:val="24"/>
                <w:szCs w:val="24"/>
              </w:rPr>
              <w:t>Elles doivent en outre tenir à la disposition de l'Administration chargée de l'assiette de l'impôt toutes justifications utiles ainsi que tous documents employés ou établis par elles pour effectuer ce calcul.</w:t>
            </w:r>
          </w:p>
          <w:p w:rsidR="004013F0" w:rsidRPr="0016318F" w:rsidRDefault="004013F0" w:rsidP="0016318F">
            <w:pPr>
              <w:tabs>
                <w:tab w:val="left" w:pos="0"/>
                <w:tab w:val="left" w:pos="142"/>
              </w:tabs>
              <w:spacing w:before="180" w:line="276" w:lineRule="auto"/>
              <w:ind w:left="0"/>
              <w:jc w:val="both"/>
              <w:rPr>
                <w:rFonts w:ascii="Tahoma" w:hAnsi="Tahoma" w:cs="Tahoma"/>
                <w:spacing w:val="-4"/>
                <w:sz w:val="24"/>
                <w:szCs w:val="24"/>
              </w:rPr>
            </w:pPr>
            <w:r w:rsidRPr="0016318F">
              <w:rPr>
                <w:rFonts w:ascii="Tahoma" w:hAnsi="Tahoma" w:cs="Tahoma"/>
                <w:spacing w:val="1"/>
                <w:sz w:val="24"/>
                <w:szCs w:val="24"/>
              </w:rPr>
              <w:t xml:space="preserve">Les contrevenants aux dispositions du présent article sont passibles des sanctions prévues par </w:t>
            </w:r>
            <w:r w:rsidRPr="0016318F">
              <w:rPr>
                <w:rFonts w:ascii="Tahoma" w:hAnsi="Tahoma" w:cs="Tahoma"/>
                <w:sz w:val="24"/>
                <w:szCs w:val="24"/>
              </w:rPr>
              <w:t>le présent livre.</w:t>
            </w:r>
          </w:p>
        </w:tc>
      </w:tr>
    </w:tbl>
    <w:p w:rsidR="00A20765" w:rsidRPr="0016318F" w:rsidRDefault="00A20765" w:rsidP="0016318F">
      <w:pPr>
        <w:pStyle w:val="Sansinterligne"/>
        <w:spacing w:line="276" w:lineRule="auto"/>
        <w:jc w:val="both"/>
        <w:rPr>
          <w:rFonts w:ascii="Tahoma" w:hAnsi="Tahoma" w:cs="Tahoma"/>
          <w:b/>
          <w:sz w:val="24"/>
          <w:szCs w:val="24"/>
          <w:u w:val="single"/>
        </w:rPr>
      </w:pPr>
    </w:p>
    <w:p w:rsidR="004013F0" w:rsidRPr="0016318F" w:rsidRDefault="004013F0" w:rsidP="0016318F">
      <w:pPr>
        <w:pStyle w:val="Sansinterligne"/>
        <w:spacing w:line="276" w:lineRule="auto"/>
        <w:jc w:val="both"/>
        <w:rPr>
          <w:rFonts w:ascii="Tahoma" w:hAnsi="Tahoma" w:cs="Tahoma"/>
          <w:b/>
          <w:sz w:val="24"/>
          <w:szCs w:val="24"/>
          <w:u w:val="single"/>
        </w:rPr>
      </w:pPr>
    </w:p>
    <w:tbl>
      <w:tblPr>
        <w:tblStyle w:val="Grilledutableau"/>
        <w:tblpPr w:leftFromText="141" w:rightFromText="141" w:vertAnchor="text" w:horzAnchor="margin" w:tblpXSpec="center" w:tblpY="264"/>
        <w:tblW w:w="0" w:type="auto"/>
        <w:tblLook w:val="04A0" w:firstRow="1" w:lastRow="0" w:firstColumn="1" w:lastColumn="0" w:noHBand="0" w:noVBand="1"/>
      </w:tblPr>
      <w:tblGrid>
        <w:gridCol w:w="2177"/>
        <w:gridCol w:w="6411"/>
      </w:tblGrid>
      <w:tr w:rsidR="004013F0" w:rsidRPr="0016318F" w:rsidTr="008E07E1">
        <w:trPr>
          <w:trHeight w:val="742"/>
        </w:trPr>
        <w:tc>
          <w:tcPr>
            <w:tcW w:w="2177" w:type="dxa"/>
          </w:tcPr>
          <w:p w:rsidR="004013F0" w:rsidRPr="0016318F" w:rsidRDefault="004013F0" w:rsidP="0016318F">
            <w:pPr>
              <w:pStyle w:val="Sansinterligne"/>
              <w:spacing w:line="276" w:lineRule="auto"/>
              <w:jc w:val="both"/>
              <w:rPr>
                <w:rFonts w:ascii="Tahoma" w:hAnsi="Tahoma" w:cs="Tahoma"/>
                <w:b/>
                <w:sz w:val="24"/>
                <w:szCs w:val="24"/>
              </w:rPr>
            </w:pPr>
            <w:r w:rsidRPr="0016318F">
              <w:rPr>
                <w:rFonts w:ascii="Tahoma" w:hAnsi="Tahoma" w:cs="Tahoma"/>
                <w:b/>
                <w:sz w:val="24"/>
                <w:szCs w:val="24"/>
              </w:rPr>
              <w:t>Article 121 du LPF</w:t>
            </w:r>
          </w:p>
        </w:tc>
        <w:tc>
          <w:tcPr>
            <w:tcW w:w="6411" w:type="dxa"/>
          </w:tcPr>
          <w:p w:rsidR="004013F0" w:rsidRPr="0016318F" w:rsidRDefault="004013F0" w:rsidP="0016318F">
            <w:pPr>
              <w:tabs>
                <w:tab w:val="left" w:pos="0"/>
                <w:tab w:val="left" w:pos="142"/>
              </w:tabs>
              <w:spacing w:before="216" w:line="276" w:lineRule="auto"/>
              <w:ind w:left="0"/>
              <w:jc w:val="both"/>
              <w:rPr>
                <w:rFonts w:ascii="Tahoma" w:hAnsi="Tahoma" w:cs="Tahoma"/>
                <w:b/>
                <w:spacing w:val="-1"/>
                <w:sz w:val="24"/>
                <w:szCs w:val="24"/>
              </w:rPr>
            </w:pPr>
            <w:r w:rsidRPr="0016318F">
              <w:rPr>
                <w:rFonts w:ascii="Tahoma" w:hAnsi="Tahoma" w:cs="Tahoma"/>
                <w:spacing w:val="-1"/>
                <w:sz w:val="24"/>
                <w:szCs w:val="24"/>
              </w:rPr>
              <w:t xml:space="preserve">En cas de taxation d'office à défaut de déclaration dans les délais prescrits, les droits </w:t>
            </w:r>
            <w:r w:rsidRPr="0016318F">
              <w:rPr>
                <w:rFonts w:ascii="Tahoma" w:hAnsi="Tahoma" w:cs="Tahoma"/>
                <w:spacing w:val="2"/>
                <w:sz w:val="24"/>
                <w:szCs w:val="24"/>
              </w:rPr>
              <w:t xml:space="preserve">mis à la charge du contribuable sont majorés de 10% des droits dus pour chaque période </w:t>
            </w:r>
            <w:r w:rsidRPr="0016318F">
              <w:rPr>
                <w:rFonts w:ascii="Tahoma" w:hAnsi="Tahoma" w:cs="Tahoma"/>
                <w:sz w:val="24"/>
                <w:szCs w:val="24"/>
              </w:rPr>
              <w:t xml:space="preserve">d'imposition si la situation est régularisée dans les quinze </w:t>
            </w:r>
            <w:r w:rsidRPr="0016318F">
              <w:rPr>
                <w:rFonts w:ascii="Tahoma" w:hAnsi="Tahoma" w:cs="Tahoma"/>
                <w:sz w:val="24"/>
                <w:szCs w:val="24"/>
              </w:rPr>
              <w:lastRenderedPageBreak/>
              <w:t xml:space="preserve">(15) jours d'une mise en demeure </w:t>
            </w:r>
            <w:r w:rsidRPr="0016318F">
              <w:rPr>
                <w:rFonts w:ascii="Tahoma" w:hAnsi="Tahoma" w:cs="Tahoma"/>
                <w:spacing w:val="5"/>
                <w:sz w:val="24"/>
                <w:szCs w:val="24"/>
              </w:rPr>
              <w:t xml:space="preserve">envoyée par l'Administration fiscale. La majoration est de 30% si la situation n'est pas </w:t>
            </w:r>
            <w:r w:rsidRPr="0016318F">
              <w:rPr>
                <w:rFonts w:ascii="Tahoma" w:hAnsi="Tahoma" w:cs="Tahoma"/>
                <w:sz w:val="24"/>
                <w:szCs w:val="24"/>
              </w:rPr>
              <w:t>régularisée dans les quinze (15) jours de la mise en demeure.</w:t>
            </w:r>
          </w:p>
          <w:p w:rsidR="004013F0" w:rsidRPr="0016318F" w:rsidRDefault="004013F0" w:rsidP="0016318F">
            <w:pPr>
              <w:tabs>
                <w:tab w:val="left" w:pos="0"/>
                <w:tab w:val="left" w:pos="142"/>
              </w:tabs>
              <w:spacing w:before="144" w:line="276" w:lineRule="auto"/>
              <w:ind w:left="0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16318F">
              <w:rPr>
                <w:rFonts w:ascii="Tahoma" w:hAnsi="Tahoma" w:cs="Tahoma"/>
                <w:spacing w:val="6"/>
                <w:sz w:val="24"/>
                <w:szCs w:val="24"/>
              </w:rPr>
              <w:t xml:space="preserve">Dans le cas d'évaluation d'office des bases d'imposition suite à une dissimulation, les </w:t>
            </w:r>
            <w:r w:rsidRPr="0016318F">
              <w:rPr>
                <w:rFonts w:ascii="Tahoma" w:hAnsi="Tahoma" w:cs="Tahoma"/>
                <w:sz w:val="24"/>
                <w:szCs w:val="24"/>
              </w:rPr>
              <w:t>suppléments de droits mis à la charge du contribuable sont assortis d'une majoration de 80%.</w:t>
            </w:r>
          </w:p>
        </w:tc>
      </w:tr>
      <w:tr w:rsidR="004013F0" w:rsidRPr="0016318F" w:rsidTr="008E07E1">
        <w:trPr>
          <w:trHeight w:val="761"/>
        </w:trPr>
        <w:tc>
          <w:tcPr>
            <w:tcW w:w="2177" w:type="dxa"/>
          </w:tcPr>
          <w:p w:rsidR="004013F0" w:rsidRPr="0016318F" w:rsidRDefault="004013F0" w:rsidP="0016318F">
            <w:pPr>
              <w:pStyle w:val="Sansinterligne"/>
              <w:spacing w:line="276" w:lineRule="auto"/>
              <w:jc w:val="both"/>
              <w:rPr>
                <w:rFonts w:ascii="Tahoma" w:hAnsi="Tahoma" w:cs="Tahoma"/>
                <w:b/>
                <w:sz w:val="24"/>
                <w:szCs w:val="24"/>
              </w:rPr>
            </w:pPr>
            <w:r w:rsidRPr="0016318F">
              <w:rPr>
                <w:rFonts w:ascii="Tahoma" w:hAnsi="Tahoma" w:cs="Tahoma"/>
                <w:b/>
                <w:sz w:val="24"/>
                <w:szCs w:val="24"/>
              </w:rPr>
              <w:lastRenderedPageBreak/>
              <w:t xml:space="preserve">N° de l’article </w:t>
            </w:r>
            <w:r w:rsidR="0016318F" w:rsidRPr="0016318F">
              <w:rPr>
                <w:rFonts w:ascii="Tahoma" w:hAnsi="Tahoma" w:cs="Tahoma"/>
                <w:b/>
                <w:sz w:val="24"/>
                <w:szCs w:val="24"/>
              </w:rPr>
              <w:t>121 du LPF</w:t>
            </w:r>
          </w:p>
        </w:tc>
        <w:tc>
          <w:tcPr>
            <w:tcW w:w="6411" w:type="dxa"/>
          </w:tcPr>
          <w:p w:rsidR="004013F0" w:rsidRPr="0016318F" w:rsidRDefault="004013F0" w:rsidP="0016318F">
            <w:pPr>
              <w:pStyle w:val="Sansinterligne"/>
              <w:spacing w:line="276" w:lineRule="auto"/>
              <w:jc w:val="both"/>
              <w:rPr>
                <w:rFonts w:ascii="Tahoma" w:hAnsi="Tahoma" w:cs="Tahoma"/>
                <w:b/>
                <w:sz w:val="24"/>
                <w:szCs w:val="24"/>
              </w:rPr>
            </w:pPr>
            <w:r w:rsidRPr="0016318F">
              <w:rPr>
                <w:rFonts w:ascii="Tahoma" w:hAnsi="Tahoma" w:cs="Tahoma"/>
                <w:b/>
                <w:sz w:val="24"/>
                <w:szCs w:val="24"/>
              </w:rPr>
              <w:t>Difficultés rencontrées</w:t>
            </w:r>
          </w:p>
          <w:p w:rsidR="004013F0" w:rsidRPr="0016318F" w:rsidRDefault="00AA1DE5" w:rsidP="0016318F">
            <w:pPr>
              <w:pStyle w:val="Sansinterligne"/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16318F">
              <w:rPr>
                <w:rFonts w:ascii="Tahoma" w:hAnsi="Tahoma" w:cs="Tahoma"/>
                <w:sz w:val="24"/>
                <w:szCs w:val="24"/>
              </w:rPr>
              <w:t>Lorsque la situation est régularisée dans les 15 jours d’une mise en demeure, le processus n’aboutira pas à une taxation d’office alors que la rédaction de l’article commence avec « en cas de taxation d’office</w:t>
            </w:r>
            <w:r w:rsidR="00C572D1" w:rsidRPr="0016318F">
              <w:rPr>
                <w:rFonts w:ascii="Tahoma" w:hAnsi="Tahoma" w:cs="Tahoma"/>
                <w:sz w:val="24"/>
                <w:szCs w:val="24"/>
              </w:rPr>
              <w:t> ». Elle ne prévoit pas non plus le cas des régularisations hors délai de mise en demeure et avant taxation d’office comme c’est le cas à l’article 113 du LPF relative au dépôt des états financiers.</w:t>
            </w:r>
          </w:p>
        </w:tc>
      </w:tr>
      <w:tr w:rsidR="004013F0" w:rsidRPr="0016318F" w:rsidTr="008E07E1">
        <w:trPr>
          <w:trHeight w:val="761"/>
        </w:trPr>
        <w:tc>
          <w:tcPr>
            <w:tcW w:w="2177" w:type="dxa"/>
          </w:tcPr>
          <w:p w:rsidR="004013F0" w:rsidRPr="0016318F" w:rsidRDefault="004013F0" w:rsidP="0016318F">
            <w:pPr>
              <w:pStyle w:val="Sansinterligne"/>
              <w:spacing w:line="276" w:lineRule="auto"/>
              <w:jc w:val="both"/>
              <w:rPr>
                <w:rFonts w:ascii="Tahoma" w:hAnsi="Tahoma" w:cs="Tahoma"/>
                <w:b/>
                <w:sz w:val="24"/>
                <w:szCs w:val="24"/>
              </w:rPr>
            </w:pPr>
            <w:r w:rsidRPr="0016318F">
              <w:rPr>
                <w:rFonts w:ascii="Tahoma" w:hAnsi="Tahoma" w:cs="Tahoma"/>
                <w:b/>
                <w:sz w:val="24"/>
                <w:szCs w:val="24"/>
              </w:rPr>
              <w:t>Exposé des motifs</w:t>
            </w:r>
          </w:p>
        </w:tc>
        <w:tc>
          <w:tcPr>
            <w:tcW w:w="6411" w:type="dxa"/>
          </w:tcPr>
          <w:p w:rsidR="004013F0" w:rsidRPr="0016318F" w:rsidRDefault="00C572D1" w:rsidP="0016318F">
            <w:pPr>
              <w:pStyle w:val="Sansinterligne"/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16318F">
              <w:rPr>
                <w:rFonts w:ascii="Tahoma" w:hAnsi="Tahoma" w:cs="Tahoma"/>
                <w:sz w:val="24"/>
                <w:szCs w:val="24"/>
              </w:rPr>
              <w:t>Reprendre la rédaction de l’article comme c’est le cas au niveau de l’article 113 du LPF concernant le défaut des déclarations annuelles de revenu.</w:t>
            </w:r>
          </w:p>
        </w:tc>
      </w:tr>
      <w:tr w:rsidR="004013F0" w:rsidRPr="0016318F" w:rsidTr="008E07E1">
        <w:trPr>
          <w:trHeight w:val="361"/>
        </w:trPr>
        <w:tc>
          <w:tcPr>
            <w:tcW w:w="2177" w:type="dxa"/>
          </w:tcPr>
          <w:p w:rsidR="004013F0" w:rsidRPr="0016318F" w:rsidRDefault="004013F0" w:rsidP="0016318F">
            <w:pPr>
              <w:pStyle w:val="Sansinterligne"/>
              <w:spacing w:line="276" w:lineRule="auto"/>
              <w:jc w:val="both"/>
              <w:rPr>
                <w:rFonts w:ascii="Tahoma" w:hAnsi="Tahoma" w:cs="Tahoma"/>
                <w:b/>
                <w:sz w:val="24"/>
                <w:szCs w:val="24"/>
              </w:rPr>
            </w:pPr>
            <w:r w:rsidRPr="0016318F">
              <w:rPr>
                <w:rFonts w:ascii="Tahoma" w:hAnsi="Tahoma" w:cs="Tahoma"/>
                <w:b/>
                <w:sz w:val="24"/>
                <w:szCs w:val="24"/>
              </w:rPr>
              <w:t xml:space="preserve">N° de l’article </w:t>
            </w:r>
            <w:r w:rsidR="0016318F" w:rsidRPr="0016318F">
              <w:rPr>
                <w:rFonts w:ascii="Tahoma" w:hAnsi="Tahoma" w:cs="Tahoma"/>
                <w:b/>
                <w:sz w:val="24"/>
                <w:szCs w:val="24"/>
              </w:rPr>
              <w:t>121 du LPF</w:t>
            </w:r>
          </w:p>
        </w:tc>
        <w:tc>
          <w:tcPr>
            <w:tcW w:w="6411" w:type="dxa"/>
          </w:tcPr>
          <w:p w:rsidR="00AA1DE5" w:rsidRPr="0016318F" w:rsidRDefault="00AA1DE5" w:rsidP="0016318F">
            <w:pPr>
              <w:tabs>
                <w:tab w:val="left" w:pos="0"/>
                <w:tab w:val="left" w:pos="142"/>
              </w:tabs>
              <w:spacing w:before="216" w:line="276" w:lineRule="auto"/>
              <w:ind w:left="0"/>
              <w:jc w:val="both"/>
              <w:rPr>
                <w:rFonts w:ascii="Tahoma" w:hAnsi="Tahoma" w:cs="Tahoma"/>
                <w:b/>
                <w:i/>
                <w:sz w:val="24"/>
                <w:szCs w:val="24"/>
              </w:rPr>
            </w:pPr>
            <w:r w:rsidRPr="0016318F">
              <w:rPr>
                <w:rFonts w:ascii="Tahoma" w:hAnsi="Tahoma" w:cs="Tahoma"/>
                <w:b/>
                <w:i/>
                <w:sz w:val="24"/>
                <w:szCs w:val="24"/>
              </w:rPr>
              <w:t xml:space="preserve">Le défaut de déclaration soit pour absence de base taxable en toute matière fiscale, soit pour </w:t>
            </w:r>
            <w:r w:rsidRPr="0016318F">
              <w:rPr>
                <w:rFonts w:ascii="Tahoma" w:hAnsi="Tahoma" w:cs="Tahoma"/>
                <w:b/>
                <w:i/>
                <w:spacing w:val="-3"/>
                <w:sz w:val="24"/>
                <w:szCs w:val="24"/>
              </w:rPr>
              <w:t xml:space="preserve">TVA créditrice, est sanctionné par une amende de cinquante mille (50 000) francs CFA sauf </w:t>
            </w:r>
            <w:r w:rsidRPr="0016318F">
              <w:rPr>
                <w:rFonts w:ascii="Tahoma" w:hAnsi="Tahoma" w:cs="Tahoma"/>
                <w:b/>
                <w:i/>
                <w:sz w:val="24"/>
                <w:szCs w:val="24"/>
              </w:rPr>
              <w:t>dispositions contraires.</w:t>
            </w:r>
          </w:p>
          <w:p w:rsidR="00AA1DE5" w:rsidRPr="0016318F" w:rsidRDefault="00AA1DE5" w:rsidP="0016318F">
            <w:pPr>
              <w:tabs>
                <w:tab w:val="left" w:pos="0"/>
                <w:tab w:val="left" w:pos="142"/>
              </w:tabs>
              <w:spacing w:before="288" w:line="276" w:lineRule="auto"/>
              <w:ind w:left="0"/>
              <w:jc w:val="both"/>
              <w:rPr>
                <w:rFonts w:ascii="Tahoma" w:hAnsi="Tahoma" w:cs="Tahoma"/>
                <w:b/>
                <w:i/>
                <w:sz w:val="24"/>
                <w:szCs w:val="24"/>
              </w:rPr>
            </w:pPr>
            <w:r w:rsidRPr="0016318F">
              <w:rPr>
                <w:rFonts w:ascii="Tahoma" w:hAnsi="Tahoma" w:cs="Tahoma"/>
                <w:b/>
                <w:i/>
                <w:sz w:val="24"/>
                <w:szCs w:val="24"/>
              </w:rPr>
              <w:t>l'Administration fiscale peut adresser par pli recommandé avec avis de réception, une mise en demeure d'avoir à fournir les documents susmentionnés dans un délai de quinze (15) jours.</w:t>
            </w:r>
          </w:p>
          <w:p w:rsidR="00AA1DE5" w:rsidRPr="0016318F" w:rsidRDefault="00AA1DE5" w:rsidP="0016318F">
            <w:pPr>
              <w:tabs>
                <w:tab w:val="left" w:pos="0"/>
                <w:tab w:val="left" w:pos="142"/>
              </w:tabs>
              <w:spacing w:before="180" w:line="276" w:lineRule="auto"/>
              <w:ind w:left="0"/>
              <w:jc w:val="both"/>
              <w:rPr>
                <w:rFonts w:ascii="Tahoma" w:hAnsi="Tahoma" w:cs="Tahoma"/>
                <w:b/>
                <w:i/>
                <w:sz w:val="24"/>
                <w:szCs w:val="24"/>
              </w:rPr>
            </w:pPr>
            <w:r w:rsidRPr="0016318F">
              <w:rPr>
                <w:rFonts w:ascii="Tahoma" w:hAnsi="Tahoma" w:cs="Tahoma"/>
                <w:b/>
                <w:i/>
                <w:spacing w:val="1"/>
                <w:sz w:val="24"/>
                <w:szCs w:val="24"/>
              </w:rPr>
              <w:t xml:space="preserve">Si la régularisation intervient dans le délai, l'amende est majorée de 10% des sommes dues. </w:t>
            </w:r>
            <w:r w:rsidRPr="0016318F">
              <w:rPr>
                <w:rFonts w:ascii="Tahoma" w:hAnsi="Tahoma" w:cs="Tahoma"/>
                <w:b/>
                <w:i/>
                <w:sz w:val="24"/>
                <w:szCs w:val="24"/>
              </w:rPr>
              <w:t>Au-delà, la majoration est de 20%.</w:t>
            </w:r>
          </w:p>
          <w:p w:rsidR="00AA1DE5" w:rsidRPr="0016318F" w:rsidRDefault="00AA1DE5" w:rsidP="0016318F">
            <w:pPr>
              <w:tabs>
                <w:tab w:val="left" w:pos="0"/>
                <w:tab w:val="left" w:pos="142"/>
              </w:tabs>
              <w:spacing w:before="216" w:line="276" w:lineRule="auto"/>
              <w:ind w:left="0"/>
              <w:jc w:val="both"/>
              <w:rPr>
                <w:rFonts w:ascii="Tahoma" w:hAnsi="Tahoma" w:cs="Tahoma"/>
                <w:b/>
                <w:i/>
                <w:sz w:val="24"/>
                <w:szCs w:val="24"/>
              </w:rPr>
            </w:pPr>
            <w:r w:rsidRPr="0016318F">
              <w:rPr>
                <w:rFonts w:ascii="Tahoma" w:hAnsi="Tahoma" w:cs="Tahoma"/>
                <w:b/>
                <w:i/>
                <w:spacing w:val="-1"/>
                <w:sz w:val="24"/>
                <w:szCs w:val="24"/>
              </w:rPr>
              <w:t>En cas de taxation d'office pour défaut de déclaration dans les délais prescrits</w:t>
            </w:r>
            <w:r w:rsidR="00C572D1" w:rsidRPr="0016318F">
              <w:rPr>
                <w:rFonts w:ascii="Tahoma" w:hAnsi="Tahoma" w:cs="Tahoma"/>
                <w:b/>
                <w:i/>
                <w:sz w:val="24"/>
                <w:szCs w:val="24"/>
              </w:rPr>
              <w:t>, la majoration est de 30%</w:t>
            </w:r>
          </w:p>
          <w:p w:rsidR="004013F0" w:rsidRPr="0016318F" w:rsidRDefault="00C572D1" w:rsidP="0016318F">
            <w:pPr>
              <w:tabs>
                <w:tab w:val="left" w:pos="0"/>
                <w:tab w:val="left" w:pos="142"/>
              </w:tabs>
              <w:spacing w:before="144" w:line="276" w:lineRule="auto"/>
              <w:ind w:left="0"/>
              <w:jc w:val="both"/>
              <w:rPr>
                <w:rFonts w:ascii="Tahoma" w:hAnsi="Tahoma" w:cs="Tahoma"/>
                <w:b/>
                <w:sz w:val="24"/>
                <w:szCs w:val="24"/>
              </w:rPr>
            </w:pPr>
            <w:r w:rsidRPr="0016318F">
              <w:rPr>
                <w:rFonts w:ascii="Tahoma" w:hAnsi="Tahoma" w:cs="Tahoma"/>
                <w:spacing w:val="6"/>
                <w:sz w:val="24"/>
                <w:szCs w:val="24"/>
              </w:rPr>
              <w:t xml:space="preserve">Dans le cas d'évaluation d'office des bases d'imposition suite à une dissimulation, les </w:t>
            </w:r>
            <w:r w:rsidRPr="0016318F">
              <w:rPr>
                <w:rFonts w:ascii="Tahoma" w:hAnsi="Tahoma" w:cs="Tahoma"/>
                <w:sz w:val="24"/>
                <w:szCs w:val="24"/>
              </w:rPr>
              <w:t>suppléments de droits mis à la charge du contribuable sont assortis d'une majoration de 80%.</w:t>
            </w:r>
          </w:p>
        </w:tc>
      </w:tr>
      <w:tr w:rsidR="00C572D1" w:rsidRPr="0016318F" w:rsidTr="0072532B">
        <w:trPr>
          <w:trHeight w:val="742"/>
        </w:trPr>
        <w:tc>
          <w:tcPr>
            <w:tcW w:w="2177" w:type="dxa"/>
          </w:tcPr>
          <w:p w:rsidR="00C572D1" w:rsidRPr="0016318F" w:rsidRDefault="00C572D1" w:rsidP="0016318F">
            <w:pPr>
              <w:pStyle w:val="Sansinterligne"/>
              <w:spacing w:line="276" w:lineRule="auto"/>
              <w:jc w:val="both"/>
              <w:rPr>
                <w:rFonts w:ascii="Tahoma" w:hAnsi="Tahoma" w:cs="Tahoma"/>
                <w:b/>
                <w:sz w:val="24"/>
                <w:szCs w:val="24"/>
              </w:rPr>
            </w:pPr>
            <w:r w:rsidRPr="0016318F">
              <w:rPr>
                <w:rFonts w:ascii="Tahoma" w:hAnsi="Tahoma" w:cs="Tahoma"/>
                <w:b/>
                <w:sz w:val="24"/>
                <w:szCs w:val="24"/>
              </w:rPr>
              <w:lastRenderedPageBreak/>
              <w:t>Article 113 du LPF</w:t>
            </w:r>
          </w:p>
        </w:tc>
        <w:tc>
          <w:tcPr>
            <w:tcW w:w="6411" w:type="dxa"/>
          </w:tcPr>
          <w:p w:rsidR="00C572D1" w:rsidRPr="0016318F" w:rsidRDefault="00C572D1" w:rsidP="0016318F">
            <w:pPr>
              <w:tabs>
                <w:tab w:val="left" w:pos="0"/>
                <w:tab w:val="left" w:pos="142"/>
              </w:tabs>
              <w:spacing w:after="0" w:line="276" w:lineRule="auto"/>
              <w:ind w:left="0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16318F">
              <w:rPr>
                <w:rFonts w:ascii="Tahoma" w:hAnsi="Tahoma" w:cs="Tahoma"/>
                <w:sz w:val="24"/>
                <w:szCs w:val="24"/>
              </w:rPr>
              <w:t xml:space="preserve">(……)  Le défaut de déclaration soit pour absence de base taxable en toute matière fiscale, soit pour </w:t>
            </w:r>
            <w:r w:rsidRPr="0016318F">
              <w:rPr>
                <w:rFonts w:ascii="Tahoma" w:hAnsi="Tahoma" w:cs="Tahoma"/>
                <w:spacing w:val="-3"/>
                <w:sz w:val="24"/>
                <w:szCs w:val="24"/>
              </w:rPr>
              <w:t xml:space="preserve">TVA créditrice, est sanctionné par une amende de cinquante mille (50 000) francs CFA sauf </w:t>
            </w:r>
            <w:r w:rsidRPr="0016318F">
              <w:rPr>
                <w:rFonts w:ascii="Tahoma" w:hAnsi="Tahoma" w:cs="Tahoma"/>
                <w:sz w:val="24"/>
                <w:szCs w:val="24"/>
              </w:rPr>
              <w:t>dispositions contraires.</w:t>
            </w:r>
          </w:p>
        </w:tc>
      </w:tr>
      <w:tr w:rsidR="00C572D1" w:rsidRPr="0016318F" w:rsidTr="0072532B">
        <w:trPr>
          <w:trHeight w:val="761"/>
        </w:trPr>
        <w:tc>
          <w:tcPr>
            <w:tcW w:w="2177" w:type="dxa"/>
          </w:tcPr>
          <w:p w:rsidR="00C572D1" w:rsidRPr="0016318F" w:rsidRDefault="0016318F" w:rsidP="0016318F">
            <w:pPr>
              <w:pStyle w:val="Sansinterligne"/>
              <w:spacing w:line="276" w:lineRule="auto"/>
              <w:jc w:val="both"/>
              <w:rPr>
                <w:rFonts w:ascii="Tahoma" w:hAnsi="Tahoma" w:cs="Tahoma"/>
                <w:b/>
                <w:sz w:val="24"/>
                <w:szCs w:val="24"/>
              </w:rPr>
            </w:pPr>
            <w:r w:rsidRPr="0016318F">
              <w:rPr>
                <w:rFonts w:ascii="Tahoma" w:hAnsi="Tahoma" w:cs="Tahoma"/>
                <w:b/>
                <w:sz w:val="24"/>
                <w:szCs w:val="24"/>
              </w:rPr>
              <w:t>N° de l’article 113 du LPF</w:t>
            </w:r>
          </w:p>
        </w:tc>
        <w:tc>
          <w:tcPr>
            <w:tcW w:w="6411" w:type="dxa"/>
          </w:tcPr>
          <w:p w:rsidR="00C572D1" w:rsidRPr="0016318F" w:rsidRDefault="00C572D1" w:rsidP="0016318F">
            <w:pPr>
              <w:pStyle w:val="Sansinterligne"/>
              <w:spacing w:line="276" w:lineRule="auto"/>
              <w:jc w:val="both"/>
              <w:rPr>
                <w:rFonts w:ascii="Tahoma" w:hAnsi="Tahoma" w:cs="Tahoma"/>
                <w:b/>
                <w:sz w:val="24"/>
                <w:szCs w:val="24"/>
              </w:rPr>
            </w:pPr>
            <w:r w:rsidRPr="0016318F">
              <w:rPr>
                <w:rFonts w:ascii="Tahoma" w:hAnsi="Tahoma" w:cs="Tahoma"/>
                <w:b/>
                <w:sz w:val="24"/>
                <w:szCs w:val="24"/>
              </w:rPr>
              <w:t>Difficultés rencontrées</w:t>
            </w:r>
          </w:p>
          <w:p w:rsidR="00C572D1" w:rsidRPr="0016318F" w:rsidRDefault="00C572D1" w:rsidP="0016318F">
            <w:pPr>
              <w:pStyle w:val="Sansinterligne"/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16318F">
              <w:rPr>
                <w:rFonts w:ascii="Tahoma" w:hAnsi="Tahoma" w:cs="Tahoma"/>
                <w:sz w:val="24"/>
                <w:szCs w:val="24"/>
              </w:rPr>
              <w:t xml:space="preserve">L’article 113 est celle qui parle des dépôts des Etats financiers. Pour des raisons de cohérence au niveau de l’article 121 ci-dessus modifié, le dernier paragraphe de cet article doit être supprimé </w:t>
            </w:r>
          </w:p>
        </w:tc>
      </w:tr>
      <w:tr w:rsidR="00C572D1" w:rsidRPr="0016318F" w:rsidTr="0072532B">
        <w:trPr>
          <w:trHeight w:val="761"/>
        </w:trPr>
        <w:tc>
          <w:tcPr>
            <w:tcW w:w="2177" w:type="dxa"/>
          </w:tcPr>
          <w:p w:rsidR="00C572D1" w:rsidRPr="0016318F" w:rsidRDefault="00C572D1" w:rsidP="0016318F">
            <w:pPr>
              <w:pStyle w:val="Sansinterligne"/>
              <w:spacing w:line="276" w:lineRule="auto"/>
              <w:jc w:val="both"/>
              <w:rPr>
                <w:rFonts w:ascii="Tahoma" w:hAnsi="Tahoma" w:cs="Tahoma"/>
                <w:b/>
                <w:sz w:val="24"/>
                <w:szCs w:val="24"/>
              </w:rPr>
            </w:pPr>
            <w:r w:rsidRPr="0016318F">
              <w:rPr>
                <w:rFonts w:ascii="Tahoma" w:hAnsi="Tahoma" w:cs="Tahoma"/>
                <w:b/>
                <w:sz w:val="24"/>
                <w:szCs w:val="24"/>
              </w:rPr>
              <w:t>Exposé des motifs</w:t>
            </w:r>
          </w:p>
        </w:tc>
        <w:tc>
          <w:tcPr>
            <w:tcW w:w="6411" w:type="dxa"/>
          </w:tcPr>
          <w:p w:rsidR="00C572D1" w:rsidRPr="0016318F" w:rsidRDefault="00C572D1" w:rsidP="0016318F">
            <w:pPr>
              <w:pStyle w:val="Sansinterligne"/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16318F">
              <w:rPr>
                <w:rFonts w:ascii="Tahoma" w:hAnsi="Tahoma" w:cs="Tahoma"/>
                <w:sz w:val="24"/>
                <w:szCs w:val="24"/>
              </w:rPr>
              <w:t>déplacé le contenu du dernier paragraphe au niveau de l’article 121 pour des raisons de cohérence.</w:t>
            </w:r>
          </w:p>
        </w:tc>
      </w:tr>
      <w:tr w:rsidR="00C572D1" w:rsidRPr="0016318F" w:rsidTr="0072532B">
        <w:trPr>
          <w:trHeight w:val="361"/>
        </w:trPr>
        <w:tc>
          <w:tcPr>
            <w:tcW w:w="2177" w:type="dxa"/>
          </w:tcPr>
          <w:p w:rsidR="00C572D1" w:rsidRPr="0016318F" w:rsidRDefault="0016318F" w:rsidP="0016318F">
            <w:pPr>
              <w:pStyle w:val="Sansinterligne"/>
              <w:numPr>
                <w:ilvl w:val="0"/>
                <w:numId w:val="9"/>
              </w:numPr>
              <w:spacing w:line="276" w:lineRule="auto"/>
              <w:jc w:val="both"/>
              <w:rPr>
                <w:rFonts w:ascii="Tahoma" w:hAnsi="Tahoma" w:cs="Tahoma"/>
                <w:b/>
                <w:sz w:val="24"/>
                <w:szCs w:val="24"/>
              </w:rPr>
            </w:pPr>
            <w:r w:rsidRPr="0016318F">
              <w:rPr>
                <w:rFonts w:ascii="Tahoma" w:hAnsi="Tahoma" w:cs="Tahoma"/>
                <w:b/>
                <w:sz w:val="24"/>
                <w:szCs w:val="24"/>
              </w:rPr>
              <w:t xml:space="preserve"> LPF</w:t>
            </w:r>
          </w:p>
        </w:tc>
        <w:tc>
          <w:tcPr>
            <w:tcW w:w="6411" w:type="dxa"/>
          </w:tcPr>
          <w:p w:rsidR="0016318F" w:rsidRPr="0016318F" w:rsidRDefault="0016318F" w:rsidP="0016318F">
            <w:pPr>
              <w:tabs>
                <w:tab w:val="left" w:pos="0"/>
                <w:tab w:val="left" w:pos="142"/>
              </w:tabs>
              <w:spacing w:before="252" w:line="276" w:lineRule="auto"/>
              <w:ind w:left="0"/>
              <w:jc w:val="both"/>
              <w:rPr>
                <w:rFonts w:ascii="Tahoma" w:eastAsiaTheme="minorEastAsia" w:hAnsi="Tahoma" w:cs="Tahoma"/>
                <w:sz w:val="24"/>
                <w:szCs w:val="24"/>
                <w:lang w:eastAsia="fr-FR"/>
              </w:rPr>
            </w:pPr>
            <w:r w:rsidRPr="0016318F">
              <w:rPr>
                <w:rFonts w:ascii="Tahoma" w:eastAsiaTheme="minorEastAsia" w:hAnsi="Tahoma" w:cs="Tahoma"/>
                <w:sz w:val="24"/>
                <w:szCs w:val="24"/>
                <w:lang w:eastAsia="fr-FR"/>
              </w:rPr>
              <w:t>Le défaut de la déclaration des résultats dans les délais prescrits est sanctionné par une amende de :</w:t>
            </w:r>
          </w:p>
          <w:p w:rsidR="0016318F" w:rsidRPr="0016318F" w:rsidRDefault="0016318F" w:rsidP="0016318F">
            <w:pPr>
              <w:pStyle w:val="Paragraphedeliste"/>
              <w:numPr>
                <w:ilvl w:val="0"/>
                <w:numId w:val="8"/>
              </w:numPr>
              <w:tabs>
                <w:tab w:val="left" w:pos="0"/>
                <w:tab w:val="left" w:pos="142"/>
              </w:tabs>
              <w:spacing w:before="252" w:line="276" w:lineRule="auto"/>
              <w:jc w:val="both"/>
              <w:rPr>
                <w:rFonts w:ascii="Tahoma" w:eastAsiaTheme="minorEastAsia" w:hAnsi="Tahoma" w:cs="Tahoma"/>
                <w:sz w:val="24"/>
                <w:szCs w:val="24"/>
              </w:rPr>
            </w:pPr>
            <w:r w:rsidRPr="0016318F">
              <w:rPr>
                <w:rFonts w:ascii="Tahoma" w:eastAsiaTheme="minorEastAsia" w:hAnsi="Tahoma" w:cs="Tahoma"/>
                <w:sz w:val="24"/>
                <w:szCs w:val="24"/>
              </w:rPr>
              <w:t>cent cinquante mille (150 000) francs CFA pour les contribuables relevant du système normal de comptabilité ;</w:t>
            </w:r>
          </w:p>
          <w:p w:rsidR="0016318F" w:rsidRPr="0016318F" w:rsidRDefault="0016318F" w:rsidP="0016318F">
            <w:pPr>
              <w:pStyle w:val="Paragraphedeliste"/>
              <w:numPr>
                <w:ilvl w:val="0"/>
                <w:numId w:val="8"/>
              </w:numPr>
              <w:tabs>
                <w:tab w:val="left" w:pos="0"/>
                <w:tab w:val="left" w:pos="142"/>
              </w:tabs>
              <w:spacing w:before="252" w:line="276" w:lineRule="auto"/>
              <w:jc w:val="both"/>
              <w:rPr>
                <w:rFonts w:ascii="Tahoma" w:eastAsiaTheme="minorEastAsia" w:hAnsi="Tahoma" w:cs="Tahoma"/>
                <w:sz w:val="24"/>
                <w:szCs w:val="24"/>
              </w:rPr>
            </w:pPr>
            <w:r w:rsidRPr="0016318F">
              <w:rPr>
                <w:rFonts w:ascii="Tahoma" w:eastAsiaTheme="minorEastAsia" w:hAnsi="Tahoma" w:cs="Tahoma"/>
                <w:sz w:val="24"/>
                <w:szCs w:val="24"/>
                <w:lang w:val="fr-FR"/>
              </w:rPr>
              <w:t>cent mille (100 000) francs CFA pour ceux relevant du système minimal de trésorerie dont le chiffre d'affaires est supérieur à trente millions (30 000 000) de francs CFA ;</w:t>
            </w:r>
          </w:p>
          <w:p w:rsidR="0016318F" w:rsidRPr="0016318F" w:rsidRDefault="0016318F" w:rsidP="0016318F">
            <w:pPr>
              <w:pStyle w:val="Paragraphedeliste"/>
              <w:numPr>
                <w:ilvl w:val="0"/>
                <w:numId w:val="8"/>
              </w:numPr>
              <w:tabs>
                <w:tab w:val="left" w:pos="0"/>
                <w:tab w:val="left" w:pos="142"/>
              </w:tabs>
              <w:spacing w:before="252" w:line="276" w:lineRule="auto"/>
              <w:jc w:val="both"/>
              <w:rPr>
                <w:rFonts w:ascii="Tahoma" w:eastAsiaTheme="minorEastAsia" w:hAnsi="Tahoma" w:cs="Tahoma"/>
                <w:sz w:val="24"/>
                <w:szCs w:val="24"/>
              </w:rPr>
            </w:pPr>
            <w:r w:rsidRPr="0016318F">
              <w:rPr>
                <w:rFonts w:ascii="Tahoma" w:eastAsiaTheme="minorEastAsia" w:hAnsi="Tahoma" w:cs="Tahoma"/>
                <w:sz w:val="24"/>
                <w:szCs w:val="24"/>
              </w:rPr>
              <w:t xml:space="preserve"> </w:t>
            </w:r>
            <w:r w:rsidRPr="0016318F">
              <w:rPr>
                <w:rFonts w:ascii="Tahoma" w:eastAsiaTheme="minorEastAsia" w:hAnsi="Tahoma" w:cs="Tahoma"/>
                <w:sz w:val="24"/>
                <w:szCs w:val="24"/>
                <w:lang w:val="fr-FR"/>
              </w:rPr>
              <w:t>vingt-cinq mille (25 000) francs CFA en ce qui concerne le système minimal de trésorerie dont le chiffre d'affaires est inférieur à trente millions (30 000 000) de francs CFA.</w:t>
            </w:r>
          </w:p>
          <w:p w:rsidR="0016318F" w:rsidRPr="0016318F" w:rsidRDefault="0016318F" w:rsidP="0016318F">
            <w:pPr>
              <w:tabs>
                <w:tab w:val="left" w:pos="0"/>
                <w:tab w:val="left" w:pos="142"/>
              </w:tabs>
              <w:spacing w:before="288" w:line="276" w:lineRule="auto"/>
              <w:jc w:val="both"/>
              <w:rPr>
                <w:rFonts w:ascii="Tahoma" w:eastAsiaTheme="minorEastAsia" w:hAnsi="Tahoma" w:cs="Tahoma"/>
                <w:sz w:val="24"/>
                <w:szCs w:val="24"/>
                <w:lang w:eastAsia="fr-FR"/>
              </w:rPr>
            </w:pPr>
            <w:r w:rsidRPr="0016318F">
              <w:rPr>
                <w:rFonts w:ascii="Tahoma" w:eastAsiaTheme="minorEastAsia" w:hAnsi="Tahoma" w:cs="Tahoma"/>
                <w:sz w:val="24"/>
                <w:szCs w:val="24"/>
                <w:lang w:eastAsia="fr-FR"/>
              </w:rPr>
              <w:t>2- l'Administration fiscale peut adresser par pli recommandé avec avis de réception, une mise en demeure d'avoir à fournir les documents susmentionnés dans un délai de quinze (15) jours.</w:t>
            </w:r>
          </w:p>
          <w:p w:rsidR="0016318F" w:rsidRPr="0016318F" w:rsidRDefault="0016318F" w:rsidP="0016318F">
            <w:pPr>
              <w:tabs>
                <w:tab w:val="left" w:pos="0"/>
                <w:tab w:val="left" w:pos="142"/>
              </w:tabs>
              <w:spacing w:before="180" w:line="276" w:lineRule="auto"/>
              <w:jc w:val="both"/>
              <w:rPr>
                <w:rFonts w:ascii="Tahoma" w:eastAsiaTheme="minorEastAsia" w:hAnsi="Tahoma" w:cs="Tahoma"/>
                <w:sz w:val="24"/>
                <w:szCs w:val="24"/>
                <w:lang w:eastAsia="fr-FR"/>
              </w:rPr>
            </w:pPr>
            <w:r w:rsidRPr="0016318F">
              <w:rPr>
                <w:rFonts w:ascii="Tahoma" w:eastAsiaTheme="minorEastAsia" w:hAnsi="Tahoma" w:cs="Tahoma"/>
                <w:sz w:val="24"/>
                <w:szCs w:val="24"/>
                <w:lang w:eastAsia="fr-FR"/>
              </w:rPr>
              <w:t>Si la régularisation intervient dans le délai, l'amende est majorée de 10% des sommes dues. Au-delà, la majoration est de 20%.</w:t>
            </w:r>
          </w:p>
          <w:p w:rsidR="0016318F" w:rsidRPr="0016318F" w:rsidRDefault="0016318F" w:rsidP="0016318F">
            <w:pPr>
              <w:tabs>
                <w:tab w:val="left" w:pos="0"/>
                <w:tab w:val="left" w:pos="142"/>
              </w:tabs>
              <w:spacing w:before="180" w:line="276" w:lineRule="auto"/>
              <w:jc w:val="both"/>
              <w:rPr>
                <w:rFonts w:ascii="Tahoma" w:eastAsiaTheme="minorEastAsia" w:hAnsi="Tahoma" w:cs="Tahoma"/>
                <w:b/>
                <w:i/>
                <w:sz w:val="24"/>
                <w:szCs w:val="24"/>
                <w:lang w:eastAsia="fr-FR"/>
              </w:rPr>
            </w:pPr>
            <w:r w:rsidRPr="0016318F">
              <w:rPr>
                <w:rFonts w:ascii="Tahoma" w:eastAsiaTheme="minorEastAsia" w:hAnsi="Tahoma" w:cs="Tahoma"/>
                <w:b/>
                <w:i/>
                <w:sz w:val="24"/>
                <w:szCs w:val="24"/>
                <w:lang w:eastAsia="fr-FR"/>
              </w:rPr>
              <w:t>(Suite supprimé)</w:t>
            </w:r>
          </w:p>
          <w:p w:rsidR="00C572D1" w:rsidRPr="0016318F" w:rsidRDefault="00C572D1" w:rsidP="0016318F">
            <w:pPr>
              <w:tabs>
                <w:tab w:val="left" w:pos="0"/>
                <w:tab w:val="left" w:pos="142"/>
              </w:tabs>
              <w:spacing w:before="144" w:line="276" w:lineRule="auto"/>
              <w:ind w:left="0"/>
              <w:jc w:val="both"/>
              <w:rPr>
                <w:rFonts w:ascii="Tahoma" w:eastAsiaTheme="minorEastAsia" w:hAnsi="Tahoma" w:cs="Tahoma"/>
                <w:sz w:val="24"/>
                <w:szCs w:val="24"/>
                <w:lang w:eastAsia="fr-FR"/>
              </w:rPr>
            </w:pPr>
          </w:p>
        </w:tc>
      </w:tr>
    </w:tbl>
    <w:p w:rsidR="004013F0" w:rsidRPr="0016318F" w:rsidRDefault="004013F0" w:rsidP="0016318F">
      <w:pPr>
        <w:pStyle w:val="Sansinterligne"/>
        <w:spacing w:line="276" w:lineRule="auto"/>
        <w:jc w:val="both"/>
        <w:rPr>
          <w:rFonts w:ascii="Tahoma" w:hAnsi="Tahoma" w:cs="Tahoma"/>
          <w:b/>
          <w:sz w:val="24"/>
          <w:szCs w:val="24"/>
          <w:u w:val="single"/>
        </w:rPr>
      </w:pPr>
    </w:p>
    <w:sectPr w:rsidR="004013F0" w:rsidRPr="0016318F" w:rsidSect="0066152D">
      <w:pgSz w:w="11906" w:h="16838"/>
      <w:pgMar w:top="1417" w:right="1274" w:bottom="56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IDFont+F1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018C0"/>
    <w:multiLevelType w:val="hybridMultilevel"/>
    <w:tmpl w:val="F0E66CEA"/>
    <w:lvl w:ilvl="0" w:tplc="D0D2C3FA">
      <w:start w:val="98"/>
      <w:numFmt w:val="bullet"/>
      <w:lvlText w:val="-"/>
      <w:lvlJc w:val="left"/>
      <w:pPr>
        <w:ind w:left="720" w:hanging="360"/>
      </w:pPr>
      <w:rPr>
        <w:rFonts w:ascii="Arial Narrow" w:eastAsiaTheme="minorEastAsia" w:hAnsi="Arial Narrow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EF23A5"/>
    <w:multiLevelType w:val="multilevel"/>
    <w:tmpl w:val="652CD032"/>
    <w:lvl w:ilvl="0">
      <w:start w:val="1"/>
      <w:numFmt w:val="bullet"/>
      <w:lvlText w:val="-"/>
      <w:lvlJc w:val="left"/>
      <w:pPr>
        <w:tabs>
          <w:tab w:val="decimal" w:pos="432"/>
        </w:tabs>
        <w:ind w:left="720"/>
      </w:pPr>
      <w:rPr>
        <w:rFonts w:ascii="Symbol" w:hAnsi="Symbol"/>
        <w:strike w:val="0"/>
        <w:color w:val="000000"/>
        <w:spacing w:val="0"/>
        <w:w w:val="100"/>
        <w:sz w:val="24"/>
        <w:vertAlign w:val="baseline"/>
        <w:lang w:val="fr-FR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5F62E50"/>
    <w:multiLevelType w:val="hybridMultilevel"/>
    <w:tmpl w:val="8F96DFD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E0240E"/>
    <w:multiLevelType w:val="hybridMultilevel"/>
    <w:tmpl w:val="97145274"/>
    <w:lvl w:ilvl="0" w:tplc="8A7E6644">
      <w:start w:val="3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431FB0"/>
    <w:multiLevelType w:val="hybridMultilevel"/>
    <w:tmpl w:val="0150D512"/>
    <w:lvl w:ilvl="0" w:tplc="0C08F4A4"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  <w:b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A6F6F16"/>
    <w:multiLevelType w:val="hybridMultilevel"/>
    <w:tmpl w:val="01CC4BD0"/>
    <w:lvl w:ilvl="0" w:tplc="01E87B12">
      <w:start w:val="113"/>
      <w:numFmt w:val="decimal"/>
      <w:lvlText w:val="%1"/>
      <w:lvlJc w:val="left"/>
      <w:pPr>
        <w:ind w:left="828" w:hanging="46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407822"/>
    <w:multiLevelType w:val="hybridMultilevel"/>
    <w:tmpl w:val="01DA4FC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1D0704"/>
    <w:multiLevelType w:val="hybridMultilevel"/>
    <w:tmpl w:val="FC7A863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4C4EB0"/>
    <w:multiLevelType w:val="hybridMultilevel"/>
    <w:tmpl w:val="0CA0BA6E"/>
    <w:lvl w:ilvl="0" w:tplc="E76A4A84">
      <w:start w:val="98"/>
      <w:numFmt w:val="bullet"/>
      <w:lvlText w:val="-"/>
      <w:lvlJc w:val="left"/>
      <w:pPr>
        <w:ind w:left="720" w:hanging="360"/>
      </w:pPr>
      <w:rPr>
        <w:rFonts w:ascii="Arial Narrow" w:eastAsiaTheme="minorEastAsia" w:hAnsi="Arial Narrow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"/>
  </w:num>
  <w:num w:numId="3">
    <w:abstractNumId w:val="4"/>
  </w:num>
  <w:num w:numId="4">
    <w:abstractNumId w:val="6"/>
  </w:num>
  <w:num w:numId="5">
    <w:abstractNumId w:val="0"/>
  </w:num>
  <w:num w:numId="6">
    <w:abstractNumId w:val="8"/>
  </w:num>
  <w:num w:numId="7">
    <w:abstractNumId w:val="3"/>
  </w:num>
  <w:num w:numId="8">
    <w:abstractNumId w:val="1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45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026C"/>
    <w:rsid w:val="00015856"/>
    <w:rsid w:val="00021E2C"/>
    <w:rsid w:val="0002236D"/>
    <w:rsid w:val="000243A6"/>
    <w:rsid w:val="0003181C"/>
    <w:rsid w:val="000C0CAE"/>
    <w:rsid w:val="000C34DA"/>
    <w:rsid w:val="00137376"/>
    <w:rsid w:val="00154FD0"/>
    <w:rsid w:val="0016318F"/>
    <w:rsid w:val="001C07EB"/>
    <w:rsid w:val="001D7164"/>
    <w:rsid w:val="00224EAD"/>
    <w:rsid w:val="0027017A"/>
    <w:rsid w:val="002908B8"/>
    <w:rsid w:val="002D0652"/>
    <w:rsid w:val="003167BA"/>
    <w:rsid w:val="00353076"/>
    <w:rsid w:val="00393C70"/>
    <w:rsid w:val="003E28FB"/>
    <w:rsid w:val="003E292F"/>
    <w:rsid w:val="004013F0"/>
    <w:rsid w:val="004752CB"/>
    <w:rsid w:val="00495FB5"/>
    <w:rsid w:val="004B0368"/>
    <w:rsid w:val="004D38C1"/>
    <w:rsid w:val="004F6B43"/>
    <w:rsid w:val="005026C7"/>
    <w:rsid w:val="00564622"/>
    <w:rsid w:val="00597CA8"/>
    <w:rsid w:val="005F568B"/>
    <w:rsid w:val="00603AC7"/>
    <w:rsid w:val="0065390D"/>
    <w:rsid w:val="0066152D"/>
    <w:rsid w:val="00667D47"/>
    <w:rsid w:val="006E3CE0"/>
    <w:rsid w:val="0071421F"/>
    <w:rsid w:val="007345DC"/>
    <w:rsid w:val="007560D3"/>
    <w:rsid w:val="007712C5"/>
    <w:rsid w:val="007759F6"/>
    <w:rsid w:val="0078654B"/>
    <w:rsid w:val="007A1098"/>
    <w:rsid w:val="007E7AC6"/>
    <w:rsid w:val="007F026C"/>
    <w:rsid w:val="00806A12"/>
    <w:rsid w:val="008251F8"/>
    <w:rsid w:val="0085506B"/>
    <w:rsid w:val="00856575"/>
    <w:rsid w:val="008A0324"/>
    <w:rsid w:val="008A1766"/>
    <w:rsid w:val="008E6C6F"/>
    <w:rsid w:val="009359AB"/>
    <w:rsid w:val="009A16D9"/>
    <w:rsid w:val="009C23C4"/>
    <w:rsid w:val="00A20765"/>
    <w:rsid w:val="00A263B2"/>
    <w:rsid w:val="00A855B4"/>
    <w:rsid w:val="00AA1DE5"/>
    <w:rsid w:val="00AB7A0A"/>
    <w:rsid w:val="00AC400C"/>
    <w:rsid w:val="00B30858"/>
    <w:rsid w:val="00B62A50"/>
    <w:rsid w:val="00B82DDA"/>
    <w:rsid w:val="00B841CF"/>
    <w:rsid w:val="00B8537F"/>
    <w:rsid w:val="00B954BE"/>
    <w:rsid w:val="00BE357A"/>
    <w:rsid w:val="00C127FD"/>
    <w:rsid w:val="00C30B62"/>
    <w:rsid w:val="00C572D1"/>
    <w:rsid w:val="00C775A4"/>
    <w:rsid w:val="00CA5292"/>
    <w:rsid w:val="00CC41E4"/>
    <w:rsid w:val="00D4432F"/>
    <w:rsid w:val="00D62092"/>
    <w:rsid w:val="00D95FC3"/>
    <w:rsid w:val="00DE284D"/>
    <w:rsid w:val="00E17A4A"/>
    <w:rsid w:val="00E21847"/>
    <w:rsid w:val="00EA1FBC"/>
    <w:rsid w:val="00ED7825"/>
    <w:rsid w:val="00EE2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3824F44-059F-4D9C-B145-2D840469C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F026C"/>
    <w:pPr>
      <w:spacing w:after="200" w:line="360" w:lineRule="auto"/>
      <w:ind w:left="301"/>
      <w:jc w:val="center"/>
    </w:pPr>
  </w:style>
  <w:style w:type="paragraph" w:styleId="Titre1">
    <w:name w:val="heading 1"/>
    <w:basedOn w:val="Normal"/>
    <w:next w:val="Normal"/>
    <w:link w:val="Titre1Car"/>
    <w:uiPriority w:val="9"/>
    <w:qFormat/>
    <w:rsid w:val="007F026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F026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Sansinterligne">
    <w:name w:val="No Spacing"/>
    <w:link w:val="SansinterligneCar"/>
    <w:uiPriority w:val="1"/>
    <w:qFormat/>
    <w:rsid w:val="007F026C"/>
    <w:pPr>
      <w:spacing w:after="0" w:line="240" w:lineRule="auto"/>
    </w:pPr>
    <w:rPr>
      <w:rFonts w:eastAsiaTheme="minorEastAsia"/>
      <w:lang w:eastAsia="fr-FR"/>
    </w:rPr>
  </w:style>
  <w:style w:type="character" w:customStyle="1" w:styleId="SansinterligneCar">
    <w:name w:val="Sans interligne Car"/>
    <w:basedOn w:val="Policepardfaut"/>
    <w:link w:val="Sansinterligne"/>
    <w:uiPriority w:val="1"/>
    <w:rsid w:val="007F026C"/>
    <w:rPr>
      <w:rFonts w:eastAsiaTheme="minorEastAsia"/>
      <w:lang w:eastAsia="fr-FR"/>
    </w:rPr>
  </w:style>
  <w:style w:type="paragraph" w:styleId="En-tte">
    <w:name w:val="header"/>
    <w:basedOn w:val="Normal"/>
    <w:link w:val="En-tteCar"/>
    <w:uiPriority w:val="99"/>
    <w:rsid w:val="007F026C"/>
    <w:pPr>
      <w:tabs>
        <w:tab w:val="center" w:pos="4536"/>
        <w:tab w:val="right" w:pos="9072"/>
      </w:tabs>
      <w:spacing w:after="0" w:line="240" w:lineRule="auto"/>
      <w:ind w:left="0"/>
      <w:jc w:val="left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customStyle="1" w:styleId="En-tteCar">
    <w:name w:val="En-tête Car"/>
    <w:basedOn w:val="Policepardfaut"/>
    <w:link w:val="En-tte"/>
    <w:uiPriority w:val="99"/>
    <w:rsid w:val="007F026C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Paragraphedeliste">
    <w:name w:val="List Paragraph"/>
    <w:aliases w:val="Bullets,References,List Paragraph (numbered (a)),Numbered List Paragraph"/>
    <w:basedOn w:val="Normal"/>
    <w:link w:val="ParagraphedelisteCar"/>
    <w:uiPriority w:val="34"/>
    <w:qFormat/>
    <w:rsid w:val="00ED7825"/>
    <w:pPr>
      <w:spacing w:after="160" w:line="259" w:lineRule="auto"/>
      <w:ind w:left="720"/>
      <w:contextualSpacing/>
      <w:jc w:val="left"/>
    </w:pPr>
    <w:rPr>
      <w:rFonts w:ascii="Calibri" w:eastAsia="Times New Roman" w:hAnsi="Calibri" w:cs="Times New Roman"/>
      <w:lang w:val="fr-BE" w:eastAsia="fr-FR"/>
    </w:rPr>
  </w:style>
  <w:style w:type="character" w:customStyle="1" w:styleId="ParagraphedelisteCar">
    <w:name w:val="Paragraphe de liste Car"/>
    <w:aliases w:val="Bullets Car,References Car,List Paragraph (numbered (a)) Car,Numbered List Paragraph Car"/>
    <w:link w:val="Paragraphedeliste"/>
    <w:uiPriority w:val="34"/>
    <w:locked/>
    <w:rsid w:val="00ED7825"/>
    <w:rPr>
      <w:rFonts w:ascii="Calibri" w:eastAsia="Times New Roman" w:hAnsi="Calibri" w:cs="Times New Roman"/>
      <w:lang w:val="fr-BE"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17A4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17A4A"/>
    <w:rPr>
      <w:rFonts w:ascii="Segoe UI" w:hAnsi="Segoe UI" w:cs="Segoe UI"/>
      <w:sz w:val="18"/>
      <w:szCs w:val="18"/>
    </w:rPr>
  </w:style>
  <w:style w:type="table" w:styleId="Grilledutableau">
    <w:name w:val="Table Grid"/>
    <w:basedOn w:val="TableauNormal"/>
    <w:uiPriority w:val="39"/>
    <w:rsid w:val="007560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A855B4"/>
    <w:rPr>
      <w:color w:val="0563C1" w:themeColor="hyperlink"/>
      <w:u w:val="single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A855B4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A855B4"/>
    <w:rPr>
      <w:color w:val="954F72" w:themeColor="followedHyperlink"/>
      <w:u w:val="single"/>
    </w:rPr>
  </w:style>
  <w:style w:type="character" w:customStyle="1" w:styleId="fontstyle01">
    <w:name w:val="fontstyle01"/>
    <w:basedOn w:val="Policepardfaut"/>
    <w:rsid w:val="00DE284D"/>
    <w:rPr>
      <w:rFonts w:ascii="CIDFont+F1" w:hAnsi="CIDFont+F1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1959</Words>
  <Characters>10777</Characters>
  <Application>Microsoft Office Word</Application>
  <DocSecurity>0</DocSecurity>
  <Lines>89</Lines>
  <Paragraphs>25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OTR</Company>
  <LinksUpToDate>false</LinksUpToDate>
  <CharactersWithSpaces>12711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Pidénam KADJA</dc:creator>
  <cp:keywords/>
  <dc:description/>
  <cp:lastModifiedBy>Dodema BITENIWE</cp:lastModifiedBy>
  <cp:revision>2</cp:revision>
  <cp:lastPrinted>2021-06-04T17:03:00Z</cp:lastPrinted>
  <dcterms:created xsi:type="dcterms:W3CDTF">2022-08-03T08:03:00Z</dcterms:created>
  <dcterms:modified xsi:type="dcterms:W3CDTF">2022-08-03T08:03:00Z</dcterms:modified>
</cp:coreProperties>
</file>