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7A297" w14:textId="77777777" w:rsidR="005E5248" w:rsidRDefault="00000000">
      <w:pPr>
        <w:ind w:left="284" w:right="674"/>
        <w:rPr>
          <w:b/>
          <w:sz w:val="16"/>
          <w:szCs w:val="16"/>
        </w:rPr>
      </w:pPr>
      <w:r>
        <w:rPr>
          <w:noProof/>
          <w:sz w:val="20"/>
          <w:szCs w:val="20"/>
        </w:rPr>
        <w:drawing>
          <wp:inline distT="0" distB="0" distL="0" distR="0" wp14:anchorId="3107BD45" wp14:editId="10F4BF62">
            <wp:extent cx="1924050" cy="10668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53228" w14:textId="77777777" w:rsidR="005E5248" w:rsidRDefault="00000000">
      <w:pPr>
        <w:ind w:left="284" w:right="674"/>
        <w:rPr>
          <w:b/>
          <w:color w:val="333333"/>
          <w:sz w:val="22"/>
          <w:szCs w:val="22"/>
        </w:rPr>
      </w:pPr>
      <w:r>
        <w:rPr>
          <w:b/>
          <w:color w:val="333333"/>
          <w:sz w:val="22"/>
          <w:szCs w:val="22"/>
        </w:rPr>
        <w:t>Institut de Formation Fiscale et Douanière</w:t>
      </w:r>
    </w:p>
    <w:p w14:paraId="44C1DDF5" w14:textId="77777777" w:rsidR="005E5248" w:rsidRDefault="005E5248">
      <w:pPr>
        <w:ind w:left="284" w:right="674"/>
        <w:rPr>
          <w:b/>
          <w:color w:val="333333"/>
          <w:sz w:val="22"/>
          <w:szCs w:val="22"/>
        </w:rPr>
      </w:pPr>
    </w:p>
    <w:p w14:paraId="5C6CC709" w14:textId="29EEA5EA" w:rsidR="005E5248" w:rsidRDefault="00000000">
      <w:pPr>
        <w:ind w:left="284" w:right="13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Cycle de formation de base des cadres supérieurs</w:t>
      </w:r>
      <w:r w:rsidR="005752F9">
        <w:rPr>
          <w:b/>
          <w:sz w:val="32"/>
          <w:szCs w:val="32"/>
        </w:rPr>
        <w:br/>
        <w:t>S</w:t>
      </w:r>
      <w:r>
        <w:rPr>
          <w:b/>
          <w:sz w:val="32"/>
          <w:szCs w:val="32"/>
        </w:rPr>
        <w:t xml:space="preserve">pécialité </w:t>
      </w:r>
      <w:r w:rsidR="005752F9">
        <w:rPr>
          <w:b/>
          <w:sz w:val="32"/>
          <w:szCs w:val="32"/>
        </w:rPr>
        <w:t>Cadastre</w:t>
      </w:r>
      <w:r>
        <w:rPr>
          <w:b/>
          <w:sz w:val="32"/>
          <w:szCs w:val="32"/>
        </w:rPr>
        <w:t xml:space="preserve"> </w:t>
      </w:r>
    </w:p>
    <w:p w14:paraId="541C859A" w14:textId="77777777" w:rsidR="005E5248" w:rsidRDefault="005E5248">
      <w:pPr>
        <w:ind w:left="284" w:right="1183"/>
        <w:jc w:val="center"/>
        <w:rPr>
          <w:b/>
          <w:sz w:val="16"/>
          <w:szCs w:val="16"/>
        </w:rPr>
      </w:pPr>
    </w:p>
    <w:p w14:paraId="653E3CE9" w14:textId="7374E130" w:rsidR="005E5248" w:rsidRDefault="00000000">
      <w:pPr>
        <w:ind w:left="284" w:right="11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Fiche technique </w:t>
      </w:r>
      <w:r>
        <w:rPr>
          <w:b/>
          <w:color w:val="7030A0"/>
          <w:sz w:val="28"/>
          <w:szCs w:val="28"/>
        </w:rPr>
        <w:t xml:space="preserve">N° </w:t>
      </w:r>
      <w:r w:rsidR="00924249">
        <w:rPr>
          <w:b/>
          <w:color w:val="7030A0"/>
          <w:sz w:val="28"/>
          <w:szCs w:val="28"/>
        </w:rPr>
        <w:t>4</w:t>
      </w:r>
    </w:p>
    <w:p w14:paraId="1FB399ED" w14:textId="77777777" w:rsidR="005E5248" w:rsidRDefault="005E5248">
      <w:pPr>
        <w:ind w:left="284" w:right="1183"/>
        <w:rPr>
          <w:b/>
          <w:sz w:val="16"/>
          <w:szCs w:val="16"/>
        </w:rPr>
      </w:pPr>
    </w:p>
    <w:p w14:paraId="4824E66C" w14:textId="6F2062DB" w:rsidR="005E5248" w:rsidRDefault="00000000">
      <w:pPr>
        <w:ind w:left="284" w:right="1183"/>
        <w:rPr>
          <w:b/>
          <w:sz w:val="28"/>
          <w:szCs w:val="28"/>
        </w:rPr>
      </w:pPr>
      <w:r>
        <w:rPr>
          <w:b/>
          <w:sz w:val="28"/>
          <w:szCs w:val="28"/>
        </w:rPr>
        <w:t>Module :</w:t>
      </w:r>
      <w:r w:rsidR="001B4E78">
        <w:rPr>
          <w:b/>
          <w:sz w:val="28"/>
          <w:szCs w:val="28"/>
        </w:rPr>
        <w:t xml:space="preserve"> </w:t>
      </w:r>
      <w:r w:rsidR="001B4E78" w:rsidRPr="001B4E78">
        <w:rPr>
          <w:b/>
          <w:i/>
          <w:iCs/>
          <w:sz w:val="28"/>
          <w:szCs w:val="28"/>
        </w:rPr>
        <w:t>Taxes</w:t>
      </w:r>
      <w:r w:rsidR="001B4E78">
        <w:rPr>
          <w:b/>
          <w:sz w:val="28"/>
          <w:szCs w:val="28"/>
        </w:rPr>
        <w:t xml:space="preserve"> </w:t>
      </w:r>
      <w:r w:rsidR="001B4E78">
        <w:rPr>
          <w:b/>
          <w:i/>
          <w:sz w:val="32"/>
          <w:szCs w:val="32"/>
        </w:rPr>
        <w:t>foncières</w:t>
      </w:r>
    </w:p>
    <w:p w14:paraId="4AA8A875" w14:textId="77777777" w:rsidR="005E5248" w:rsidRDefault="005E5248">
      <w:pPr>
        <w:jc w:val="center"/>
        <w:rPr>
          <w:b/>
          <w:color w:val="339966"/>
          <w:sz w:val="16"/>
          <w:szCs w:val="16"/>
        </w:rPr>
      </w:pPr>
    </w:p>
    <w:tbl>
      <w:tblPr>
        <w:tblStyle w:val="a"/>
        <w:tblW w:w="978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5E5248" w14:paraId="08551079" w14:textId="77777777">
        <w:trPr>
          <w:trHeight w:val="1403"/>
        </w:trPr>
        <w:tc>
          <w:tcPr>
            <w:tcW w:w="9781" w:type="dxa"/>
          </w:tcPr>
          <w:p w14:paraId="43536792" w14:textId="77777777" w:rsidR="005E5248" w:rsidRDefault="005E5248">
            <w:pPr>
              <w:ind w:left="470"/>
              <w:rPr>
                <w:b/>
                <w:sz w:val="16"/>
                <w:szCs w:val="16"/>
              </w:rPr>
            </w:pPr>
          </w:p>
          <w:p w14:paraId="71B9286C" w14:textId="4281541A" w:rsidR="005E5248" w:rsidRDefault="00000000">
            <w:pPr>
              <w:numPr>
                <w:ilvl w:val="0"/>
                <w:numId w:val="1"/>
              </w:numPr>
              <w:spacing w:line="360" w:lineRule="auto"/>
              <w:rPr>
                <w:b/>
                <w:u w:val="single"/>
              </w:rPr>
            </w:pPr>
            <w:r>
              <w:rPr>
                <w:color w:val="000000"/>
              </w:rPr>
              <w:t> </w:t>
            </w:r>
            <w:r w:rsidRPr="005752F9">
              <w:rPr>
                <w:b/>
              </w:rPr>
              <w:t>Objecti</w:t>
            </w:r>
            <w:r w:rsidR="005752F9" w:rsidRPr="005752F9">
              <w:rPr>
                <w:b/>
              </w:rPr>
              <w:t xml:space="preserve">fs pédagogiques </w:t>
            </w:r>
            <w:r>
              <w:rPr>
                <w:b/>
              </w:rPr>
              <w:t xml:space="preserve">: </w:t>
            </w:r>
          </w:p>
          <w:p w14:paraId="68FBBD24" w14:textId="47BCAF09" w:rsidR="00B66EDD" w:rsidRDefault="00CA2A4F" w:rsidP="00B452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</w:t>
            </w:r>
            <w:r w:rsidR="00B66EDD">
              <w:rPr>
                <w:color w:val="000000"/>
                <w:sz w:val="22"/>
                <w:szCs w:val="22"/>
              </w:rPr>
              <w:t>ppliquer</w:t>
            </w:r>
            <w:r w:rsidR="001B4E78" w:rsidRPr="001B4E78">
              <w:rPr>
                <w:color w:val="000000"/>
                <w:sz w:val="22"/>
                <w:szCs w:val="22"/>
              </w:rPr>
              <w:t xml:space="preserve"> les règles et les procédures </w:t>
            </w:r>
            <w:r w:rsidR="00B66EDD">
              <w:rPr>
                <w:color w:val="000000"/>
                <w:sz w:val="22"/>
                <w:szCs w:val="22"/>
              </w:rPr>
              <w:t xml:space="preserve">liées </w:t>
            </w:r>
            <w:r w:rsidR="001B4E78" w:rsidRPr="001B4E78">
              <w:rPr>
                <w:color w:val="000000"/>
                <w:sz w:val="22"/>
                <w:szCs w:val="22"/>
              </w:rPr>
              <w:t>aux taxes foncières</w:t>
            </w:r>
            <w:r w:rsidR="00B452D6">
              <w:rPr>
                <w:color w:val="000000"/>
                <w:sz w:val="22"/>
                <w:szCs w:val="22"/>
              </w:rPr>
              <w:t xml:space="preserve"> (champ d’application, exonérations), </w:t>
            </w:r>
          </w:p>
          <w:p w14:paraId="1B182521" w14:textId="39890FD9" w:rsidR="00B452D6" w:rsidRDefault="00CA2A4F" w:rsidP="00B452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</w:t>
            </w:r>
            <w:r w:rsidR="00B66EDD">
              <w:rPr>
                <w:color w:val="000000"/>
                <w:sz w:val="22"/>
                <w:szCs w:val="22"/>
              </w:rPr>
              <w:t xml:space="preserve">xpliquer </w:t>
            </w:r>
            <w:r w:rsidR="00B43D70">
              <w:rPr>
                <w:color w:val="000000"/>
                <w:sz w:val="22"/>
                <w:szCs w:val="22"/>
              </w:rPr>
              <w:t xml:space="preserve">les principes de </w:t>
            </w:r>
            <w:r w:rsidR="001B4E78" w:rsidRPr="001B4E78">
              <w:rPr>
                <w:color w:val="000000"/>
                <w:sz w:val="22"/>
                <w:szCs w:val="22"/>
              </w:rPr>
              <w:t>liquid</w:t>
            </w:r>
            <w:r w:rsidR="00B43D70">
              <w:rPr>
                <w:color w:val="000000"/>
                <w:sz w:val="22"/>
                <w:szCs w:val="22"/>
              </w:rPr>
              <w:t>ation</w:t>
            </w:r>
            <w:r w:rsidR="001B4E78" w:rsidRPr="001B4E78">
              <w:rPr>
                <w:color w:val="000000"/>
                <w:sz w:val="22"/>
                <w:szCs w:val="22"/>
              </w:rPr>
              <w:t xml:space="preserve"> </w:t>
            </w:r>
            <w:r w:rsidR="00B452D6">
              <w:rPr>
                <w:color w:val="000000"/>
                <w:sz w:val="22"/>
                <w:szCs w:val="22"/>
              </w:rPr>
              <w:t xml:space="preserve">et </w:t>
            </w:r>
            <w:r w:rsidR="00B43D70">
              <w:rPr>
                <w:color w:val="000000"/>
                <w:sz w:val="22"/>
                <w:szCs w:val="22"/>
              </w:rPr>
              <w:t xml:space="preserve">de </w:t>
            </w:r>
            <w:r w:rsidR="00B452D6">
              <w:rPr>
                <w:color w:val="000000"/>
                <w:sz w:val="22"/>
                <w:szCs w:val="22"/>
              </w:rPr>
              <w:t>recouvre</w:t>
            </w:r>
            <w:r w:rsidR="00B43D70">
              <w:rPr>
                <w:color w:val="000000"/>
                <w:sz w:val="22"/>
                <w:szCs w:val="22"/>
              </w:rPr>
              <w:t>ment d’</w:t>
            </w:r>
            <w:r w:rsidR="001B4E78" w:rsidRPr="001B4E78">
              <w:rPr>
                <w:color w:val="000000"/>
                <w:sz w:val="22"/>
                <w:szCs w:val="22"/>
              </w:rPr>
              <w:t>une taxe foncière</w:t>
            </w:r>
          </w:p>
        </w:tc>
      </w:tr>
      <w:tr w:rsidR="005E5248" w14:paraId="11DC5D50" w14:textId="77777777">
        <w:trPr>
          <w:trHeight w:val="649"/>
        </w:trPr>
        <w:tc>
          <w:tcPr>
            <w:tcW w:w="9781" w:type="dxa"/>
          </w:tcPr>
          <w:p w14:paraId="4265AF40" w14:textId="77777777" w:rsidR="005E5248" w:rsidRDefault="005E5248">
            <w:pPr>
              <w:spacing w:before="40"/>
              <w:ind w:left="471"/>
              <w:rPr>
                <w:sz w:val="10"/>
                <w:szCs w:val="10"/>
              </w:rPr>
            </w:pPr>
          </w:p>
          <w:p w14:paraId="5200F40E" w14:textId="77777777" w:rsidR="005E5248" w:rsidRDefault="00000000">
            <w:pPr>
              <w:numPr>
                <w:ilvl w:val="0"/>
                <w:numId w:val="1"/>
              </w:numPr>
              <w:spacing w:line="360" w:lineRule="auto"/>
              <w:rPr>
                <w:b/>
              </w:rPr>
            </w:pPr>
            <w:r w:rsidRPr="005752F9">
              <w:rPr>
                <w:b/>
              </w:rPr>
              <w:t>Grands axes de formation</w:t>
            </w:r>
            <w:r>
              <w:rPr>
                <w:b/>
              </w:rPr>
              <w:t> :</w:t>
            </w:r>
          </w:p>
          <w:p w14:paraId="1FC0B4BD" w14:textId="77777777" w:rsidR="001B4E78" w:rsidRPr="001B4E78" w:rsidRDefault="001B4E78" w:rsidP="001B4E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1B4E78">
              <w:rPr>
                <w:color w:val="000000"/>
                <w:sz w:val="22"/>
                <w:szCs w:val="22"/>
              </w:rPr>
              <w:t>La taxe foncière sur les propriétés bâties</w:t>
            </w:r>
          </w:p>
          <w:p w14:paraId="3EE269FD" w14:textId="77777777" w:rsidR="001B4E78" w:rsidRPr="001B4E78" w:rsidRDefault="001B4E78" w:rsidP="001B4E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1B4E78">
              <w:rPr>
                <w:color w:val="000000"/>
                <w:sz w:val="22"/>
                <w:szCs w:val="22"/>
              </w:rPr>
              <w:t>La taxe foncière sur les propriétés non bâties</w:t>
            </w:r>
          </w:p>
          <w:p w14:paraId="0F08D2A6" w14:textId="77777777" w:rsidR="001B4E78" w:rsidRDefault="001B4E78" w:rsidP="001B4E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1B4E78">
              <w:rPr>
                <w:color w:val="000000"/>
                <w:sz w:val="22"/>
                <w:szCs w:val="22"/>
              </w:rPr>
              <w:t>Règles et principes communs aux taxes foncières</w:t>
            </w:r>
          </w:p>
          <w:p w14:paraId="49447118" w14:textId="664D1C57" w:rsidR="005F3262" w:rsidRPr="001B4E78" w:rsidRDefault="005F3262" w:rsidP="001B4E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Règles et principes du recouvrement</w:t>
            </w:r>
          </w:p>
          <w:p w14:paraId="2073B465" w14:textId="28E5ECAC" w:rsidR="005E5248" w:rsidRPr="005F3262" w:rsidRDefault="005E5248" w:rsidP="005F3262">
            <w:pPr>
              <w:rPr>
                <w:color w:val="000000"/>
                <w:sz w:val="22"/>
                <w:szCs w:val="22"/>
              </w:rPr>
            </w:pPr>
          </w:p>
        </w:tc>
      </w:tr>
      <w:tr w:rsidR="005E5248" w14:paraId="36C4F65C" w14:textId="77777777">
        <w:trPr>
          <w:trHeight w:val="488"/>
        </w:trPr>
        <w:tc>
          <w:tcPr>
            <w:tcW w:w="9781" w:type="dxa"/>
            <w:vAlign w:val="center"/>
          </w:tcPr>
          <w:p w14:paraId="4DF478A3" w14:textId="38F43BB0" w:rsidR="005752F9" w:rsidRPr="00B96AF8" w:rsidRDefault="005752F9" w:rsidP="00B96AF8">
            <w:pPr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5752F9">
              <w:rPr>
                <w:b/>
              </w:rPr>
              <w:t>Durée de la formation</w:t>
            </w:r>
            <w:r>
              <w:rPr>
                <w:b/>
                <w:sz w:val="26"/>
                <w:szCs w:val="26"/>
              </w:rPr>
              <w:t xml:space="preserve"> : </w:t>
            </w:r>
            <w:r w:rsidR="001F2A5C" w:rsidRPr="00B96AF8">
              <w:rPr>
                <w:color w:val="000000"/>
                <w:sz w:val="22"/>
                <w:szCs w:val="22"/>
              </w:rPr>
              <w:t>20</w:t>
            </w:r>
            <w:r w:rsidR="00ED5F36" w:rsidRPr="00B96AF8">
              <w:rPr>
                <w:color w:val="000000"/>
                <w:sz w:val="22"/>
                <w:szCs w:val="22"/>
              </w:rPr>
              <w:t xml:space="preserve"> séances (</w:t>
            </w:r>
            <w:r w:rsidR="001F2A5C" w:rsidRPr="00B96AF8">
              <w:rPr>
                <w:color w:val="000000"/>
                <w:sz w:val="22"/>
                <w:szCs w:val="22"/>
              </w:rPr>
              <w:t>30</w:t>
            </w:r>
            <w:r w:rsidR="00ED5F36" w:rsidRPr="00B96AF8">
              <w:rPr>
                <w:color w:val="000000"/>
                <w:sz w:val="22"/>
                <w:szCs w:val="22"/>
              </w:rPr>
              <w:t xml:space="preserve"> heures)</w:t>
            </w:r>
          </w:p>
        </w:tc>
      </w:tr>
      <w:tr w:rsidR="005E5248" w:rsidRPr="005752F9" w14:paraId="5811A8DC" w14:textId="77777777">
        <w:trPr>
          <w:trHeight w:val="633"/>
        </w:trPr>
        <w:tc>
          <w:tcPr>
            <w:tcW w:w="9781" w:type="dxa"/>
            <w:vAlign w:val="center"/>
          </w:tcPr>
          <w:p w14:paraId="64C55E01" w14:textId="1AB508F0" w:rsidR="005E5248" w:rsidRPr="005752F9" w:rsidRDefault="005752F9" w:rsidP="005752F9">
            <w:pPr>
              <w:numPr>
                <w:ilvl w:val="0"/>
                <w:numId w:val="1"/>
              </w:numPr>
              <w:rPr>
                <w:b/>
              </w:rPr>
            </w:pPr>
            <w:r w:rsidRPr="005752F9">
              <w:rPr>
                <w:b/>
              </w:rPr>
              <w:t xml:space="preserve">Méthodologie : </w:t>
            </w:r>
          </w:p>
          <w:p w14:paraId="32EDADC0" w14:textId="53AB4006" w:rsidR="001B4E78" w:rsidRPr="001B4E78" w:rsidRDefault="001B4E78" w:rsidP="001B4E78">
            <w:pPr>
              <w:numPr>
                <w:ilvl w:val="0"/>
                <w:numId w:val="2"/>
              </w:numP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1B4E78">
              <w:rPr>
                <w:color w:val="000000"/>
                <w:sz w:val="22"/>
                <w:szCs w:val="22"/>
              </w:rPr>
              <w:t xml:space="preserve">Alternance d’apports théoriques et </w:t>
            </w:r>
            <w:r w:rsidR="007F5EF8">
              <w:rPr>
                <w:color w:val="000000"/>
                <w:sz w:val="22"/>
                <w:szCs w:val="22"/>
              </w:rPr>
              <w:t>d’études de cas pratiques</w:t>
            </w:r>
          </w:p>
          <w:p w14:paraId="3D2BE58A" w14:textId="1ADEC1C2" w:rsidR="005752F9" w:rsidRPr="007F5EF8" w:rsidRDefault="001B4E78" w:rsidP="007F5EF8">
            <w:pPr>
              <w:numPr>
                <w:ilvl w:val="0"/>
                <w:numId w:val="2"/>
              </w:numP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1B4E78">
              <w:rPr>
                <w:color w:val="000000"/>
                <w:sz w:val="22"/>
                <w:szCs w:val="22"/>
              </w:rPr>
              <w:t>Méthode active et participative</w:t>
            </w:r>
          </w:p>
        </w:tc>
      </w:tr>
      <w:tr w:rsidR="005E5248" w:rsidRPr="005752F9" w14:paraId="52F2AEE2" w14:textId="77777777" w:rsidTr="005752F9">
        <w:trPr>
          <w:trHeight w:val="630"/>
        </w:trPr>
        <w:tc>
          <w:tcPr>
            <w:tcW w:w="9781" w:type="dxa"/>
            <w:shd w:val="clear" w:color="auto" w:fill="FFFFFF" w:themeFill="background1"/>
            <w:vAlign w:val="center"/>
          </w:tcPr>
          <w:p w14:paraId="57B6C1B2" w14:textId="24B1D92E" w:rsidR="005E5248" w:rsidRDefault="005752F9" w:rsidP="005752F9">
            <w:pPr>
              <w:numPr>
                <w:ilvl w:val="0"/>
                <w:numId w:val="1"/>
              </w:numPr>
              <w:rPr>
                <w:b/>
                <w:sz w:val="26"/>
                <w:szCs w:val="26"/>
              </w:rPr>
            </w:pPr>
            <w:bookmarkStart w:id="0" w:name="_heading=h.gjdgxs" w:colFirst="0" w:colLast="0"/>
            <w:bookmarkEnd w:id="0"/>
            <w:r>
              <w:rPr>
                <w:b/>
                <w:sz w:val="26"/>
                <w:szCs w:val="26"/>
              </w:rPr>
              <w:t> </w:t>
            </w:r>
            <w:r w:rsidRPr="005752F9">
              <w:rPr>
                <w:b/>
              </w:rPr>
              <w:t>Modalités d’évaluation :</w:t>
            </w:r>
          </w:p>
          <w:p w14:paraId="3887F5EF" w14:textId="38FBD1CD" w:rsidR="005752F9" w:rsidRPr="005752F9" w:rsidRDefault="00B96AF8" w:rsidP="005752F9">
            <w:pPr>
              <w:numPr>
                <w:ilvl w:val="0"/>
                <w:numId w:val="2"/>
              </w:numPr>
              <w:shd w:val="clear" w:color="auto" w:fill="FFFFFF" w:themeFill="background1"/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6A7A62">
              <w:rPr>
                <w:color w:val="000000"/>
                <w:sz w:val="22"/>
                <w:szCs w:val="22"/>
              </w:rPr>
              <w:t>Evaluation écrite des acquis à la fin du module</w:t>
            </w:r>
            <w:r>
              <w:rPr>
                <w:color w:val="000000"/>
                <w:sz w:val="22"/>
                <w:szCs w:val="22"/>
              </w:rPr>
              <w:t> </w:t>
            </w:r>
            <w:r w:rsidRPr="006A7A62">
              <w:rPr>
                <w:color w:val="000000"/>
                <w:sz w:val="22"/>
                <w:szCs w:val="22"/>
              </w:rPr>
              <w:t xml:space="preserve">(coefficient </w:t>
            </w:r>
            <w:r>
              <w:rPr>
                <w:color w:val="000000"/>
                <w:sz w:val="22"/>
                <w:szCs w:val="22"/>
              </w:rPr>
              <w:t>2</w:t>
            </w:r>
            <w:r w:rsidRPr="006A7A62">
              <w:rPr>
                <w:color w:val="000000"/>
                <w:sz w:val="22"/>
                <w:szCs w:val="22"/>
              </w:rPr>
              <w:t>)</w:t>
            </w:r>
          </w:p>
        </w:tc>
      </w:tr>
      <w:tr w:rsidR="005E5248" w:rsidRPr="005752F9" w14:paraId="0AC3A0A7" w14:textId="77777777">
        <w:trPr>
          <w:trHeight w:val="536"/>
        </w:trPr>
        <w:tc>
          <w:tcPr>
            <w:tcW w:w="9781" w:type="dxa"/>
            <w:vAlign w:val="center"/>
          </w:tcPr>
          <w:p w14:paraId="2099B1B2" w14:textId="017CC2E6" w:rsidR="005E5248" w:rsidRPr="005752F9" w:rsidRDefault="005752F9" w:rsidP="005752F9">
            <w:pPr>
              <w:numPr>
                <w:ilvl w:val="0"/>
                <w:numId w:val="1"/>
              </w:numPr>
              <w:rPr>
                <w:b/>
              </w:rPr>
            </w:pPr>
            <w:r w:rsidRPr="005752F9">
              <w:rPr>
                <w:b/>
              </w:rPr>
              <w:t>Formateur(s) :</w:t>
            </w:r>
          </w:p>
          <w:p w14:paraId="432C04DE" w14:textId="35F339B4" w:rsidR="005752F9" w:rsidRPr="005752F9" w:rsidRDefault="00FE56EF" w:rsidP="005752F9">
            <w:pPr>
              <w:numPr>
                <w:ilvl w:val="0"/>
                <w:numId w:val="2"/>
              </w:numPr>
              <w:shd w:val="clear" w:color="auto" w:fill="FFFFFF" w:themeFill="background1"/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401BAE">
              <w:rPr>
                <w:b/>
                <w:bCs/>
                <w:color w:val="000000"/>
                <w:sz w:val="22"/>
                <w:szCs w:val="22"/>
              </w:rPr>
              <w:t xml:space="preserve">Expert </w:t>
            </w:r>
            <w:proofErr w:type="spellStart"/>
            <w:r w:rsidRPr="00401BAE">
              <w:rPr>
                <w:b/>
                <w:bCs/>
                <w:color w:val="000000"/>
                <w:sz w:val="22"/>
                <w:szCs w:val="22"/>
              </w:rPr>
              <w:t>ENFiP</w:t>
            </w:r>
            <w:proofErr w:type="spellEnd"/>
            <w:r w:rsidRPr="00401BAE">
              <w:rPr>
                <w:b/>
                <w:bCs/>
                <w:color w:val="000000"/>
                <w:sz w:val="22"/>
                <w:szCs w:val="22"/>
              </w:rPr>
              <w:t xml:space="preserve"> (France) et </w:t>
            </w:r>
            <w:r w:rsidR="00401BAE">
              <w:rPr>
                <w:b/>
                <w:bCs/>
                <w:color w:val="000000"/>
                <w:sz w:val="22"/>
                <w:szCs w:val="22"/>
              </w:rPr>
              <w:t>Dr</w:t>
            </w:r>
            <w:r w:rsidR="00B96AF8" w:rsidRPr="00401BAE">
              <w:rPr>
                <w:b/>
                <w:bCs/>
                <w:color w:val="000000"/>
                <w:sz w:val="22"/>
                <w:szCs w:val="22"/>
              </w:rPr>
              <w:t xml:space="preserve"> BITENIWE</w:t>
            </w:r>
            <w:r w:rsidR="00B96AF8" w:rsidRPr="00FE56EF">
              <w:rPr>
                <w:color w:val="000000"/>
                <w:sz w:val="22"/>
                <w:szCs w:val="22"/>
              </w:rPr>
              <w:t xml:space="preserve"> / M. KOUNETSRON / M. DADJA / M.  </w:t>
            </w:r>
            <w:r w:rsidR="00B96AF8" w:rsidRPr="00B96AF8">
              <w:rPr>
                <w:color w:val="000000"/>
                <w:sz w:val="22"/>
                <w:szCs w:val="22"/>
              </w:rPr>
              <w:t>AMOUZOU</w:t>
            </w:r>
          </w:p>
        </w:tc>
      </w:tr>
      <w:tr w:rsidR="005E5248" w:rsidRPr="005752F9" w14:paraId="44CE327D" w14:textId="77777777">
        <w:trPr>
          <w:trHeight w:val="536"/>
        </w:trPr>
        <w:tc>
          <w:tcPr>
            <w:tcW w:w="9781" w:type="dxa"/>
            <w:vAlign w:val="center"/>
          </w:tcPr>
          <w:p w14:paraId="0DF6DEA5" w14:textId="10232E86" w:rsidR="005E5248" w:rsidRPr="005752F9" w:rsidRDefault="005752F9" w:rsidP="005752F9">
            <w:pPr>
              <w:numPr>
                <w:ilvl w:val="0"/>
                <w:numId w:val="1"/>
              </w:numPr>
              <w:rPr>
                <w:b/>
              </w:rPr>
            </w:pPr>
            <w:r w:rsidRPr="005752F9">
              <w:rPr>
                <w:b/>
              </w:rPr>
              <w:t>Dates :</w:t>
            </w:r>
          </w:p>
          <w:p w14:paraId="5ECEF65D" w14:textId="49BC732B" w:rsidR="005E5248" w:rsidRPr="005752F9" w:rsidRDefault="005E5248" w:rsidP="005752F9">
            <w:pPr>
              <w:numPr>
                <w:ilvl w:val="0"/>
                <w:numId w:val="2"/>
              </w:numPr>
              <w:shd w:val="clear" w:color="auto" w:fill="FFFFFF" w:themeFill="background1"/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5E5248" w:rsidRPr="005752F9" w14:paraId="44426F20" w14:textId="77777777">
        <w:trPr>
          <w:trHeight w:val="536"/>
        </w:trPr>
        <w:tc>
          <w:tcPr>
            <w:tcW w:w="9781" w:type="dxa"/>
            <w:vAlign w:val="center"/>
          </w:tcPr>
          <w:p w14:paraId="3573C40C" w14:textId="10165D76" w:rsidR="005E5248" w:rsidRPr="005752F9" w:rsidRDefault="005752F9" w:rsidP="005752F9">
            <w:pPr>
              <w:numPr>
                <w:ilvl w:val="0"/>
                <w:numId w:val="1"/>
              </w:numPr>
              <w:rPr>
                <w:b/>
              </w:rPr>
            </w:pPr>
            <w:r w:rsidRPr="005752F9">
              <w:rPr>
                <w:b/>
              </w:rPr>
              <w:t>Lieu :</w:t>
            </w:r>
          </w:p>
          <w:p w14:paraId="3534C3A5" w14:textId="0CC05816" w:rsidR="005E5248" w:rsidRPr="005752F9" w:rsidRDefault="005E5248" w:rsidP="005752F9">
            <w:pPr>
              <w:numPr>
                <w:ilvl w:val="0"/>
                <w:numId w:val="2"/>
              </w:numPr>
              <w:shd w:val="clear" w:color="auto" w:fill="FFFFFF" w:themeFill="background1"/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</w:tbl>
    <w:p w14:paraId="43AE04D4" w14:textId="77777777" w:rsidR="005E5248" w:rsidRDefault="005E5248"/>
    <w:p w14:paraId="05FC0991" w14:textId="77777777" w:rsidR="005E5248" w:rsidRDefault="005E5248"/>
    <w:sectPr w:rsidR="005E5248" w:rsidSect="00B96AF8">
      <w:pgSz w:w="11900" w:h="16840"/>
      <w:pgMar w:top="568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2A4E7FB-1E76-4F1D-9991-36AA90345821}"/>
  </w:font>
  <w:font w:name="CG Omega">
    <w:altName w:val="Candara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9E9AD8-EDCE-430F-B2A0-C9B67857567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70ACF6D-4824-4FC2-8C67-4339322DAAAC}"/>
    <w:embedItalic r:id="rId4" w:fontKey="{A250283B-1609-40E1-985F-41684C367B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37EB4CE-5C8C-43F9-B26D-F36E4F6D17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A7FD9"/>
    <w:multiLevelType w:val="multilevel"/>
    <w:tmpl w:val="F65EFDD8"/>
    <w:lvl w:ilvl="0">
      <w:start w:val="1"/>
      <w:numFmt w:val="decimal"/>
      <w:lvlText w:val="%1-"/>
      <w:lvlJc w:val="left"/>
      <w:pPr>
        <w:ind w:left="830" w:hanging="360"/>
      </w:pPr>
      <w:rPr>
        <w:b/>
      </w:rPr>
    </w:lvl>
    <w:lvl w:ilvl="1">
      <w:start w:val="1"/>
      <w:numFmt w:val="bullet"/>
      <w:lvlText w:val="❖"/>
      <w:lvlJc w:val="left"/>
      <w:pPr>
        <w:ind w:left="1550" w:hanging="360"/>
      </w:pPr>
      <w:rPr>
        <w:rFonts w:ascii="Noto Sans Symbols" w:eastAsia="Noto Sans Symbols" w:hAnsi="Noto Sans Symbols" w:cs="Noto Sans Symbols"/>
        <w:b w:val="0"/>
      </w:rPr>
    </w:lvl>
    <w:lvl w:ilvl="2">
      <w:start w:val="1"/>
      <w:numFmt w:val="bullet"/>
      <w:lvlText w:val="●"/>
      <w:lvlJc w:val="left"/>
      <w:pPr>
        <w:ind w:left="2450" w:hanging="360"/>
      </w:pPr>
      <w:rPr>
        <w:rFonts w:ascii="Noto Sans Symbols" w:eastAsia="Noto Sans Symbols" w:hAnsi="Noto Sans Symbols" w:cs="Noto Sans Symbols"/>
        <w:b w:val="0"/>
      </w:rPr>
    </w:lvl>
    <w:lvl w:ilvl="3">
      <w:numFmt w:val="bullet"/>
      <w:lvlText w:val="-"/>
      <w:lvlJc w:val="left"/>
      <w:pPr>
        <w:ind w:left="2990" w:hanging="360"/>
      </w:pPr>
      <w:rPr>
        <w:rFonts w:ascii="CG Omega" w:eastAsia="CG Omega" w:hAnsi="CG Omega" w:cs="CG Omega"/>
        <w:b w:val="0"/>
      </w:rPr>
    </w:lvl>
    <w:lvl w:ilvl="4">
      <w:start w:val="1"/>
      <w:numFmt w:val="lowerLetter"/>
      <w:lvlText w:val="%5."/>
      <w:lvlJc w:val="left"/>
      <w:pPr>
        <w:ind w:left="3710" w:hanging="360"/>
      </w:pPr>
    </w:lvl>
    <w:lvl w:ilvl="5">
      <w:start w:val="1"/>
      <w:numFmt w:val="lowerRoman"/>
      <w:lvlText w:val="%6."/>
      <w:lvlJc w:val="right"/>
      <w:pPr>
        <w:ind w:left="4430" w:hanging="180"/>
      </w:pPr>
    </w:lvl>
    <w:lvl w:ilvl="6">
      <w:start w:val="1"/>
      <w:numFmt w:val="decimal"/>
      <w:lvlText w:val="%7."/>
      <w:lvlJc w:val="left"/>
      <w:pPr>
        <w:ind w:left="5150" w:hanging="360"/>
      </w:pPr>
    </w:lvl>
    <w:lvl w:ilvl="7">
      <w:start w:val="1"/>
      <w:numFmt w:val="lowerLetter"/>
      <w:lvlText w:val="%8."/>
      <w:lvlJc w:val="left"/>
      <w:pPr>
        <w:ind w:left="5870" w:hanging="360"/>
      </w:pPr>
    </w:lvl>
    <w:lvl w:ilvl="8">
      <w:start w:val="1"/>
      <w:numFmt w:val="lowerRoman"/>
      <w:lvlText w:val="%9."/>
      <w:lvlJc w:val="right"/>
      <w:pPr>
        <w:ind w:left="6590" w:hanging="180"/>
      </w:pPr>
    </w:lvl>
  </w:abstractNum>
  <w:abstractNum w:abstractNumId="1" w15:restartNumberingAfterBreak="0">
    <w:nsid w:val="755D3A57"/>
    <w:multiLevelType w:val="multilevel"/>
    <w:tmpl w:val="DA6888BC"/>
    <w:lvl w:ilvl="0">
      <w:start w:val="1"/>
      <w:numFmt w:val="bullet"/>
      <w:lvlText w:val="⮵"/>
      <w:lvlJc w:val="left"/>
      <w:pPr>
        <w:ind w:left="86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num w:numId="1" w16cid:durableId="1970044403">
    <w:abstractNumId w:val="0"/>
  </w:num>
  <w:num w:numId="2" w16cid:durableId="1597862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48"/>
    <w:rsid w:val="00086B95"/>
    <w:rsid w:val="000B4D09"/>
    <w:rsid w:val="000F4FCD"/>
    <w:rsid w:val="00104BCE"/>
    <w:rsid w:val="001317EC"/>
    <w:rsid w:val="001B4E78"/>
    <w:rsid w:val="001B65FD"/>
    <w:rsid w:val="001F2A5C"/>
    <w:rsid w:val="002D7C68"/>
    <w:rsid w:val="00401BAE"/>
    <w:rsid w:val="004068DE"/>
    <w:rsid w:val="004824A0"/>
    <w:rsid w:val="004938B4"/>
    <w:rsid w:val="005752F9"/>
    <w:rsid w:val="005E5248"/>
    <w:rsid w:val="005F3262"/>
    <w:rsid w:val="00685176"/>
    <w:rsid w:val="007F5EF8"/>
    <w:rsid w:val="008761A8"/>
    <w:rsid w:val="00924249"/>
    <w:rsid w:val="00B43D70"/>
    <w:rsid w:val="00B452D6"/>
    <w:rsid w:val="00B66EDD"/>
    <w:rsid w:val="00B92FD4"/>
    <w:rsid w:val="00B96AF8"/>
    <w:rsid w:val="00BA2022"/>
    <w:rsid w:val="00C648D4"/>
    <w:rsid w:val="00CA2A4F"/>
    <w:rsid w:val="00D95A0D"/>
    <w:rsid w:val="00DF42F7"/>
    <w:rsid w:val="00ED5F36"/>
    <w:rsid w:val="00F5461A"/>
    <w:rsid w:val="00FE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7CBC7B"/>
  <w15:docId w15:val="{04B4066E-CF47-4CF6-AD38-218299F0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B2A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aliases w:val="Puces,Paragraphe de liste 2,Puce focus,Contact,6 pt paragraphe carré,calia titre 3,texte de base,Tab n1,Legende,Paragraphe,Normal bullet 2,List Paragraph1,Bullet point_CMN,PADE_liste,Normal1,Listes,Paragraph,lp1,Bullets"/>
    <w:basedOn w:val="Normal"/>
    <w:link w:val="ParagraphedelisteCar"/>
    <w:uiPriority w:val="34"/>
    <w:qFormat/>
    <w:rsid w:val="00974B2A"/>
    <w:pPr>
      <w:ind w:left="720"/>
      <w:contextualSpacing/>
    </w:pPr>
    <w:rPr>
      <w:rFonts w:ascii="Calibri" w:eastAsia="Calibri" w:hAnsi="Calibri"/>
      <w:lang w:eastAsia="en-US"/>
    </w:rPr>
  </w:style>
  <w:style w:type="character" w:customStyle="1" w:styleId="ParagraphedelisteCar">
    <w:name w:val="Paragraphe de liste Car"/>
    <w:aliases w:val="Puces Car,Paragraphe de liste 2 Car,Puce focus Car,Contact Car,6 pt paragraphe carré Car,calia titre 3 Car,texte de base Car,Tab n1 Car,Legende Car,Paragraphe Car,Normal bullet 2 Car,List Paragraph1 Car,Bullet point_CMN Car"/>
    <w:link w:val="Paragraphedeliste"/>
    <w:uiPriority w:val="34"/>
    <w:locked/>
    <w:rsid w:val="00974B2A"/>
    <w:rPr>
      <w:rFonts w:ascii="Calibri" w:eastAsia="Calibri" w:hAnsi="Calibri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670F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olicepardfaut"/>
    <w:rsid w:val="005271A5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wH81HHqe9O3QJ9B1lLcX9aHhQ==">CgMxLjAaMAoBMBIrCikIB0IlChFRdWF0dHJvY2VudG8gU2FucxIQQXJpYWwgVW5pY29kZSBNUxowCgExEisKKQgHQiUKEVF1YXR0cm9jZW50byBTYW5zEhBBcmlhbCBVbmljb2RlIE1TMghoLmdqZGd4czgAciExMEhXMl9tME16aHdEM0F1SW1OTzZlQnFMMFAtazJfNjI=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0261377-FCB3-45DD-B05A-BA4B9CA7F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802</Characters>
  <Application>Microsoft Office Word</Application>
  <DocSecurity>0</DocSecurity>
  <Lines>34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Gilles Berteau</dc:creator>
  <cp:lastModifiedBy>Dodema biteniwe</cp:lastModifiedBy>
  <cp:revision>2</cp:revision>
  <dcterms:created xsi:type="dcterms:W3CDTF">2025-10-16T11:02:00Z</dcterms:created>
  <dcterms:modified xsi:type="dcterms:W3CDTF">2025-10-16T11:02:00Z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b34db8ac-1069-43be-aba4-3c8f5c84b70f</vt:lpwstr>
  </property>
</Properties>
</file>