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2722" w:rsidRPr="00232722" w:rsidRDefault="00232722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En utilisant les fichiers joints, </w:t>
      </w:r>
      <w:proofErr w:type="gramStart"/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propose moi</w:t>
      </w:r>
      <w:proofErr w:type="gramEnd"/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un plan de cours (21h) sur le contentieux des taxes foncières du niveau de master Cadastre à l'IFFD et de grande qualité. </w:t>
      </w:r>
    </w:p>
    <w:p w:rsidR="00232722" w:rsidRPr="00232722" w:rsidRDefault="00232722" w:rsidP="0023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Voici une </w:t>
      </w:r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proposition de plan de cours structuré, professionnalisant et conforme au niveau Master Cadastre de l’IFFD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bâtie </w:t>
      </w:r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explicitement à partir des documents pédagogiques et normatifs joints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en particulier la </w:t>
      </w:r>
      <w:r w:rsidRPr="00232722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Fiche technique n°8 – Module Contentieux des taxes foncières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232722" w:rsidRPr="00232722" w:rsidRDefault="00232722" w:rsidP="0023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, ainsi que les supports de contentieux fiscal de référence utilisés à l’OTR.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5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MASTER CADASTRE – IFFD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MODULE : CONTENTIEUX DES TAXES FONCIÈRES (21 heures)</w:t>
      </w:r>
    </w:p>
    <w:p w:rsidR="00232722" w:rsidRPr="00232722" w:rsidRDefault="00232722" w:rsidP="0023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Durée : 14 séances × 1h30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Volume horaire : 21 heures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Public cible :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Cadres supérieurs du Cadastre (Master)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Institution :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Institut de Formation Fiscale et Douanière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Administration de référence :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Office Togolais des Recettes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6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OBJECTIFS GÉNÉRAUX DU MODULE</w:t>
      </w:r>
    </w:p>
    <w:p w:rsidR="00232722" w:rsidRPr="00232722" w:rsidRDefault="00232722" w:rsidP="0023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Conformément à la fiche pédagogique officielle </w:t>
      </w:r>
    </w:p>
    <w:p w:rsidR="00232722" w:rsidRPr="00232722" w:rsidRDefault="00232722" w:rsidP="00232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, le module vise à permettre à l’auditeur de :</w:t>
      </w:r>
    </w:p>
    <w:p w:rsidR="00232722" w:rsidRPr="00232722" w:rsidRDefault="00232722" w:rsidP="0023272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maîtriser</w:t>
      </w:r>
      <w:proofErr w:type="gramEnd"/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les </w:t>
      </w:r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différents types de contentieux applicables aux taxes foncières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;</w:t>
      </w:r>
    </w:p>
    <w:p w:rsidR="00232722" w:rsidRPr="00232722" w:rsidRDefault="00232722" w:rsidP="0023272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instruire</w:t>
      </w:r>
      <w:proofErr w:type="gramEnd"/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un </w:t>
      </w:r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dossier contentieux cadastral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dans le respect du LPF ;</w:t>
      </w:r>
    </w:p>
    <w:p w:rsidR="00232722" w:rsidRPr="00232722" w:rsidRDefault="00232722" w:rsidP="0023272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qualifier</w:t>
      </w:r>
      <w:proofErr w:type="gramEnd"/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juridiquement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une demande (contentieuse, gracieuse ou d’office) ;</w:t>
      </w:r>
    </w:p>
    <w:p w:rsidR="00232722" w:rsidRPr="00232722" w:rsidRDefault="00232722" w:rsidP="0023272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rédiger</w:t>
      </w:r>
      <w:proofErr w:type="gramEnd"/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une </w:t>
      </w:r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réponse administrative motivée et juridiquement sécurisée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;</w:t>
      </w:r>
    </w:p>
    <w:p w:rsidR="00232722" w:rsidRPr="00232722" w:rsidRDefault="00232722" w:rsidP="0023272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orienter</w:t>
      </w:r>
      <w:proofErr w:type="gramEnd"/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efficacement le contribuable vers les </w:t>
      </w:r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voies de recours adaptées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;</w:t>
      </w:r>
    </w:p>
    <w:p w:rsidR="00232722" w:rsidRPr="00232722" w:rsidRDefault="00232722" w:rsidP="0023272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sécuriser</w:t>
      </w:r>
      <w:proofErr w:type="gramEnd"/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les </w:t>
      </w:r>
      <w:r w:rsidRPr="00232722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recettes des collectivités territoriales</w:t>
      </w: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7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ARCHITECTURE GÉNÉRALE DU COURS (21 h)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8" style="width:0;height:1.5pt" o:hralign="center" o:hrstd="t" o:hr="t" fillcolor="#a0a0a0" stroked="f"/>
        </w:pic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9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lastRenderedPageBreak/>
        <w:t>CONTENTIEUX DES TAXES FONCIÈRES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MASTER CADASTRE – IFFD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0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INTRODUCTION GÉNÉRALE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1 – Définition et nature juridique du contentieux des taxes foncières</w:t>
      </w:r>
    </w:p>
    <w:p w:rsidR="00232722" w:rsidRPr="00232722" w:rsidRDefault="00232722" w:rsidP="0023272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Notion de contentieux fiscal</w:t>
      </w:r>
    </w:p>
    <w:p w:rsidR="00232722" w:rsidRPr="00232722" w:rsidRDefault="00232722" w:rsidP="0023272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Spécificité du contentieux foncier</w:t>
      </w:r>
    </w:p>
    <w:p w:rsidR="00232722" w:rsidRPr="00232722" w:rsidRDefault="00232722" w:rsidP="0023272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Impôt foncier comme impôt réel, local et patrimonial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2 – Enjeux du contentieux des taxes foncières</w:t>
      </w:r>
    </w:p>
    <w:p w:rsidR="00232722" w:rsidRPr="00232722" w:rsidRDefault="00232722" w:rsidP="0023272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Enjeux budgétaires pour les collectivités territoriales</w:t>
      </w:r>
    </w:p>
    <w:p w:rsidR="00232722" w:rsidRPr="00232722" w:rsidRDefault="00232722" w:rsidP="0023272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Enjeux sociaux et fonciers</w:t>
      </w:r>
    </w:p>
    <w:p w:rsidR="00232722" w:rsidRPr="00232722" w:rsidRDefault="00232722" w:rsidP="0023272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Enjeux juridiques et de sécurité fiscale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3 – Rôle stratégique du Cadastre dans le contentieux foncier</w:t>
      </w:r>
    </w:p>
    <w:p w:rsidR="00232722" w:rsidRPr="00232722" w:rsidRDefault="00232722" w:rsidP="0023272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Le Cadastre comme base de l’assiette</w:t>
      </w:r>
    </w:p>
    <w:p w:rsidR="00232722" w:rsidRPr="00232722" w:rsidRDefault="00232722" w:rsidP="0023272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Le Cadastre comme acteur de prévention du contentieux</w:t>
      </w:r>
    </w:p>
    <w:p w:rsidR="00232722" w:rsidRPr="00232722" w:rsidRDefault="00232722" w:rsidP="0023272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Responsabilité technique et juridique du service cadastral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1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CHAPITRE I : CADRE JURIDIQUE ET INSTITUTIONNEL DU CONTENTIEUX DES TAXES FONCIÈRES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1 – Les sources juridiques du contentieux foncier</w:t>
      </w:r>
    </w:p>
    <w:p w:rsidR="00232722" w:rsidRPr="00232722" w:rsidRDefault="00232722" w:rsidP="0023272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Le Code Général des Impôts</w:t>
      </w:r>
    </w:p>
    <w:p w:rsidR="00232722" w:rsidRPr="00232722" w:rsidRDefault="00232722" w:rsidP="0023272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Le Livre des Procédures Fiscales</w:t>
      </w:r>
    </w:p>
    <w:p w:rsidR="00232722" w:rsidRPr="00232722" w:rsidRDefault="00232722" w:rsidP="0023272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Les lois de décentralisation et la fiscalité locale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2 – Les acteurs institutionnels du contentieux foncier</w:t>
      </w:r>
    </w:p>
    <w:p w:rsidR="00232722" w:rsidRPr="00232722" w:rsidRDefault="00232722" w:rsidP="0023272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Administration fiscale</w:t>
      </w:r>
    </w:p>
    <w:p w:rsidR="00232722" w:rsidRPr="00232722" w:rsidRDefault="00232722" w:rsidP="0023272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Services du Cadastre</w:t>
      </w:r>
    </w:p>
    <w:p w:rsidR="00232722" w:rsidRPr="00232722" w:rsidRDefault="00232722" w:rsidP="0023272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Comptables publics</w:t>
      </w:r>
    </w:p>
    <w:p w:rsidR="00232722" w:rsidRPr="00232722" w:rsidRDefault="00232722" w:rsidP="0023272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Collectivités territoriales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3 – Organisation du contentieux foncier au sein de l’OTR</w:t>
      </w:r>
    </w:p>
    <w:p w:rsidR="00232722" w:rsidRPr="00232722" w:rsidRDefault="00232722" w:rsidP="0023272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Compétences des services</w:t>
      </w:r>
    </w:p>
    <w:p w:rsidR="00232722" w:rsidRPr="00232722" w:rsidRDefault="00232722" w:rsidP="0023272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Circuits de traitement des réclamations</w:t>
      </w:r>
    </w:p>
    <w:p w:rsidR="00232722" w:rsidRPr="00232722" w:rsidRDefault="00232722" w:rsidP="0023272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Coordination Cadastre – Impôts – Recouvrement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2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CHAPITRE II : TYPOLOGIE DU CONTENTIEUX DES TAXES FONCIÈRES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1 – Le contentieux de l’assiette des taxes foncières</w:t>
      </w:r>
    </w:p>
    <w:p w:rsidR="00232722" w:rsidRPr="00232722" w:rsidRDefault="00232722" w:rsidP="0023272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Notion et objet</w:t>
      </w:r>
    </w:p>
    <w:p w:rsidR="00232722" w:rsidRPr="00232722" w:rsidRDefault="00232722" w:rsidP="0023272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Contestation de la base imposable</w:t>
      </w:r>
    </w:p>
    <w:p w:rsidR="00232722" w:rsidRPr="00232722" w:rsidRDefault="00232722" w:rsidP="0023272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Contestation du redevable</w:t>
      </w:r>
    </w:p>
    <w:p w:rsidR="00232722" w:rsidRPr="00232722" w:rsidRDefault="00232722" w:rsidP="0023272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Contestation des exonérations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2 – Le contentieux du recouvrement</w:t>
      </w:r>
    </w:p>
    <w:p w:rsidR="00232722" w:rsidRPr="00232722" w:rsidRDefault="00232722" w:rsidP="0023272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Notion et objet</w:t>
      </w:r>
    </w:p>
    <w:p w:rsidR="00232722" w:rsidRPr="00232722" w:rsidRDefault="00232722" w:rsidP="0023272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Contestation des actes de poursuite</w:t>
      </w:r>
    </w:p>
    <w:p w:rsidR="00232722" w:rsidRPr="00232722" w:rsidRDefault="00232722" w:rsidP="0023272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Prescription et extinction de la dette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3 – Le contentieux technique cadastral</w:t>
      </w:r>
    </w:p>
    <w:p w:rsidR="00232722" w:rsidRPr="00232722" w:rsidRDefault="00232722" w:rsidP="0023272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Erreurs de consistance des immeubles</w:t>
      </w:r>
    </w:p>
    <w:p w:rsidR="00232722" w:rsidRPr="00232722" w:rsidRDefault="00232722" w:rsidP="0023272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Erreurs de surface, d’usage ou de catégorie</w:t>
      </w:r>
    </w:p>
    <w:p w:rsidR="00232722" w:rsidRPr="00232722" w:rsidRDefault="00232722" w:rsidP="0023272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Litiges liés aux données cadastrales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4 – Distinction entre contentieux, gracieux et procédures d’office</w:t>
      </w:r>
    </w:p>
    <w:p w:rsidR="00232722" w:rsidRPr="00232722" w:rsidRDefault="00232722" w:rsidP="0023272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Critères juridiques de distinction</w:t>
      </w:r>
    </w:p>
    <w:p w:rsidR="00232722" w:rsidRPr="00232722" w:rsidRDefault="00232722" w:rsidP="0023272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Conséquences procédurales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3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lastRenderedPageBreak/>
        <w:t xml:space="preserve">CHAPITRE III : </w:t>
      </w:r>
      <w:r w:rsidR="00C86BC3" w:rsidRPr="0023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la procédure contentieuse (contentieux de droit)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1 – Le principe du préalable administratif</w:t>
      </w:r>
    </w:p>
    <w:p w:rsidR="00232722" w:rsidRPr="00232722" w:rsidRDefault="00232722" w:rsidP="0023272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Fondement juridique</w:t>
      </w:r>
    </w:p>
    <w:p w:rsidR="00232722" w:rsidRPr="00232722" w:rsidRDefault="00232722" w:rsidP="0023272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Portée et justification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2 – La réclamation contentieuse préalable</w:t>
      </w:r>
    </w:p>
    <w:p w:rsidR="00232722" w:rsidRPr="00232722" w:rsidRDefault="00232722" w:rsidP="0023272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Conditions de délai</w:t>
      </w:r>
    </w:p>
    <w:p w:rsidR="00232722" w:rsidRPr="00232722" w:rsidRDefault="00232722" w:rsidP="0023272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Conditions de forme</w:t>
      </w:r>
    </w:p>
    <w:p w:rsidR="00232722" w:rsidRPr="00232722" w:rsidRDefault="00232722" w:rsidP="0023272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Qualité du réclamant</w:t>
      </w:r>
    </w:p>
    <w:p w:rsidR="00232722" w:rsidRPr="00232722" w:rsidRDefault="00232722" w:rsidP="0023272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Effets juridiques de la réclamation</w:t>
      </w:r>
      <w:bookmarkStart w:id="0" w:name="_GoBack"/>
      <w:bookmarkEnd w:id="0"/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3 – L’instruction de la réclamation en la forme</w:t>
      </w:r>
    </w:p>
    <w:p w:rsidR="00232722" w:rsidRPr="00232722" w:rsidRDefault="00232722" w:rsidP="0023272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Vérification de la recevabilité</w:t>
      </w:r>
    </w:p>
    <w:p w:rsidR="00232722" w:rsidRPr="00232722" w:rsidRDefault="00232722" w:rsidP="0023272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Demande de régularisation</w:t>
      </w:r>
    </w:p>
    <w:p w:rsidR="00232722" w:rsidRPr="00232722" w:rsidRDefault="00232722" w:rsidP="0023272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Irrecevabilité et rejet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4 – L’instruction de la réclamation au fond</w:t>
      </w:r>
    </w:p>
    <w:p w:rsidR="00232722" w:rsidRPr="00232722" w:rsidRDefault="00232722" w:rsidP="0023272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Vérification juridique</w:t>
      </w:r>
    </w:p>
    <w:p w:rsidR="00232722" w:rsidRPr="00232722" w:rsidRDefault="00232722" w:rsidP="0023272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Vérification technique cadastrale</w:t>
      </w:r>
    </w:p>
    <w:p w:rsidR="00232722" w:rsidRPr="00232722" w:rsidRDefault="00232722" w:rsidP="0023272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Enquêtes, visites et contrôles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5 – La décision administrative</w:t>
      </w:r>
    </w:p>
    <w:p w:rsidR="00232722" w:rsidRPr="00232722" w:rsidRDefault="00232722" w:rsidP="0023272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Admission totale</w:t>
      </w:r>
    </w:p>
    <w:p w:rsidR="00232722" w:rsidRPr="00232722" w:rsidRDefault="00232722" w:rsidP="0023272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Admission partielle</w:t>
      </w:r>
    </w:p>
    <w:p w:rsidR="00232722" w:rsidRPr="00232722" w:rsidRDefault="00232722" w:rsidP="0023272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Rejet</w:t>
      </w:r>
    </w:p>
    <w:p w:rsidR="00232722" w:rsidRPr="00232722" w:rsidRDefault="00232722" w:rsidP="0023272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Obligation de motivation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6 – Le sursis de paiement</w:t>
      </w:r>
    </w:p>
    <w:p w:rsidR="00232722" w:rsidRPr="00232722" w:rsidRDefault="00232722" w:rsidP="0023272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Principe</w:t>
      </w:r>
    </w:p>
    <w:p w:rsidR="00232722" w:rsidRPr="00232722" w:rsidRDefault="00232722" w:rsidP="0023272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Conditions</w:t>
      </w:r>
    </w:p>
    <w:p w:rsidR="00232722" w:rsidRPr="00232722" w:rsidRDefault="00232722" w:rsidP="0023272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Garanties exigées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4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lastRenderedPageBreak/>
        <w:t>CHAPITRE IV : LA PROCÉDURE GRACIEUSE EN MATIÈRE DE TAXES FONCIÈRES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1 – Notion et fondement de la procédure gracieuse</w:t>
      </w:r>
    </w:p>
    <w:p w:rsidR="00232722" w:rsidRPr="00232722" w:rsidRDefault="00232722" w:rsidP="0023272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Nature juridique</w:t>
      </w:r>
    </w:p>
    <w:p w:rsidR="00232722" w:rsidRPr="00232722" w:rsidRDefault="00232722" w:rsidP="0023272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Différence avec le contentieux de droit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2 – Les demandes gracieuses</w:t>
      </w:r>
    </w:p>
    <w:p w:rsidR="00232722" w:rsidRPr="00232722" w:rsidRDefault="00232722" w:rsidP="0023272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Remise gracieuse</w:t>
      </w:r>
    </w:p>
    <w:p w:rsidR="00232722" w:rsidRPr="00232722" w:rsidRDefault="00232722" w:rsidP="0023272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Modération</w:t>
      </w:r>
    </w:p>
    <w:p w:rsidR="00232722" w:rsidRPr="00232722" w:rsidRDefault="00232722" w:rsidP="0023272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Échelonnement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3 – Conditions d’octroi des mesures gracieuses</w:t>
      </w:r>
    </w:p>
    <w:p w:rsidR="00232722" w:rsidRPr="00232722" w:rsidRDefault="00232722" w:rsidP="0023272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Appréciation de la situation de fortune</w:t>
      </w:r>
    </w:p>
    <w:p w:rsidR="00232722" w:rsidRPr="00232722" w:rsidRDefault="00232722" w:rsidP="0023272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Comportement fiscal du redevable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4 – Instruction et décision en matière gracieuse</w:t>
      </w:r>
    </w:p>
    <w:p w:rsidR="00232722" w:rsidRPr="00232722" w:rsidRDefault="00232722" w:rsidP="0023272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Pouvoir discrétionnaire de l’administration</w:t>
      </w:r>
    </w:p>
    <w:p w:rsidR="00232722" w:rsidRPr="00232722" w:rsidRDefault="00232722" w:rsidP="0023272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Limites juridiques</w:t>
      </w:r>
    </w:p>
    <w:p w:rsidR="00232722" w:rsidRPr="00232722" w:rsidRDefault="00232722" w:rsidP="0023272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Absence de droit au recours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5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CHAPITRE V : LES DÉGRÈVEMENTS ET REMISES D’OFFICE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1 – Notion et fondement juridique</w:t>
      </w:r>
    </w:p>
    <w:p w:rsidR="00232722" w:rsidRPr="00232722" w:rsidRDefault="00232722" w:rsidP="0023272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Définition</w:t>
      </w:r>
    </w:p>
    <w:p w:rsidR="00232722" w:rsidRPr="00232722" w:rsidRDefault="00232722" w:rsidP="0023272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Justification administrative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2 – Cas d’application en matière foncière</w:t>
      </w:r>
    </w:p>
    <w:p w:rsidR="00232722" w:rsidRPr="00232722" w:rsidRDefault="00232722" w:rsidP="0023272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Erreurs matérielles</w:t>
      </w:r>
    </w:p>
    <w:p w:rsidR="00232722" w:rsidRPr="00232722" w:rsidRDefault="00232722" w:rsidP="0023272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Erreurs cadastrales manifestes</w:t>
      </w:r>
    </w:p>
    <w:p w:rsidR="00232722" w:rsidRPr="00232722" w:rsidRDefault="00232722" w:rsidP="0023272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Révisions générales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3 – Rôle proactif du service du Cadastre</w:t>
      </w:r>
    </w:p>
    <w:p w:rsidR="00232722" w:rsidRPr="00232722" w:rsidRDefault="00232722" w:rsidP="0023272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Détection des erreurs</w:t>
      </w:r>
    </w:p>
    <w:p w:rsidR="00232722" w:rsidRPr="00232722" w:rsidRDefault="00232722" w:rsidP="0023272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Sécurisation des bases fiscales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6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CHAPITRE VI : ORDONNANCEMENT, RESTITUTION ET EXÉCUTION DES DÉCISIONS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1 – L’ordonnancement des dégrèvements</w:t>
      </w:r>
    </w:p>
    <w:p w:rsidR="00232722" w:rsidRPr="00232722" w:rsidRDefault="00232722" w:rsidP="0023272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Procédure administrative</w:t>
      </w:r>
    </w:p>
    <w:p w:rsidR="00232722" w:rsidRPr="00232722" w:rsidRDefault="00232722" w:rsidP="0023272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Circuit de validation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2 – La restitution des sommes indûment perçues</w:t>
      </w:r>
    </w:p>
    <w:p w:rsidR="00232722" w:rsidRPr="00232722" w:rsidRDefault="00232722" w:rsidP="0023272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Conditions</w:t>
      </w:r>
    </w:p>
    <w:p w:rsidR="00232722" w:rsidRPr="00232722" w:rsidRDefault="00232722" w:rsidP="0023272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Modalités</w:t>
      </w:r>
    </w:p>
    <w:p w:rsidR="00232722" w:rsidRPr="00232722" w:rsidRDefault="00232722" w:rsidP="0023272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Délais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3 – Responsabilité du comptable public</w:t>
      </w:r>
    </w:p>
    <w:p w:rsidR="00232722" w:rsidRPr="00232722" w:rsidRDefault="00232722" w:rsidP="0023272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Exécution des décisions</w:t>
      </w:r>
    </w:p>
    <w:p w:rsidR="00232722" w:rsidRPr="00232722" w:rsidRDefault="00232722" w:rsidP="0023272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Sécurité des finances publiques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7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CHAPITRE VII : LES VOIES DE RECOURS EN MATIÈRE DE TAXES FONCIÈRES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1 – Les recours contre les décisions contentieuses</w:t>
      </w:r>
    </w:p>
    <w:p w:rsidR="00232722" w:rsidRPr="00232722" w:rsidRDefault="00232722" w:rsidP="0023272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Recours juridictionnel</w:t>
      </w:r>
    </w:p>
    <w:p w:rsidR="00232722" w:rsidRPr="00232722" w:rsidRDefault="00232722" w:rsidP="0023272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Délais et conditions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2 – Le contentieux juridictionnel du recouvrement</w:t>
      </w:r>
    </w:p>
    <w:p w:rsidR="00232722" w:rsidRPr="00232722" w:rsidRDefault="00232722" w:rsidP="0023272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Oppositions à poursuite</w:t>
      </w:r>
    </w:p>
    <w:p w:rsidR="00232722" w:rsidRPr="00232722" w:rsidRDefault="00232722" w:rsidP="0023272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Compétence juridictionnelle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3 – Portée et limites des recours</w:t>
      </w:r>
    </w:p>
    <w:p w:rsidR="00232722" w:rsidRPr="00232722" w:rsidRDefault="00232722" w:rsidP="0023272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Sécurité juridique</w:t>
      </w:r>
    </w:p>
    <w:p w:rsidR="00232722" w:rsidRPr="00232722" w:rsidRDefault="00232722" w:rsidP="0023272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Autorité de la chose jugée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8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CHAPITRE VIII : ÉTUDES DE CAS ET APPLICATIONS PRATIQUES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1 – Étude de cas de contentieux de l’assiette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2 – Étude de cas de contentieux du recouvrement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3 – Étude de cas de procédure gracieuse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4 – Étude de cas de dégrèvement d’office</w: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Section 5 – Simulation complète de traitement d’un dossier foncier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9" style="width:0;height:1.5pt" o:hralign="center" o:hrstd="t" o:hr="t" fillcolor="#a0a0a0" stroked="f"/>
        </w:pict>
      </w:r>
    </w:p>
    <w:p w:rsidR="00232722" w:rsidRPr="00232722" w:rsidRDefault="00232722" w:rsidP="0023272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232722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CONCLUSION GÉNÉRALE</w:t>
      </w:r>
    </w:p>
    <w:p w:rsidR="00232722" w:rsidRPr="00232722" w:rsidRDefault="00232722" w:rsidP="00232722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Apports du contentieux foncier à la justice fiscale</w:t>
      </w:r>
    </w:p>
    <w:p w:rsidR="00232722" w:rsidRPr="00232722" w:rsidRDefault="00232722" w:rsidP="00232722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Rôle central du Cadastre dans la sécurisation des recettes locales</w:t>
      </w:r>
    </w:p>
    <w:p w:rsidR="00232722" w:rsidRPr="00232722" w:rsidRDefault="00232722" w:rsidP="00232722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722">
        <w:rPr>
          <w:rFonts w:ascii="Times New Roman" w:eastAsia="Times New Roman" w:hAnsi="Times New Roman" w:cs="Times New Roman"/>
          <w:sz w:val="24"/>
          <w:szCs w:val="24"/>
          <w:lang w:eastAsia="fr-FR"/>
        </w:rPr>
        <w:t>Perspectives d’amélioration du contentieux des taxes foncières</w:t>
      </w:r>
    </w:p>
    <w:p w:rsidR="00232722" w:rsidRPr="00232722" w:rsidRDefault="00686399" w:rsidP="002327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40" style="width:0;height:1.5pt" o:hralign="center" o:hrstd="t" o:hr="t" fillcolor="#a0a0a0" stroked="f"/>
        </w:pict>
      </w:r>
    </w:p>
    <w:p w:rsidR="00A63E0D" w:rsidRDefault="00686399"/>
    <w:sectPr w:rsidR="00A63E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20D47"/>
    <w:multiLevelType w:val="multilevel"/>
    <w:tmpl w:val="1886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66127"/>
    <w:multiLevelType w:val="multilevel"/>
    <w:tmpl w:val="E4FE8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67A90"/>
    <w:multiLevelType w:val="multilevel"/>
    <w:tmpl w:val="4E6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9475A"/>
    <w:multiLevelType w:val="multilevel"/>
    <w:tmpl w:val="24BA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268FB"/>
    <w:multiLevelType w:val="multilevel"/>
    <w:tmpl w:val="6204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C783F"/>
    <w:multiLevelType w:val="multilevel"/>
    <w:tmpl w:val="963C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26850"/>
    <w:multiLevelType w:val="multilevel"/>
    <w:tmpl w:val="39B4F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4B5D8C"/>
    <w:multiLevelType w:val="multilevel"/>
    <w:tmpl w:val="3ACE4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30CBE"/>
    <w:multiLevelType w:val="multilevel"/>
    <w:tmpl w:val="2C7C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944703"/>
    <w:multiLevelType w:val="multilevel"/>
    <w:tmpl w:val="1A0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E41B94"/>
    <w:multiLevelType w:val="multilevel"/>
    <w:tmpl w:val="4EE4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464768"/>
    <w:multiLevelType w:val="multilevel"/>
    <w:tmpl w:val="298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795A7E"/>
    <w:multiLevelType w:val="multilevel"/>
    <w:tmpl w:val="955A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106D21"/>
    <w:multiLevelType w:val="multilevel"/>
    <w:tmpl w:val="B5D2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39009F"/>
    <w:multiLevelType w:val="multilevel"/>
    <w:tmpl w:val="00EA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6E6FED"/>
    <w:multiLevelType w:val="multilevel"/>
    <w:tmpl w:val="4C4A2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161103"/>
    <w:multiLevelType w:val="multilevel"/>
    <w:tmpl w:val="A23C8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A62D7D"/>
    <w:multiLevelType w:val="multilevel"/>
    <w:tmpl w:val="A9F6D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C25230"/>
    <w:multiLevelType w:val="multilevel"/>
    <w:tmpl w:val="78FE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556931"/>
    <w:multiLevelType w:val="multilevel"/>
    <w:tmpl w:val="73366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A0416E"/>
    <w:multiLevelType w:val="multilevel"/>
    <w:tmpl w:val="C5BAE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AF7B15"/>
    <w:multiLevelType w:val="multilevel"/>
    <w:tmpl w:val="2C84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F11062"/>
    <w:multiLevelType w:val="multilevel"/>
    <w:tmpl w:val="5E92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2256AD"/>
    <w:multiLevelType w:val="multilevel"/>
    <w:tmpl w:val="C152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ED5A72"/>
    <w:multiLevelType w:val="multilevel"/>
    <w:tmpl w:val="3926E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7C7ACF"/>
    <w:multiLevelType w:val="multilevel"/>
    <w:tmpl w:val="4E86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191348"/>
    <w:multiLevelType w:val="multilevel"/>
    <w:tmpl w:val="BF0E0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14275A"/>
    <w:multiLevelType w:val="multilevel"/>
    <w:tmpl w:val="CB2E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573BAE"/>
    <w:multiLevelType w:val="multilevel"/>
    <w:tmpl w:val="9952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2F7C52"/>
    <w:multiLevelType w:val="multilevel"/>
    <w:tmpl w:val="4142E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7310B1"/>
    <w:multiLevelType w:val="multilevel"/>
    <w:tmpl w:val="30B02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DB2D7B"/>
    <w:multiLevelType w:val="multilevel"/>
    <w:tmpl w:val="F6E6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630F08"/>
    <w:multiLevelType w:val="multilevel"/>
    <w:tmpl w:val="A1EA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717F7A"/>
    <w:multiLevelType w:val="multilevel"/>
    <w:tmpl w:val="6A687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C36703"/>
    <w:multiLevelType w:val="multilevel"/>
    <w:tmpl w:val="343E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276079"/>
    <w:multiLevelType w:val="multilevel"/>
    <w:tmpl w:val="A7086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C02365"/>
    <w:multiLevelType w:val="multilevel"/>
    <w:tmpl w:val="14CE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787A97"/>
    <w:multiLevelType w:val="multilevel"/>
    <w:tmpl w:val="8EE0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7A295C"/>
    <w:multiLevelType w:val="multilevel"/>
    <w:tmpl w:val="C4A2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B5037A"/>
    <w:multiLevelType w:val="multilevel"/>
    <w:tmpl w:val="07C6A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4BC43C8"/>
    <w:multiLevelType w:val="multilevel"/>
    <w:tmpl w:val="3F1A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D72583"/>
    <w:multiLevelType w:val="multilevel"/>
    <w:tmpl w:val="755A7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446610"/>
    <w:multiLevelType w:val="multilevel"/>
    <w:tmpl w:val="A2E8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7822CF"/>
    <w:multiLevelType w:val="multilevel"/>
    <w:tmpl w:val="20F4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17090F"/>
    <w:multiLevelType w:val="multilevel"/>
    <w:tmpl w:val="57583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3B250B"/>
    <w:multiLevelType w:val="multilevel"/>
    <w:tmpl w:val="88C8E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4C1B70"/>
    <w:multiLevelType w:val="multilevel"/>
    <w:tmpl w:val="87CC0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C835FE"/>
    <w:multiLevelType w:val="multilevel"/>
    <w:tmpl w:val="0A9C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8D2E86"/>
    <w:multiLevelType w:val="multilevel"/>
    <w:tmpl w:val="F9B6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324946"/>
    <w:multiLevelType w:val="multilevel"/>
    <w:tmpl w:val="93B0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0"/>
  </w:num>
  <w:num w:numId="3">
    <w:abstractNumId w:val="49"/>
  </w:num>
  <w:num w:numId="4">
    <w:abstractNumId w:val="22"/>
  </w:num>
  <w:num w:numId="5">
    <w:abstractNumId w:val="26"/>
  </w:num>
  <w:num w:numId="6">
    <w:abstractNumId w:val="48"/>
  </w:num>
  <w:num w:numId="7">
    <w:abstractNumId w:val="6"/>
  </w:num>
  <w:num w:numId="8">
    <w:abstractNumId w:val="19"/>
  </w:num>
  <w:num w:numId="9">
    <w:abstractNumId w:val="20"/>
  </w:num>
  <w:num w:numId="10">
    <w:abstractNumId w:val="21"/>
  </w:num>
  <w:num w:numId="11">
    <w:abstractNumId w:val="46"/>
  </w:num>
  <w:num w:numId="12">
    <w:abstractNumId w:val="42"/>
  </w:num>
  <w:num w:numId="13">
    <w:abstractNumId w:val="30"/>
  </w:num>
  <w:num w:numId="14">
    <w:abstractNumId w:val="17"/>
  </w:num>
  <w:num w:numId="15">
    <w:abstractNumId w:val="25"/>
  </w:num>
  <w:num w:numId="16">
    <w:abstractNumId w:val="15"/>
  </w:num>
  <w:num w:numId="17">
    <w:abstractNumId w:val="34"/>
  </w:num>
  <w:num w:numId="18">
    <w:abstractNumId w:val="40"/>
  </w:num>
  <w:num w:numId="19">
    <w:abstractNumId w:val="39"/>
  </w:num>
  <w:num w:numId="20">
    <w:abstractNumId w:val="36"/>
  </w:num>
  <w:num w:numId="21">
    <w:abstractNumId w:val="5"/>
  </w:num>
  <w:num w:numId="22">
    <w:abstractNumId w:val="13"/>
  </w:num>
  <w:num w:numId="23">
    <w:abstractNumId w:val="14"/>
  </w:num>
  <w:num w:numId="24">
    <w:abstractNumId w:val="29"/>
  </w:num>
  <w:num w:numId="25">
    <w:abstractNumId w:val="10"/>
  </w:num>
  <w:num w:numId="26">
    <w:abstractNumId w:val="32"/>
  </w:num>
  <w:num w:numId="27">
    <w:abstractNumId w:val="28"/>
  </w:num>
  <w:num w:numId="28">
    <w:abstractNumId w:val="44"/>
  </w:num>
  <w:num w:numId="29">
    <w:abstractNumId w:val="9"/>
  </w:num>
  <w:num w:numId="30">
    <w:abstractNumId w:val="18"/>
  </w:num>
  <w:num w:numId="31">
    <w:abstractNumId w:val="23"/>
  </w:num>
  <w:num w:numId="32">
    <w:abstractNumId w:val="12"/>
  </w:num>
  <w:num w:numId="33">
    <w:abstractNumId w:val="33"/>
  </w:num>
  <w:num w:numId="34">
    <w:abstractNumId w:val="4"/>
  </w:num>
  <w:num w:numId="35">
    <w:abstractNumId w:val="7"/>
  </w:num>
  <w:num w:numId="36">
    <w:abstractNumId w:val="31"/>
  </w:num>
  <w:num w:numId="37">
    <w:abstractNumId w:val="1"/>
  </w:num>
  <w:num w:numId="38">
    <w:abstractNumId w:val="27"/>
  </w:num>
  <w:num w:numId="39">
    <w:abstractNumId w:val="2"/>
  </w:num>
  <w:num w:numId="40">
    <w:abstractNumId w:val="16"/>
  </w:num>
  <w:num w:numId="41">
    <w:abstractNumId w:val="11"/>
  </w:num>
  <w:num w:numId="42">
    <w:abstractNumId w:val="3"/>
  </w:num>
  <w:num w:numId="43">
    <w:abstractNumId w:val="45"/>
  </w:num>
  <w:num w:numId="44">
    <w:abstractNumId w:val="43"/>
  </w:num>
  <w:num w:numId="45">
    <w:abstractNumId w:val="47"/>
  </w:num>
  <w:num w:numId="46">
    <w:abstractNumId w:val="8"/>
  </w:num>
  <w:num w:numId="47">
    <w:abstractNumId w:val="37"/>
  </w:num>
  <w:num w:numId="48">
    <w:abstractNumId w:val="35"/>
  </w:num>
  <w:num w:numId="49">
    <w:abstractNumId w:val="24"/>
  </w:num>
  <w:num w:numId="50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2722"/>
    <w:rsid w:val="00232722"/>
    <w:rsid w:val="0025559B"/>
    <w:rsid w:val="00686399"/>
    <w:rsid w:val="00AD3B4F"/>
    <w:rsid w:val="00C86BC3"/>
    <w:rsid w:val="00D614CB"/>
    <w:rsid w:val="00E56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9DDAA90-6B71-43F9-A18A-E13065F5B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893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999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63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878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104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0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166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870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776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86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1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24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594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034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8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648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789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397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353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8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734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33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68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487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7</Pages>
  <Words>962</Words>
  <Characters>5295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Dodema BITENIWE</dc:creator>
  <cp:keywords/>
  <dc:description/>
  <cp:lastModifiedBy>Dodema BITENIWE</cp:lastModifiedBy>
  <cp:revision>4</cp:revision>
  <dcterms:created xsi:type="dcterms:W3CDTF">2026-01-19T11:56:00Z</dcterms:created>
  <dcterms:modified xsi:type="dcterms:W3CDTF">2026-01-19T19:45:00Z</dcterms:modified>
</cp:coreProperties>
</file>